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drawings/drawing6.xml" ContentType="application/vnd.openxmlformats-officedocument.drawingml.chartshapes+xml"/>
  <Override PartName="/word/charts/chart7.xml" ContentType="application/vnd.openxmlformats-officedocument.drawingml.chart+xml"/>
  <Override PartName="/word/theme/themeOverride7.xml" ContentType="application/vnd.openxmlformats-officedocument.themeOverride+xml"/>
  <Override PartName="/word/drawings/drawing7.xml" ContentType="application/vnd.openxmlformats-officedocument.drawingml.chartshapes+xml"/>
  <Override PartName="/word/charts/chart8.xml" ContentType="application/vnd.openxmlformats-officedocument.drawingml.chart+xml"/>
  <Override PartName="/word/theme/themeOverride8.xml" ContentType="application/vnd.openxmlformats-officedocument.themeOverride+xml"/>
  <Override PartName="/word/drawings/drawing8.xml" ContentType="application/vnd.openxmlformats-officedocument.drawingml.chartshapes+xml"/>
  <Override PartName="/word/charts/chart9.xml" ContentType="application/vnd.openxmlformats-officedocument.drawingml.chart+xml"/>
  <Override PartName="/word/theme/themeOverride9.xml" ContentType="application/vnd.openxmlformats-officedocument.themeOverride+xml"/>
  <Override PartName="/word/drawings/drawing9.xml" ContentType="application/vnd.openxmlformats-officedocument.drawingml.chartshapes+xml"/>
  <Override PartName="/word/charts/chart10.xml" ContentType="application/vnd.openxmlformats-officedocument.drawingml.chart+xml"/>
  <Override PartName="/word/theme/themeOverride10.xml" ContentType="application/vnd.openxmlformats-officedocument.themeOverride+xml"/>
  <Override PartName="/word/drawings/drawing10.xml" ContentType="application/vnd.openxmlformats-officedocument.drawingml.chartshapes+xml"/>
  <Override PartName="/word/charts/chart11.xml" ContentType="application/vnd.openxmlformats-officedocument.drawingml.chart+xml"/>
  <Override PartName="/word/drawings/drawing11.xml" ContentType="application/vnd.openxmlformats-officedocument.drawingml.chartshapes+xml"/>
  <Override PartName="/word/charts/chart12.xml" ContentType="application/vnd.openxmlformats-officedocument.drawingml.chart+xml"/>
  <Override PartName="/word/theme/themeOverride11.xml" ContentType="application/vnd.openxmlformats-officedocument.themeOverride+xml"/>
  <Override PartName="/word/drawings/drawing12.xml" ContentType="application/vnd.openxmlformats-officedocument.drawingml.chartshapes+xml"/>
  <Override PartName="/word/charts/chart13.xml" ContentType="application/vnd.openxmlformats-officedocument.drawingml.chart+xml"/>
  <Override PartName="/word/theme/themeOverride12.xml" ContentType="application/vnd.openxmlformats-officedocument.themeOverride+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Override1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A7F5E0" w14:textId="7B540789" w:rsidR="00FF72F0" w:rsidRDefault="003D6616" w:rsidP="00FF72F0">
      <w:pPr>
        <w:spacing w:after="0" w:line="240" w:lineRule="auto"/>
        <w:outlineLvl w:val="0"/>
        <w:rPr>
          <w:rFonts w:ascii="Times New Roman" w:eastAsia="Cambria" w:hAnsi="Times New Roman" w:cs="Times New Roman"/>
          <w:b/>
          <w:sz w:val="24"/>
          <w:szCs w:val="24"/>
        </w:rPr>
      </w:pPr>
      <w:bookmarkStart w:id="0" w:name="_Toc297107688"/>
      <w:bookmarkStart w:id="1" w:name="_Toc297233589"/>
      <w:bookmarkStart w:id="2" w:name="_Toc457468048"/>
      <w:r>
        <w:rPr>
          <w:rFonts w:ascii="Times New Roman" w:eastAsia="Cambria" w:hAnsi="Times New Roman" w:cs="Times New Roman"/>
          <w:b/>
          <w:sz w:val="24"/>
          <w:szCs w:val="24"/>
        </w:rPr>
        <w:t xml:space="preserve"> </w:t>
      </w:r>
      <w:r w:rsidR="00A138D5">
        <w:rPr>
          <w:rFonts w:ascii="Times New Roman" w:eastAsia="Cambria" w:hAnsi="Times New Roman" w:cs="Times New Roman"/>
          <w:b/>
          <w:sz w:val="24"/>
          <w:szCs w:val="24"/>
        </w:rPr>
        <w:t xml:space="preserve">EFFECTS OF </w:t>
      </w:r>
      <w:r w:rsidR="00FF72F0" w:rsidRPr="00FF72F0">
        <w:rPr>
          <w:rFonts w:ascii="Times New Roman" w:eastAsia="Cambria" w:hAnsi="Times New Roman" w:cs="Times New Roman"/>
          <w:b/>
          <w:sz w:val="24"/>
          <w:szCs w:val="24"/>
        </w:rPr>
        <w:t xml:space="preserve">CONVENTIONAL OIL WELLS </w:t>
      </w:r>
      <w:r w:rsidR="00A138D5">
        <w:rPr>
          <w:rFonts w:ascii="Times New Roman" w:eastAsia="Cambria" w:hAnsi="Times New Roman" w:cs="Times New Roman"/>
          <w:b/>
          <w:sz w:val="24"/>
          <w:szCs w:val="24"/>
        </w:rPr>
        <w:t>ON</w:t>
      </w:r>
      <w:r w:rsidR="00FF72F0" w:rsidRPr="00FF72F0">
        <w:rPr>
          <w:rFonts w:ascii="Times New Roman" w:eastAsia="Cambria" w:hAnsi="Times New Roman" w:cs="Times New Roman"/>
          <w:b/>
          <w:sz w:val="24"/>
          <w:szCs w:val="24"/>
        </w:rPr>
        <w:t xml:space="preserve"> GRASSLAND SONGBIRD</w:t>
      </w:r>
      <w:r w:rsidR="00A37DE4">
        <w:rPr>
          <w:rFonts w:ascii="Times New Roman" w:eastAsia="Cambria" w:hAnsi="Times New Roman" w:cs="Times New Roman"/>
          <w:b/>
          <w:sz w:val="24"/>
          <w:szCs w:val="24"/>
        </w:rPr>
        <w:t xml:space="preserve"> ABUNDANCE</w:t>
      </w:r>
      <w:bookmarkEnd w:id="0"/>
      <w:bookmarkEnd w:id="1"/>
      <w:r w:rsidR="00FF72F0" w:rsidRPr="00FF72F0">
        <w:rPr>
          <w:rFonts w:ascii="Times New Roman" w:eastAsia="Cambria" w:hAnsi="Times New Roman" w:cs="Times New Roman"/>
          <w:b/>
          <w:sz w:val="24"/>
          <w:szCs w:val="24"/>
        </w:rPr>
        <w:t xml:space="preserve"> </w:t>
      </w:r>
      <w:bookmarkEnd w:id="2"/>
      <w:r w:rsidR="00A138D5">
        <w:rPr>
          <w:rFonts w:ascii="Times New Roman" w:eastAsia="Cambria" w:hAnsi="Times New Roman" w:cs="Times New Roman"/>
          <w:b/>
          <w:sz w:val="24"/>
          <w:szCs w:val="24"/>
        </w:rPr>
        <w:t xml:space="preserve">ARE CAUSED BY </w:t>
      </w:r>
      <w:r w:rsidR="002968B2">
        <w:rPr>
          <w:rFonts w:ascii="Times New Roman" w:eastAsia="Cambria" w:hAnsi="Times New Roman" w:cs="Times New Roman"/>
          <w:b/>
          <w:sz w:val="24"/>
          <w:szCs w:val="24"/>
        </w:rPr>
        <w:t xml:space="preserve">PRESENCE OF </w:t>
      </w:r>
      <w:r w:rsidR="00A138D5">
        <w:rPr>
          <w:rFonts w:ascii="Times New Roman" w:eastAsia="Cambria" w:hAnsi="Times New Roman" w:cs="Times New Roman"/>
          <w:b/>
          <w:sz w:val="24"/>
          <w:szCs w:val="24"/>
        </w:rPr>
        <w:t>INFRASTRUCTURE, NOT NOISE</w:t>
      </w:r>
    </w:p>
    <w:p w14:paraId="1C907F2C" w14:textId="77777777" w:rsidR="00FF72F0" w:rsidRDefault="00FF72F0" w:rsidP="00FF72F0">
      <w:pPr>
        <w:spacing w:after="0" w:line="240" w:lineRule="auto"/>
        <w:outlineLvl w:val="0"/>
        <w:rPr>
          <w:rFonts w:ascii="Times New Roman" w:eastAsia="Cambria" w:hAnsi="Times New Roman" w:cs="Times New Roman"/>
          <w:b/>
          <w:sz w:val="24"/>
          <w:szCs w:val="24"/>
        </w:rPr>
      </w:pPr>
    </w:p>
    <w:p w14:paraId="6E6B8AEE" w14:textId="73D1D844" w:rsidR="00993244" w:rsidRDefault="00993244" w:rsidP="00993244">
      <w:pPr>
        <w:spacing w:after="0" w:line="240" w:lineRule="auto"/>
        <w:outlineLvl w:val="0"/>
        <w:rPr>
          <w:rFonts w:ascii="Times New Roman" w:eastAsia="Cambria" w:hAnsi="Times New Roman" w:cs="Times New Roman"/>
          <w:sz w:val="24"/>
          <w:szCs w:val="24"/>
          <w:vertAlign w:val="superscript"/>
        </w:rPr>
      </w:pPr>
      <w:r>
        <w:rPr>
          <w:rFonts w:ascii="Times New Roman" w:eastAsia="Cambria" w:hAnsi="Times New Roman" w:cs="Times New Roman"/>
          <w:sz w:val="24"/>
          <w:szCs w:val="24"/>
        </w:rPr>
        <w:t xml:space="preserve">Heather R Nenninger </w:t>
      </w:r>
      <w:r>
        <w:rPr>
          <w:rFonts w:ascii="Times New Roman" w:eastAsia="Cambria" w:hAnsi="Times New Roman" w:cs="Times New Roman"/>
          <w:sz w:val="24"/>
          <w:szCs w:val="24"/>
          <w:vertAlign w:val="superscript"/>
        </w:rPr>
        <w:t xml:space="preserve">ab∆ </w:t>
      </w:r>
      <w:r>
        <w:rPr>
          <w:rFonts w:ascii="Times New Roman" w:eastAsia="Cambria" w:hAnsi="Times New Roman" w:cs="Times New Roman"/>
          <w:sz w:val="24"/>
          <w:szCs w:val="24"/>
        </w:rPr>
        <w:t xml:space="preserve">and Nicola Koper </w:t>
      </w:r>
      <w:r>
        <w:rPr>
          <w:rFonts w:ascii="Times New Roman" w:eastAsia="Cambria" w:hAnsi="Times New Roman" w:cs="Times New Roman"/>
          <w:sz w:val="24"/>
          <w:szCs w:val="24"/>
          <w:vertAlign w:val="superscript"/>
        </w:rPr>
        <w:t>ac</w:t>
      </w:r>
    </w:p>
    <w:p w14:paraId="2EBDC566" w14:textId="77777777" w:rsidR="00993244" w:rsidRPr="00993244" w:rsidRDefault="00993244" w:rsidP="00993244">
      <w:pPr>
        <w:spacing w:after="0" w:line="240" w:lineRule="auto"/>
        <w:outlineLvl w:val="0"/>
        <w:rPr>
          <w:rFonts w:ascii="Times New Roman" w:eastAsia="Cambria" w:hAnsi="Times New Roman" w:cs="Times New Roman"/>
          <w:sz w:val="24"/>
          <w:szCs w:val="24"/>
          <w:vertAlign w:val="superscript"/>
        </w:rPr>
      </w:pPr>
    </w:p>
    <w:p w14:paraId="414A9420" w14:textId="77777777" w:rsidR="00993244" w:rsidRDefault="00993244" w:rsidP="00993244">
      <w:pPr>
        <w:spacing w:after="0" w:line="240" w:lineRule="auto"/>
        <w:outlineLvl w:val="0"/>
        <w:rPr>
          <w:rFonts w:ascii="Times New Roman" w:eastAsia="MS Gothic" w:hAnsi="Times New Roman" w:cs="Times New Roman"/>
          <w:bCs/>
          <w:sz w:val="24"/>
          <w:szCs w:val="26"/>
        </w:rPr>
      </w:pPr>
      <w:r>
        <w:rPr>
          <w:rFonts w:ascii="Times New Roman" w:eastAsia="MS Gothic" w:hAnsi="Times New Roman" w:cs="Times New Roman"/>
          <w:bCs/>
          <w:sz w:val="24"/>
          <w:szCs w:val="26"/>
          <w:vertAlign w:val="superscript"/>
        </w:rPr>
        <w:t>a</w:t>
      </w:r>
      <w:r>
        <w:rPr>
          <w:rFonts w:ascii="Times New Roman" w:eastAsia="MS Gothic" w:hAnsi="Times New Roman" w:cs="Times New Roman"/>
          <w:bCs/>
          <w:sz w:val="24"/>
          <w:szCs w:val="26"/>
        </w:rPr>
        <w:t xml:space="preserve"> </w:t>
      </w:r>
      <w:r w:rsidRPr="00993244">
        <w:rPr>
          <w:rFonts w:ascii="Times New Roman" w:eastAsia="MS Gothic" w:hAnsi="Times New Roman" w:cs="Times New Roman"/>
          <w:bCs/>
          <w:sz w:val="24"/>
          <w:szCs w:val="26"/>
        </w:rPr>
        <w:t>University of Manitoba, Natural Resources Institute, 303-70 Dysart</w:t>
      </w:r>
      <w:r>
        <w:rPr>
          <w:rFonts w:ascii="Times New Roman" w:eastAsia="MS Gothic" w:hAnsi="Times New Roman" w:cs="Times New Roman"/>
          <w:bCs/>
          <w:sz w:val="24"/>
          <w:szCs w:val="26"/>
        </w:rPr>
        <w:t xml:space="preserve"> </w:t>
      </w:r>
      <w:r w:rsidRPr="00993244">
        <w:rPr>
          <w:rFonts w:ascii="Times New Roman" w:eastAsia="MS Gothic" w:hAnsi="Times New Roman" w:cs="Times New Roman"/>
          <w:bCs/>
          <w:sz w:val="24"/>
          <w:szCs w:val="26"/>
        </w:rPr>
        <w:t>Road, Winnipeg, MB, Canada, R3T 2M6.</w:t>
      </w:r>
    </w:p>
    <w:p w14:paraId="652160B2" w14:textId="61AAD576" w:rsidR="00993244" w:rsidRDefault="00993244" w:rsidP="00993244">
      <w:pPr>
        <w:spacing w:after="0" w:line="240" w:lineRule="auto"/>
        <w:outlineLvl w:val="0"/>
        <w:rPr>
          <w:rFonts w:ascii="Times New Roman" w:eastAsia="MS Gothic" w:hAnsi="Times New Roman" w:cs="Times New Roman"/>
          <w:bCs/>
          <w:sz w:val="24"/>
          <w:szCs w:val="26"/>
        </w:rPr>
      </w:pPr>
      <w:r>
        <w:rPr>
          <w:rFonts w:ascii="Times New Roman" w:eastAsia="MS Gothic" w:hAnsi="Times New Roman" w:cs="Times New Roman"/>
          <w:bCs/>
          <w:sz w:val="24"/>
          <w:szCs w:val="26"/>
          <w:vertAlign w:val="superscript"/>
        </w:rPr>
        <w:t>b</w:t>
      </w:r>
      <w:r>
        <w:rPr>
          <w:rFonts w:ascii="Times New Roman" w:eastAsia="MS Gothic" w:hAnsi="Times New Roman" w:cs="Times New Roman"/>
          <w:bCs/>
          <w:sz w:val="24"/>
          <w:szCs w:val="26"/>
        </w:rPr>
        <w:t xml:space="preserve"> </w:t>
      </w:r>
      <w:r w:rsidRPr="009C5B21">
        <w:rPr>
          <w:rFonts w:ascii="Times New Roman" w:eastAsia="MS Gothic" w:hAnsi="Times New Roman" w:cs="Times New Roman"/>
          <w:bCs/>
          <w:sz w:val="24"/>
          <w:szCs w:val="26"/>
        </w:rPr>
        <w:t>Heather.Nenninger@gmail.com</w:t>
      </w:r>
    </w:p>
    <w:p w14:paraId="4C877B08" w14:textId="69B4C19F" w:rsidR="00993244" w:rsidRDefault="00993244" w:rsidP="00993244">
      <w:pPr>
        <w:spacing w:after="0" w:line="240" w:lineRule="auto"/>
        <w:outlineLvl w:val="0"/>
        <w:rPr>
          <w:rFonts w:ascii="Times New Roman" w:eastAsia="MS Gothic" w:hAnsi="Times New Roman" w:cs="Times New Roman"/>
          <w:bCs/>
          <w:sz w:val="24"/>
          <w:szCs w:val="26"/>
        </w:rPr>
      </w:pPr>
      <w:r>
        <w:rPr>
          <w:rFonts w:ascii="Times New Roman" w:eastAsia="MS Gothic" w:hAnsi="Times New Roman" w:cs="Times New Roman"/>
          <w:bCs/>
          <w:sz w:val="24"/>
          <w:szCs w:val="26"/>
          <w:vertAlign w:val="superscript"/>
        </w:rPr>
        <w:t>c</w:t>
      </w:r>
      <w:r>
        <w:rPr>
          <w:rFonts w:ascii="Times New Roman" w:eastAsia="MS Gothic" w:hAnsi="Times New Roman" w:cs="Times New Roman"/>
          <w:bCs/>
          <w:sz w:val="24"/>
          <w:szCs w:val="26"/>
        </w:rPr>
        <w:t xml:space="preserve"> </w:t>
      </w:r>
      <w:r w:rsidRPr="009C5B21">
        <w:rPr>
          <w:rFonts w:ascii="Times New Roman" w:eastAsia="MS Gothic" w:hAnsi="Times New Roman" w:cs="Times New Roman"/>
          <w:bCs/>
          <w:sz w:val="24"/>
          <w:szCs w:val="26"/>
        </w:rPr>
        <w:t>Nicola.Koper@umanitoba.ca</w:t>
      </w:r>
    </w:p>
    <w:p w14:paraId="4604F5D8" w14:textId="77777777" w:rsidR="00DB0E5B" w:rsidRPr="00DB0E5B" w:rsidRDefault="00993244" w:rsidP="00DB0E5B">
      <w:pPr>
        <w:rPr>
          <w:rFonts w:ascii="Times New Roman" w:eastAsia="MS Gothic" w:hAnsi="Times New Roman" w:cs="Times New Roman"/>
          <w:bCs/>
          <w:sz w:val="24"/>
          <w:szCs w:val="26"/>
        </w:rPr>
      </w:pPr>
      <w:r w:rsidRPr="00DB0E5B">
        <w:rPr>
          <w:rFonts w:ascii="Times New Roman" w:eastAsia="MS Gothic" w:hAnsi="Times New Roman" w:cs="Times New Roman"/>
          <w:bCs/>
          <w:sz w:val="24"/>
          <w:szCs w:val="26"/>
          <w:vertAlign w:val="superscript"/>
        </w:rPr>
        <w:t>∆</w:t>
      </w:r>
      <w:r w:rsidRPr="00DB0E5B">
        <w:rPr>
          <w:rFonts w:ascii="Times New Roman" w:eastAsia="MS Gothic" w:hAnsi="Times New Roman" w:cs="Times New Roman"/>
          <w:bCs/>
          <w:sz w:val="24"/>
          <w:szCs w:val="26"/>
        </w:rPr>
        <w:t xml:space="preserve"> Corresponding author. Phone</w:t>
      </w:r>
      <w:r w:rsidR="00297F42" w:rsidRPr="00DB0E5B">
        <w:rPr>
          <w:rFonts w:ascii="Times New Roman" w:eastAsia="MS Gothic" w:hAnsi="Times New Roman" w:cs="Times New Roman"/>
          <w:bCs/>
          <w:sz w:val="24"/>
          <w:szCs w:val="26"/>
        </w:rPr>
        <w:t>:</w:t>
      </w:r>
      <w:r w:rsidRPr="00DB0E5B">
        <w:rPr>
          <w:rFonts w:ascii="Times New Roman" w:eastAsia="MS Gothic" w:hAnsi="Times New Roman" w:cs="Times New Roman"/>
          <w:bCs/>
          <w:sz w:val="24"/>
          <w:szCs w:val="26"/>
        </w:rPr>
        <w:t xml:space="preserve"> 1 (360) 265-1850</w:t>
      </w:r>
    </w:p>
    <w:p w14:paraId="5F6FF958" w14:textId="795913E5" w:rsidR="00DB0E5B" w:rsidRPr="00DB0E5B" w:rsidRDefault="00DB0E5B" w:rsidP="00DB0E5B">
      <w:pPr>
        <w:numPr>
          <w:ilvl w:val="0"/>
          <w:numId w:val="10"/>
        </w:numPr>
        <w:spacing w:after="0" w:line="240" w:lineRule="auto"/>
        <w:ind w:left="0" w:hanging="567"/>
        <w:rPr>
          <w:rFonts w:ascii="Times New Roman" w:eastAsia="Cambria" w:hAnsi="Times New Roman" w:cs="Times New Roman"/>
          <w:sz w:val="24"/>
          <w:szCs w:val="24"/>
        </w:rPr>
      </w:pPr>
      <w:r w:rsidRPr="00DB0E5B">
        <w:rPr>
          <w:rFonts w:ascii="Times New Roman" w:hAnsi="Times New Roman" w:cs="Times New Roman"/>
          <w:sz w:val="24"/>
          <w:szCs w:val="24"/>
        </w:rPr>
        <w:t xml:space="preserve">Nenninger, H. and Koper, N. 2018. Effects of conventional oil wells on grassland songbird abundance are caused by presence of infrastructure, </w:t>
      </w:r>
      <w:r w:rsidRPr="00F52071">
        <w:rPr>
          <w:rFonts w:ascii="Times New Roman" w:hAnsi="Times New Roman" w:cs="Times New Roman"/>
          <w:sz w:val="24"/>
          <w:szCs w:val="24"/>
        </w:rPr>
        <w:t>not noise</w:t>
      </w:r>
      <w:r w:rsidRPr="00F52071">
        <w:rPr>
          <w:rFonts w:ascii="Times New Roman" w:eastAsia="Cambria" w:hAnsi="Times New Roman" w:cs="Times New Roman"/>
          <w:sz w:val="24"/>
          <w:szCs w:val="24"/>
        </w:rPr>
        <w:t>. Biological Conservation, 218: 124-133.</w:t>
      </w:r>
      <w:r w:rsidR="00F52071" w:rsidRPr="00F52071">
        <w:rPr>
          <w:rFonts w:ascii="Times New Roman" w:eastAsia="Cambria" w:hAnsi="Times New Roman" w:cs="Times New Roman"/>
          <w:sz w:val="24"/>
          <w:szCs w:val="24"/>
        </w:rPr>
        <w:t xml:space="preserve"> </w:t>
      </w:r>
      <w:hyperlink r:id="rId8" w:tgtFrame="_blank" w:tooltip="Persistent link using digital object identifier" w:history="1">
        <w:r w:rsidR="00F52071" w:rsidRPr="00F52071">
          <w:rPr>
            <w:rStyle w:val="Hyperlink"/>
            <w:rFonts w:ascii="Times New Roman" w:hAnsi="Times New Roman" w:cs="Times New Roman"/>
            <w:color w:val="0C7DBB"/>
            <w:sz w:val="24"/>
            <w:szCs w:val="24"/>
          </w:rPr>
          <w:t>https://doi.org/10.1016/j.biocon.2017.11.014</w:t>
        </w:r>
      </w:hyperlink>
      <w:bookmarkStart w:id="3" w:name="_GoBack"/>
      <w:bookmarkEnd w:id="3"/>
    </w:p>
    <w:p w14:paraId="4FC2CC8C" w14:textId="2C16D6D2" w:rsidR="00DB0E5B" w:rsidRPr="00DB0E5B" w:rsidRDefault="00DB0E5B" w:rsidP="00DB0E5B">
      <w:pPr>
        <w:rPr>
          <w:rFonts w:ascii="Times New Roman" w:hAnsi="Times New Roman" w:cs="Times New Roman"/>
          <w:sz w:val="24"/>
          <w:szCs w:val="24"/>
        </w:rPr>
      </w:pPr>
      <w:r w:rsidRPr="00DB0E5B">
        <w:rPr>
          <w:rFonts w:ascii="Times New Roman" w:eastAsia="MS Gothic" w:hAnsi="Times New Roman" w:cs="Times New Roman"/>
          <w:bCs/>
          <w:sz w:val="24"/>
          <w:szCs w:val="24"/>
        </w:rPr>
        <w:br/>
      </w:r>
      <w:r w:rsidRPr="00DB0E5B">
        <w:rPr>
          <w:rFonts w:ascii="Times New Roman" w:hAnsi="Times New Roman" w:cs="Times New Roman"/>
          <w:sz w:val="24"/>
          <w:szCs w:val="24"/>
        </w:rPr>
        <w:t>© 2018. This manuscript version is made available under the CC-BY-NC-ND 4.0 license http://creativecommons.org/licenses/by-nc-nd/4.0/</w:t>
      </w:r>
    </w:p>
    <w:p w14:paraId="696D9B33" w14:textId="77777777" w:rsidR="00FF72F0" w:rsidRPr="00FF72F0" w:rsidRDefault="00FF72F0" w:rsidP="00A24179">
      <w:pPr>
        <w:keepNext/>
        <w:keepLines/>
        <w:spacing w:before="200" w:after="0" w:line="240" w:lineRule="auto"/>
        <w:outlineLvl w:val="1"/>
        <w:rPr>
          <w:rFonts w:ascii="Times New Roman" w:eastAsia="MS Gothic" w:hAnsi="Times New Roman" w:cs="Times New Roman"/>
          <w:b/>
          <w:bCs/>
          <w:sz w:val="24"/>
          <w:szCs w:val="26"/>
        </w:rPr>
      </w:pPr>
      <w:bookmarkStart w:id="4" w:name="_Toc457468049"/>
      <w:bookmarkStart w:id="5" w:name="_Toc297233590"/>
      <w:bookmarkStart w:id="6" w:name="_Toc297107689"/>
      <w:r w:rsidRPr="00FF72F0">
        <w:rPr>
          <w:rFonts w:ascii="Times New Roman" w:eastAsia="MS Gothic" w:hAnsi="Times New Roman" w:cs="Times New Roman"/>
          <w:b/>
          <w:bCs/>
          <w:sz w:val="24"/>
          <w:szCs w:val="26"/>
        </w:rPr>
        <w:t>Abstract</w:t>
      </w:r>
      <w:bookmarkEnd w:id="4"/>
    </w:p>
    <w:p w14:paraId="2CE7DBAE" w14:textId="65B4D818" w:rsidR="00FF72F0" w:rsidRDefault="00AD38E0" w:rsidP="00A24179">
      <w:pPr>
        <w:spacing w:after="0" w:line="240" w:lineRule="auto"/>
        <w:rPr>
          <w:rFonts w:ascii="Times New Roman" w:eastAsia="Cambria" w:hAnsi="Times New Roman" w:cs="Times New Roman"/>
          <w:sz w:val="24"/>
          <w:szCs w:val="24"/>
        </w:rPr>
      </w:pPr>
      <w:r>
        <w:rPr>
          <w:rFonts w:ascii="Times New Roman" w:eastAsia="Cambria" w:hAnsi="Times New Roman" w:cs="Times New Roman"/>
          <w:sz w:val="24"/>
          <w:szCs w:val="24"/>
        </w:rPr>
        <w:t>Understanding the mechanisms that explain</w:t>
      </w:r>
      <w:r w:rsidR="00FF72F0" w:rsidRPr="00FF72F0">
        <w:rPr>
          <w:rFonts w:ascii="Times New Roman" w:eastAsia="Cambria" w:hAnsi="Times New Roman" w:cs="Times New Roman"/>
          <w:sz w:val="24"/>
          <w:szCs w:val="24"/>
        </w:rPr>
        <w:t xml:space="preserve"> why oil infrastructure has an effect</w:t>
      </w:r>
      <w:r>
        <w:rPr>
          <w:rFonts w:ascii="Times New Roman" w:eastAsia="Cambria" w:hAnsi="Times New Roman" w:cs="Times New Roman"/>
          <w:sz w:val="24"/>
          <w:szCs w:val="24"/>
        </w:rPr>
        <w:t xml:space="preserve"> on wildlife, and comparing effects of different types of infrastructure, is necessary </w:t>
      </w:r>
      <w:r w:rsidR="00FF72F0" w:rsidRPr="00FF72F0">
        <w:rPr>
          <w:rFonts w:ascii="Times New Roman" w:eastAsia="Cambria" w:hAnsi="Times New Roman" w:cs="Times New Roman"/>
          <w:sz w:val="24"/>
          <w:szCs w:val="24"/>
        </w:rPr>
        <w:t xml:space="preserve">for </w:t>
      </w:r>
      <w:r>
        <w:rPr>
          <w:rFonts w:ascii="Times New Roman" w:eastAsia="Cambria" w:hAnsi="Times New Roman" w:cs="Times New Roman"/>
          <w:sz w:val="24"/>
          <w:szCs w:val="24"/>
        </w:rPr>
        <w:t>determining</w:t>
      </w:r>
      <w:r w:rsidRPr="00FF72F0">
        <w:rPr>
          <w:rFonts w:ascii="Times New Roman" w:eastAsia="Cambria" w:hAnsi="Times New Roman" w:cs="Times New Roman"/>
          <w:sz w:val="24"/>
          <w:szCs w:val="24"/>
        </w:rPr>
        <w:t xml:space="preserve"> </w:t>
      </w:r>
      <w:r w:rsidR="00FF72F0" w:rsidRPr="00FF72F0">
        <w:rPr>
          <w:rFonts w:ascii="Times New Roman" w:eastAsia="Cambria" w:hAnsi="Times New Roman" w:cs="Times New Roman"/>
          <w:sz w:val="24"/>
          <w:szCs w:val="24"/>
        </w:rPr>
        <w:t xml:space="preserve">how we may minimize or mitigate those effects. </w:t>
      </w:r>
      <w:r>
        <w:rPr>
          <w:rFonts w:ascii="Times New Roman" w:eastAsia="Cambria" w:hAnsi="Times New Roman" w:cs="Times New Roman"/>
          <w:sz w:val="24"/>
          <w:szCs w:val="24"/>
        </w:rPr>
        <w:t>We</w:t>
      </w:r>
      <w:r w:rsidRPr="00FF72F0">
        <w:rPr>
          <w:rFonts w:ascii="Times New Roman" w:eastAsia="Cambria" w:hAnsi="Times New Roman" w:cs="Times New Roman"/>
          <w:sz w:val="24"/>
          <w:szCs w:val="24"/>
        </w:rPr>
        <w:t xml:space="preserve"> compared the abundances of </w:t>
      </w:r>
      <w:r w:rsidR="00A138D5">
        <w:rPr>
          <w:rFonts w:ascii="Times New Roman" w:eastAsia="Cambria" w:hAnsi="Times New Roman" w:cs="Times New Roman"/>
          <w:sz w:val="24"/>
          <w:szCs w:val="24"/>
        </w:rPr>
        <w:t>five</w:t>
      </w:r>
      <w:r w:rsidRPr="00FF72F0">
        <w:rPr>
          <w:rFonts w:ascii="Times New Roman" w:eastAsia="Cambria" w:hAnsi="Times New Roman" w:cs="Times New Roman"/>
          <w:sz w:val="24"/>
          <w:szCs w:val="24"/>
        </w:rPr>
        <w:t xml:space="preserve"> </w:t>
      </w:r>
      <w:r w:rsidR="00A138D5">
        <w:rPr>
          <w:rFonts w:ascii="Times New Roman" w:eastAsia="Cambria" w:hAnsi="Times New Roman" w:cs="Times New Roman"/>
          <w:sz w:val="24"/>
          <w:szCs w:val="24"/>
        </w:rPr>
        <w:t xml:space="preserve">grassland </w:t>
      </w:r>
      <w:r w:rsidRPr="00FF72F0">
        <w:rPr>
          <w:rFonts w:ascii="Times New Roman" w:eastAsia="Cambria" w:hAnsi="Times New Roman" w:cs="Times New Roman"/>
          <w:sz w:val="24"/>
          <w:szCs w:val="24"/>
        </w:rPr>
        <w:t xml:space="preserve">songbird species at oil </w:t>
      </w:r>
      <w:r w:rsidR="00A138D5">
        <w:rPr>
          <w:rFonts w:ascii="Times New Roman" w:eastAsia="Cambria" w:hAnsi="Times New Roman" w:cs="Times New Roman"/>
          <w:sz w:val="24"/>
          <w:szCs w:val="24"/>
        </w:rPr>
        <w:t>well</w:t>
      </w:r>
      <w:r w:rsidRPr="00FF72F0">
        <w:rPr>
          <w:rFonts w:ascii="Times New Roman" w:eastAsia="Cambria" w:hAnsi="Times New Roman" w:cs="Times New Roman"/>
          <w:sz w:val="24"/>
          <w:szCs w:val="24"/>
        </w:rPr>
        <w:t xml:space="preserve"> sites with different pump mechanisms</w:t>
      </w:r>
      <w:r>
        <w:rPr>
          <w:rFonts w:ascii="Times New Roman" w:eastAsia="Cambria" w:hAnsi="Times New Roman" w:cs="Times New Roman"/>
          <w:sz w:val="24"/>
          <w:szCs w:val="24"/>
        </w:rPr>
        <w:t xml:space="preserve"> and</w:t>
      </w:r>
      <w:r w:rsidRPr="00FF72F0">
        <w:rPr>
          <w:rFonts w:ascii="Times New Roman" w:eastAsia="Cambria" w:hAnsi="Times New Roman" w:cs="Times New Roman"/>
          <w:sz w:val="24"/>
          <w:szCs w:val="24"/>
        </w:rPr>
        <w:t xml:space="preserve"> power sources</w:t>
      </w:r>
      <w:r w:rsidR="00A138D5">
        <w:rPr>
          <w:rFonts w:ascii="Times New Roman" w:eastAsia="Cambria" w:hAnsi="Times New Roman" w:cs="Times New Roman"/>
          <w:sz w:val="24"/>
          <w:szCs w:val="24"/>
        </w:rPr>
        <w:t>, and determined the effects of exotic vegetation, perch sites, and road densities</w:t>
      </w:r>
      <w:r w:rsidRPr="00FF72F0">
        <w:rPr>
          <w:rFonts w:ascii="Times New Roman" w:eastAsia="Cambria" w:hAnsi="Times New Roman" w:cs="Times New Roman"/>
          <w:sz w:val="24"/>
          <w:szCs w:val="24"/>
        </w:rPr>
        <w:t xml:space="preserve">. </w:t>
      </w:r>
      <w:r w:rsidR="00A138D5">
        <w:rPr>
          <w:rFonts w:ascii="Times New Roman" w:eastAsia="Cambria" w:hAnsi="Times New Roman" w:cs="Times New Roman"/>
          <w:sz w:val="24"/>
          <w:szCs w:val="24"/>
        </w:rPr>
        <w:t xml:space="preserve">We compared effects of wells that were active with effects of wells that were turned off to evaluate whether effects of wells were caused by noise or human activity at wells. </w:t>
      </w:r>
      <w:r>
        <w:rPr>
          <w:rFonts w:ascii="Times New Roman" w:eastAsia="Cambria" w:hAnsi="Times New Roman" w:cs="Times New Roman"/>
          <w:sz w:val="24"/>
          <w:szCs w:val="24"/>
        </w:rPr>
        <w:t>W</w:t>
      </w:r>
      <w:r w:rsidR="00FF72F0" w:rsidRPr="00FF72F0">
        <w:rPr>
          <w:rFonts w:ascii="Times New Roman" w:eastAsia="Cambria" w:hAnsi="Times New Roman" w:cs="Times New Roman"/>
          <w:sz w:val="24"/>
          <w:szCs w:val="24"/>
        </w:rPr>
        <w:t xml:space="preserve">e </w:t>
      </w:r>
      <w:r w:rsidR="00A138D5">
        <w:rPr>
          <w:rFonts w:ascii="Times New Roman" w:eastAsia="Cambria" w:hAnsi="Times New Roman" w:cs="Times New Roman"/>
          <w:sz w:val="24"/>
          <w:szCs w:val="24"/>
        </w:rPr>
        <w:t>conducted</w:t>
      </w:r>
      <w:r w:rsidR="00FF72F0" w:rsidRPr="00FF72F0">
        <w:rPr>
          <w:rFonts w:ascii="Times New Roman" w:eastAsia="Cambria" w:hAnsi="Times New Roman" w:cs="Times New Roman"/>
          <w:sz w:val="24"/>
          <w:szCs w:val="24"/>
        </w:rPr>
        <w:t xml:space="preserve"> 800-m abundance transects at 4</w:t>
      </w:r>
      <w:r w:rsidR="004D71DF">
        <w:rPr>
          <w:rFonts w:ascii="Times New Roman" w:eastAsia="Cambria" w:hAnsi="Times New Roman" w:cs="Times New Roman"/>
          <w:sz w:val="24"/>
          <w:szCs w:val="24"/>
        </w:rPr>
        <w:t>2</w:t>
      </w:r>
      <w:r w:rsidR="00FF72F0" w:rsidRPr="00FF72F0">
        <w:rPr>
          <w:rFonts w:ascii="Times New Roman" w:eastAsia="Cambria" w:hAnsi="Times New Roman" w:cs="Times New Roman"/>
          <w:sz w:val="24"/>
          <w:szCs w:val="24"/>
        </w:rPr>
        <w:t xml:space="preserve"> sites twice per year in 2013 and 2014 in Alberta</w:t>
      </w:r>
      <w:r>
        <w:rPr>
          <w:rFonts w:ascii="Times New Roman" w:eastAsia="Cambria" w:hAnsi="Times New Roman" w:cs="Times New Roman"/>
          <w:sz w:val="24"/>
          <w:szCs w:val="24"/>
        </w:rPr>
        <w:t>, Canada</w:t>
      </w:r>
      <w:r w:rsidR="00FF72F0" w:rsidRPr="00FF72F0">
        <w:rPr>
          <w:rFonts w:ascii="Times New Roman" w:eastAsia="Cambria" w:hAnsi="Times New Roman" w:cs="Times New Roman"/>
          <w:sz w:val="24"/>
          <w:szCs w:val="24"/>
        </w:rPr>
        <w:t xml:space="preserve">. </w:t>
      </w:r>
      <w:r w:rsidR="00A138D5">
        <w:rPr>
          <w:rFonts w:ascii="Times New Roman" w:eastAsia="Cambria" w:hAnsi="Times New Roman" w:cs="Times New Roman"/>
          <w:sz w:val="24"/>
          <w:szCs w:val="24"/>
        </w:rPr>
        <w:t>Two species at risk,</w:t>
      </w:r>
      <w:r w:rsidR="00A138D5" w:rsidRPr="00FF72F0">
        <w:rPr>
          <w:rFonts w:ascii="Times New Roman" w:eastAsia="Cambria" w:hAnsi="Times New Roman" w:cs="Times New Roman"/>
          <w:sz w:val="24"/>
          <w:szCs w:val="24"/>
        </w:rPr>
        <w:t xml:space="preserve"> </w:t>
      </w:r>
      <w:r w:rsidR="00FF72F0" w:rsidRPr="00FF72F0">
        <w:rPr>
          <w:rFonts w:ascii="Times New Roman" w:eastAsia="Cambria" w:hAnsi="Times New Roman" w:cs="Times New Roman"/>
          <w:sz w:val="24"/>
          <w:szCs w:val="24"/>
        </w:rPr>
        <w:t>Baird’s sparrows (</w:t>
      </w:r>
      <w:r w:rsidR="00FF72F0" w:rsidRPr="00FF72F0">
        <w:rPr>
          <w:rFonts w:ascii="Times New Roman" w:eastAsia="Cambria" w:hAnsi="Times New Roman" w:cs="Times New Roman"/>
          <w:i/>
          <w:sz w:val="24"/>
          <w:szCs w:val="24"/>
        </w:rPr>
        <w:t>Ammodramus bairdii</w:t>
      </w:r>
      <w:r w:rsidR="00FF72F0" w:rsidRPr="00FF72F0">
        <w:rPr>
          <w:rFonts w:ascii="Times New Roman" w:eastAsia="Cambria" w:hAnsi="Times New Roman" w:cs="Times New Roman"/>
          <w:sz w:val="24"/>
          <w:szCs w:val="24"/>
        </w:rPr>
        <w:t>) and Sprague’s pipits (</w:t>
      </w:r>
      <w:r w:rsidR="00FF72F0" w:rsidRPr="00FF72F0">
        <w:rPr>
          <w:rFonts w:ascii="Times New Roman" w:eastAsia="Cambria" w:hAnsi="Times New Roman" w:cs="Times New Roman"/>
          <w:i/>
          <w:sz w:val="24"/>
          <w:szCs w:val="24"/>
        </w:rPr>
        <w:t>Anthus spragueii</w:t>
      </w:r>
      <w:r w:rsidR="00FF72F0" w:rsidRPr="00FF72F0">
        <w:rPr>
          <w:rFonts w:ascii="Times New Roman" w:eastAsia="Cambria" w:hAnsi="Times New Roman" w:cs="Times New Roman"/>
          <w:sz w:val="24"/>
          <w:szCs w:val="24"/>
        </w:rPr>
        <w:t>)</w:t>
      </w:r>
      <w:r w:rsidR="00A138D5">
        <w:rPr>
          <w:rFonts w:ascii="Times New Roman" w:eastAsia="Cambria" w:hAnsi="Times New Roman" w:cs="Times New Roman"/>
          <w:sz w:val="24"/>
          <w:szCs w:val="24"/>
        </w:rPr>
        <w:t>,</w:t>
      </w:r>
      <w:r w:rsidR="00FF72F0" w:rsidRPr="00FF72F0">
        <w:rPr>
          <w:rFonts w:ascii="Times New Roman" w:eastAsia="Cambria" w:hAnsi="Times New Roman" w:cs="Times New Roman"/>
          <w:sz w:val="24"/>
          <w:szCs w:val="24"/>
        </w:rPr>
        <w:t xml:space="preserve"> had significantly lower abundances at all sites that contained oil infrastructure. </w:t>
      </w:r>
      <w:r w:rsidR="00A138D5">
        <w:rPr>
          <w:rFonts w:ascii="Times New Roman" w:eastAsia="Cambria" w:hAnsi="Times New Roman" w:cs="Times New Roman"/>
          <w:sz w:val="24"/>
          <w:szCs w:val="24"/>
        </w:rPr>
        <w:t>However, t</w:t>
      </w:r>
      <w:r w:rsidR="00FF72F0" w:rsidRPr="00FF72F0">
        <w:rPr>
          <w:rFonts w:ascii="Times New Roman" w:eastAsia="Cambria" w:hAnsi="Times New Roman" w:cs="Times New Roman"/>
          <w:sz w:val="24"/>
          <w:szCs w:val="24"/>
        </w:rPr>
        <w:t xml:space="preserve">here was little evidence that noise, human activity, or traffic explained these effects. </w:t>
      </w:r>
      <w:r w:rsidR="001A063B">
        <w:rPr>
          <w:rFonts w:ascii="Times New Roman" w:eastAsia="Cambria" w:hAnsi="Times New Roman" w:cs="Times New Roman"/>
          <w:sz w:val="24"/>
          <w:szCs w:val="24"/>
        </w:rPr>
        <w:t>Effects of active and inactive wells were the same</w:t>
      </w:r>
      <w:r w:rsidR="00A37DE4">
        <w:rPr>
          <w:rFonts w:ascii="Times New Roman" w:eastAsia="Cambria" w:hAnsi="Times New Roman" w:cs="Times New Roman"/>
          <w:sz w:val="24"/>
          <w:szCs w:val="24"/>
        </w:rPr>
        <w:t xml:space="preserve">, and </w:t>
      </w:r>
      <w:r w:rsidR="001A063B">
        <w:rPr>
          <w:rFonts w:ascii="Times New Roman" w:eastAsia="Cambria" w:hAnsi="Times New Roman" w:cs="Times New Roman"/>
          <w:sz w:val="24"/>
          <w:szCs w:val="24"/>
        </w:rPr>
        <w:t xml:space="preserve">grid-powered wells had a greater </w:t>
      </w:r>
      <w:r w:rsidR="00B05C37">
        <w:rPr>
          <w:rFonts w:ascii="Times New Roman" w:eastAsia="Cambria" w:hAnsi="Times New Roman" w:cs="Times New Roman"/>
          <w:sz w:val="24"/>
          <w:szCs w:val="24"/>
        </w:rPr>
        <w:t xml:space="preserve">effect </w:t>
      </w:r>
      <w:r w:rsidR="001A063B">
        <w:rPr>
          <w:rFonts w:ascii="Times New Roman" w:eastAsia="Cambria" w:hAnsi="Times New Roman" w:cs="Times New Roman"/>
          <w:sz w:val="24"/>
          <w:szCs w:val="24"/>
        </w:rPr>
        <w:t xml:space="preserve">than did generator-powered wells, </w:t>
      </w:r>
      <w:r w:rsidR="00A37DE4">
        <w:rPr>
          <w:rFonts w:ascii="Times New Roman" w:eastAsia="Cambria" w:hAnsi="Times New Roman" w:cs="Times New Roman"/>
          <w:sz w:val="24"/>
          <w:szCs w:val="24"/>
        </w:rPr>
        <w:t>although</w:t>
      </w:r>
      <w:r w:rsidR="001A063B">
        <w:rPr>
          <w:rFonts w:ascii="Times New Roman" w:eastAsia="Cambria" w:hAnsi="Times New Roman" w:cs="Times New Roman"/>
          <w:sz w:val="24"/>
          <w:szCs w:val="24"/>
        </w:rPr>
        <w:t xml:space="preserve"> generator-powered wells are louder. </w:t>
      </w:r>
      <w:r w:rsidR="00A138D5">
        <w:rPr>
          <w:rFonts w:ascii="Times New Roman" w:eastAsia="Cambria" w:hAnsi="Times New Roman" w:cs="Times New Roman"/>
          <w:sz w:val="24"/>
          <w:szCs w:val="24"/>
        </w:rPr>
        <w:t xml:space="preserve">Our research suggests that reducing noise, human activity or traffic would not reduce the </w:t>
      </w:r>
      <w:r w:rsidR="00B05C37">
        <w:rPr>
          <w:rFonts w:ascii="Times New Roman" w:eastAsia="Cambria" w:hAnsi="Times New Roman" w:cs="Times New Roman"/>
          <w:sz w:val="24"/>
          <w:szCs w:val="24"/>
        </w:rPr>
        <w:t xml:space="preserve">effects </w:t>
      </w:r>
      <w:r w:rsidR="00A138D5">
        <w:rPr>
          <w:rFonts w:ascii="Times New Roman" w:eastAsia="Cambria" w:hAnsi="Times New Roman" w:cs="Times New Roman"/>
          <w:sz w:val="24"/>
          <w:szCs w:val="24"/>
        </w:rPr>
        <w:t>of wells on grassland songbirds, and</w:t>
      </w:r>
      <w:r w:rsidR="0081777E">
        <w:rPr>
          <w:rFonts w:ascii="Times New Roman" w:eastAsia="Cambria" w:hAnsi="Times New Roman" w:cs="Times New Roman"/>
          <w:sz w:val="24"/>
          <w:szCs w:val="24"/>
        </w:rPr>
        <w:t>,</w:t>
      </w:r>
      <w:r w:rsidR="00A138D5">
        <w:rPr>
          <w:rFonts w:ascii="Times New Roman" w:eastAsia="Cambria" w:hAnsi="Times New Roman" w:cs="Times New Roman"/>
          <w:sz w:val="24"/>
          <w:szCs w:val="24"/>
        </w:rPr>
        <w:t xml:space="preserve"> therefore</w:t>
      </w:r>
      <w:r w:rsidR="0081777E">
        <w:rPr>
          <w:rFonts w:ascii="Times New Roman" w:eastAsia="Cambria" w:hAnsi="Times New Roman" w:cs="Times New Roman"/>
          <w:sz w:val="24"/>
          <w:szCs w:val="24"/>
        </w:rPr>
        <w:t>,</w:t>
      </w:r>
      <w:r w:rsidR="00A138D5">
        <w:rPr>
          <w:rFonts w:ascii="Times New Roman" w:eastAsia="Cambria" w:hAnsi="Times New Roman" w:cs="Times New Roman"/>
          <w:sz w:val="24"/>
          <w:szCs w:val="24"/>
        </w:rPr>
        <w:t xml:space="preserve"> mitigation must focus on minimizing the extent of above-ground infrastructure.</w:t>
      </w:r>
    </w:p>
    <w:p w14:paraId="55E3681E" w14:textId="77777777" w:rsidR="00CE0CC5" w:rsidRDefault="00CE0CC5" w:rsidP="00A24179">
      <w:pPr>
        <w:spacing w:after="0" w:line="240" w:lineRule="auto"/>
        <w:rPr>
          <w:rFonts w:ascii="Times New Roman" w:eastAsia="Cambria" w:hAnsi="Times New Roman" w:cs="Times New Roman"/>
          <w:sz w:val="24"/>
          <w:szCs w:val="24"/>
        </w:rPr>
      </w:pPr>
    </w:p>
    <w:p w14:paraId="4F73FC21" w14:textId="76350757" w:rsidR="00297F42" w:rsidRDefault="00297F42" w:rsidP="00A24179">
      <w:pPr>
        <w:spacing w:after="0" w:line="240" w:lineRule="auto"/>
        <w:rPr>
          <w:rFonts w:ascii="Times New Roman" w:eastAsia="Cambria" w:hAnsi="Times New Roman" w:cs="Times New Roman"/>
          <w:b/>
          <w:sz w:val="24"/>
          <w:szCs w:val="24"/>
        </w:rPr>
      </w:pPr>
      <w:r>
        <w:rPr>
          <w:rFonts w:ascii="Times New Roman" w:eastAsia="Cambria" w:hAnsi="Times New Roman" w:cs="Times New Roman"/>
          <w:b/>
          <w:sz w:val="24"/>
          <w:szCs w:val="24"/>
        </w:rPr>
        <w:t>Keywords</w:t>
      </w:r>
      <w:r w:rsidR="00FF53CF">
        <w:rPr>
          <w:rFonts w:ascii="Times New Roman" w:eastAsia="Cambria" w:hAnsi="Times New Roman" w:cs="Times New Roman"/>
          <w:b/>
          <w:sz w:val="24"/>
          <w:szCs w:val="24"/>
        </w:rPr>
        <w:t>:</w:t>
      </w:r>
    </w:p>
    <w:p w14:paraId="101E32CC" w14:textId="24766046" w:rsidR="00CE0CC5" w:rsidRPr="00CE0CC5" w:rsidRDefault="00297F42" w:rsidP="00A24179">
      <w:pPr>
        <w:spacing w:after="0" w:line="240" w:lineRule="auto"/>
        <w:rPr>
          <w:rFonts w:ascii="Times New Roman" w:eastAsia="Cambria" w:hAnsi="Times New Roman" w:cs="Times New Roman"/>
          <w:sz w:val="24"/>
          <w:szCs w:val="24"/>
        </w:rPr>
      </w:pPr>
      <w:r>
        <w:rPr>
          <w:rFonts w:ascii="Times New Roman" w:eastAsia="Cambria" w:hAnsi="Times New Roman" w:cs="Times New Roman"/>
          <w:sz w:val="24"/>
          <w:szCs w:val="24"/>
        </w:rPr>
        <w:t>C</w:t>
      </w:r>
      <w:r w:rsidR="00CE0CC5">
        <w:rPr>
          <w:rFonts w:ascii="Times New Roman" w:eastAsia="Cambria" w:hAnsi="Times New Roman" w:cs="Times New Roman"/>
          <w:sz w:val="24"/>
          <w:szCs w:val="24"/>
        </w:rPr>
        <w:t>onventional oil</w:t>
      </w:r>
      <w:r w:rsidR="00B542F3">
        <w:rPr>
          <w:rFonts w:ascii="Times New Roman" w:eastAsia="Cambria" w:hAnsi="Times New Roman" w:cs="Times New Roman"/>
          <w:sz w:val="24"/>
          <w:szCs w:val="24"/>
        </w:rPr>
        <w:t>, oil</w:t>
      </w:r>
      <w:r w:rsidR="00CE0CC5">
        <w:rPr>
          <w:rFonts w:ascii="Times New Roman" w:eastAsia="Cambria" w:hAnsi="Times New Roman" w:cs="Times New Roman"/>
          <w:sz w:val="24"/>
          <w:szCs w:val="24"/>
        </w:rPr>
        <w:t xml:space="preserve"> infrastructure, </w:t>
      </w:r>
      <w:r w:rsidR="00B542F3">
        <w:rPr>
          <w:rFonts w:ascii="Times New Roman" w:eastAsia="Cambria" w:hAnsi="Times New Roman" w:cs="Times New Roman"/>
          <w:sz w:val="24"/>
          <w:szCs w:val="24"/>
        </w:rPr>
        <w:t>exotic vegetation, linear features</w:t>
      </w:r>
      <w:r w:rsidR="00CE0CC5">
        <w:rPr>
          <w:rFonts w:ascii="Times New Roman" w:eastAsia="Cambria" w:hAnsi="Times New Roman" w:cs="Times New Roman"/>
          <w:sz w:val="24"/>
          <w:szCs w:val="24"/>
        </w:rPr>
        <w:t xml:space="preserve">, grassland songbirds, anthropogenic noise </w:t>
      </w:r>
    </w:p>
    <w:p w14:paraId="718F8529" w14:textId="5E73EE97" w:rsidR="00FF72F0" w:rsidRPr="00FF72F0" w:rsidRDefault="006F6218" w:rsidP="00A24179">
      <w:pPr>
        <w:keepNext/>
        <w:keepLines/>
        <w:spacing w:before="200" w:after="0" w:line="240" w:lineRule="auto"/>
        <w:outlineLvl w:val="1"/>
        <w:rPr>
          <w:rFonts w:ascii="Times New Roman" w:eastAsia="Cambria" w:hAnsi="Times New Roman" w:cs="Times New Roman"/>
          <w:b/>
          <w:bCs/>
          <w:sz w:val="24"/>
          <w:szCs w:val="26"/>
        </w:rPr>
      </w:pPr>
      <w:bookmarkStart w:id="7" w:name="_Toc457468050"/>
      <w:bookmarkStart w:id="8" w:name="_Toc297233591"/>
      <w:bookmarkEnd w:id="5"/>
      <w:bookmarkEnd w:id="6"/>
      <w:r>
        <w:rPr>
          <w:rFonts w:ascii="Times New Roman" w:eastAsia="MS Gothic" w:hAnsi="Times New Roman" w:cs="Times New Roman"/>
          <w:b/>
          <w:bCs/>
          <w:sz w:val="24"/>
          <w:szCs w:val="26"/>
        </w:rPr>
        <w:t>1</w:t>
      </w:r>
      <w:r w:rsidR="00FF53CF">
        <w:rPr>
          <w:rFonts w:ascii="Times New Roman" w:eastAsia="MS Gothic" w:hAnsi="Times New Roman" w:cs="Times New Roman"/>
          <w:b/>
          <w:bCs/>
          <w:sz w:val="24"/>
          <w:szCs w:val="26"/>
        </w:rPr>
        <w:t>.</w:t>
      </w:r>
      <w:r>
        <w:rPr>
          <w:rFonts w:ascii="Times New Roman" w:eastAsia="MS Gothic" w:hAnsi="Times New Roman" w:cs="Times New Roman"/>
          <w:b/>
          <w:bCs/>
          <w:sz w:val="24"/>
          <w:szCs w:val="26"/>
        </w:rPr>
        <w:t xml:space="preserve"> </w:t>
      </w:r>
      <w:r w:rsidR="00FF72F0" w:rsidRPr="00FF72F0">
        <w:rPr>
          <w:rFonts w:ascii="Times New Roman" w:eastAsia="MS Gothic" w:hAnsi="Times New Roman" w:cs="Times New Roman"/>
          <w:b/>
          <w:bCs/>
          <w:sz w:val="24"/>
          <w:szCs w:val="26"/>
        </w:rPr>
        <w:t>Introduction</w:t>
      </w:r>
      <w:bookmarkEnd w:id="7"/>
    </w:p>
    <w:p w14:paraId="29F479EB" w14:textId="419580B6" w:rsidR="000C3DE1" w:rsidRDefault="002D3BEE" w:rsidP="00A24179">
      <w:pPr>
        <w:spacing w:after="0" w:line="240" w:lineRule="auto"/>
        <w:ind w:firstLine="720"/>
        <w:rPr>
          <w:rFonts w:ascii="Times New Roman" w:eastAsia="Cambria" w:hAnsi="Times New Roman" w:cs="Times New Roman"/>
          <w:sz w:val="24"/>
          <w:szCs w:val="24"/>
        </w:rPr>
      </w:pPr>
      <w:r>
        <w:rPr>
          <w:rFonts w:ascii="Times New Roman" w:eastAsia="Cambria" w:hAnsi="Times New Roman" w:cs="Times New Roman"/>
          <w:sz w:val="24"/>
          <w:szCs w:val="24"/>
        </w:rPr>
        <w:t>Innumerable</w:t>
      </w:r>
      <w:r w:rsidR="00047D8D">
        <w:rPr>
          <w:rFonts w:ascii="Times New Roman" w:eastAsia="Cambria" w:hAnsi="Times New Roman" w:cs="Times New Roman"/>
          <w:sz w:val="24"/>
          <w:szCs w:val="24"/>
        </w:rPr>
        <w:t xml:space="preserve"> </w:t>
      </w:r>
      <w:r w:rsidR="000C3DE1">
        <w:rPr>
          <w:rFonts w:ascii="Times New Roman" w:eastAsia="Cambria" w:hAnsi="Times New Roman" w:cs="Times New Roman"/>
          <w:sz w:val="24"/>
          <w:szCs w:val="24"/>
        </w:rPr>
        <w:t xml:space="preserve">studies have documented the massive impacts that humans have had on our planet. However, we are too often faced with uncertainty </w:t>
      </w:r>
      <w:r w:rsidR="00EF7EE4">
        <w:rPr>
          <w:rFonts w:ascii="Times New Roman" w:eastAsia="Cambria" w:hAnsi="Times New Roman" w:cs="Times New Roman"/>
          <w:sz w:val="24"/>
          <w:szCs w:val="24"/>
        </w:rPr>
        <w:t>in understanding</w:t>
      </w:r>
      <w:r w:rsidR="000C3DE1">
        <w:rPr>
          <w:rFonts w:ascii="Times New Roman" w:eastAsia="Cambria" w:hAnsi="Times New Roman" w:cs="Times New Roman"/>
          <w:sz w:val="24"/>
          <w:szCs w:val="24"/>
        </w:rPr>
        <w:t xml:space="preserve"> why wildlife may be </w:t>
      </w:r>
      <w:r w:rsidR="007B4BD3">
        <w:rPr>
          <w:rFonts w:ascii="Times New Roman" w:eastAsia="Cambria" w:hAnsi="Times New Roman" w:cs="Times New Roman"/>
          <w:sz w:val="24"/>
          <w:szCs w:val="24"/>
        </w:rPr>
        <w:t xml:space="preserve">affected </w:t>
      </w:r>
      <w:r w:rsidR="000C3DE1">
        <w:rPr>
          <w:rFonts w:ascii="Times New Roman" w:eastAsia="Cambria" w:hAnsi="Times New Roman" w:cs="Times New Roman"/>
          <w:sz w:val="24"/>
          <w:szCs w:val="24"/>
        </w:rPr>
        <w:t xml:space="preserve">by </w:t>
      </w:r>
      <w:r>
        <w:rPr>
          <w:rFonts w:ascii="Times New Roman" w:eastAsia="Cambria" w:hAnsi="Times New Roman" w:cs="Times New Roman"/>
          <w:sz w:val="24"/>
          <w:szCs w:val="24"/>
        </w:rPr>
        <w:t xml:space="preserve">some </w:t>
      </w:r>
      <w:r w:rsidR="000C3DE1">
        <w:rPr>
          <w:rFonts w:ascii="Times New Roman" w:eastAsia="Cambria" w:hAnsi="Times New Roman" w:cs="Times New Roman"/>
          <w:sz w:val="24"/>
          <w:szCs w:val="24"/>
        </w:rPr>
        <w:t>human activities</w:t>
      </w:r>
      <w:r>
        <w:rPr>
          <w:rFonts w:ascii="Times New Roman" w:eastAsia="Cambria" w:hAnsi="Times New Roman" w:cs="Times New Roman"/>
          <w:sz w:val="24"/>
          <w:szCs w:val="24"/>
        </w:rPr>
        <w:t xml:space="preserve"> but not others</w:t>
      </w:r>
      <w:r w:rsidR="000C3DE1">
        <w:rPr>
          <w:rFonts w:ascii="Times New Roman" w:eastAsia="Cambria" w:hAnsi="Times New Roman" w:cs="Times New Roman"/>
          <w:sz w:val="24"/>
          <w:szCs w:val="24"/>
        </w:rPr>
        <w:t xml:space="preserve">, or why effects seem to be negative under </w:t>
      </w:r>
      <w:r>
        <w:rPr>
          <w:rFonts w:ascii="Times New Roman" w:eastAsia="Cambria" w:hAnsi="Times New Roman" w:cs="Times New Roman"/>
          <w:sz w:val="24"/>
          <w:szCs w:val="24"/>
        </w:rPr>
        <w:t xml:space="preserve">only certain </w:t>
      </w:r>
      <w:r w:rsidR="000C3DE1">
        <w:rPr>
          <w:rFonts w:ascii="Times New Roman" w:eastAsia="Cambria" w:hAnsi="Times New Roman" w:cs="Times New Roman"/>
          <w:sz w:val="24"/>
          <w:szCs w:val="24"/>
        </w:rPr>
        <w:t xml:space="preserve">circumstances. This greatly hampers our ability to </w:t>
      </w:r>
      <w:r w:rsidR="008E1DDC">
        <w:rPr>
          <w:rFonts w:ascii="Times New Roman" w:eastAsia="Cambria" w:hAnsi="Times New Roman" w:cs="Times New Roman"/>
          <w:sz w:val="24"/>
          <w:szCs w:val="24"/>
        </w:rPr>
        <w:t>develop</w:t>
      </w:r>
      <w:r w:rsidR="000C3DE1">
        <w:rPr>
          <w:rFonts w:ascii="Times New Roman" w:eastAsia="Cambria" w:hAnsi="Times New Roman" w:cs="Times New Roman"/>
          <w:sz w:val="24"/>
          <w:szCs w:val="24"/>
        </w:rPr>
        <w:t xml:space="preserve"> actions that can be taken to minimize negative impacts of humans. </w:t>
      </w:r>
      <w:r w:rsidR="00EF7EE4">
        <w:rPr>
          <w:rFonts w:ascii="Times New Roman" w:eastAsia="Cambria" w:hAnsi="Times New Roman" w:cs="Times New Roman"/>
          <w:sz w:val="24"/>
          <w:szCs w:val="24"/>
        </w:rPr>
        <w:t>For example, studies that have evaluated effects of oil and natural gas wells on grassland songbirds</w:t>
      </w:r>
      <w:r w:rsidR="00EF7EE4" w:rsidRPr="00FF72F0">
        <w:rPr>
          <w:rFonts w:ascii="Times New Roman" w:eastAsia="Cambria" w:hAnsi="Times New Roman" w:cs="Times New Roman"/>
          <w:sz w:val="24"/>
          <w:szCs w:val="24"/>
        </w:rPr>
        <w:t xml:space="preserve"> </w:t>
      </w:r>
      <w:r w:rsidR="00EF7EE4">
        <w:rPr>
          <w:rFonts w:ascii="Times New Roman" w:eastAsia="Cambria" w:hAnsi="Times New Roman" w:cs="Times New Roman"/>
          <w:sz w:val="24"/>
          <w:szCs w:val="24"/>
        </w:rPr>
        <w:t xml:space="preserve">have sometimes </w:t>
      </w:r>
      <w:r w:rsidR="00EF7EE4" w:rsidRPr="00FF72F0">
        <w:rPr>
          <w:rFonts w:ascii="Times New Roman" w:eastAsia="Cambria" w:hAnsi="Times New Roman" w:cs="Times New Roman"/>
          <w:sz w:val="24"/>
          <w:szCs w:val="24"/>
        </w:rPr>
        <w:t xml:space="preserve">produced contradictory results </w:t>
      </w:r>
      <w:r w:rsidR="00EF7EE4"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"Linnen", "given" : "Cory", "non-dropping-particle" : "", "parse-names" : false, "suffix" : "" } ], "id" : "ITEM-1", "issued" : { "date-parts" : [ [ "2008" ] ] }, "publisher-place" : "Saskatoon, Saskatchewan, Canada", "title" : "Effects of oil and gas development on grassland birds", "type" : "report" }, "uris" : [ "http://www.mendeley.com/documents/?uuid=0c8a0c29-3c05-4a73-9c23-5995b1747fa3" ] }, { "id" : "ITEM-2", "itemData" : { "DOI" : "10.1650/CONDOR-14-79.1", "ISSN" : "0010-5422", "author" : [ { "dropping-particle" : "", "family" : "Ludlow", "given" : "Sarah M.", "non-dropping-particle" : "", "parse-names" : false, "suffix" : "" }, { "dropping-particle" : "", "family" : "Brigham", "given" : "R. Mark", "non-dropping-particle" : "", "parse-names" : false, "suffix" : "" }, { "dropping-particle" : "", "family" : "Davis", "given" : "Stephen K.", "non-dropping-particle" : "", "parse-names" : false, "suffix" : "" } ], "container-title" : "The Condor", "id" : "ITEM-2", "issue" : "1", "issued" : { "date-parts" : [ [ "2015" ] ] }, "page" : "64-75", "title" : "Oil and natural gas development has mixed effects on the density and reproductive success of grassland songbirds", "type" : "article-journal", "volume" : "117" }, "uris" : [ "http://www.mendeley.com/documents/?uuid=be9eb481-0c68-4afa-8d4d-7cb679631de3" ] }, { "id" : "ITEM-3", "itemData" : { "DOI" : "10.1016/j.biocon.2015.08.040", "ISSN" : "00063207", "abstract" : "Oil development in the Bakken shale region has increased rapidly as a result of new technologies and strong demand for fossil fuel. This region also supports a particularly high density and diversity of grassland bird species, which are declining across North America. We examined grassland bird response to unconventional oil extraction sites (i.e. developed with hydraulic fracturing and horizontal drilling techniques) and associated roads in North Dakota. Our goal was to quantify the amount of habitat that was indirectly degraded by oil development, as evidenced by patterns of avoidance by birds. Grassland birds avoided areas within 150. m of roads (95% CI: 87-214. m), 267. m of single-bore well pads (95% CI: 157-378. m), and 150. m of multi-bore well pads (95% CI: 67-233. m). Individual species demonstrated variable tolerance of well pads. Clay-colored sparrows (Spizella pallida) were tolerant of oil-related infrastructure, whereas Sprague's pipit (Anthus spragueii) avoided areas within 350. m (95% CI: 215-485. m) of single-bore well pads. Given these density patterns around oil wells, the potential footprint of any individual oil well, and oil development across the region, is greatly multiplied for sensitive species. Efforts to reduce new road construction, concentrate wells along developed corridors, combine numerous wells on multi-bore pads rather than build many single-bore wells, and to place well pads near existing roads will serve to minimize loss of suitable habitat for birds. Quantifying environmental degradation caused by oil development is a critical step in understanding how to better mitigate harm to wildlife populations.", "author" : [ { "dropping-particle" : "", "family" : "Thompson", "given" : "Sarah J.", "non-dropping-particle" : "", "parse-names" : false, "suffix" : "" }, { "dropping-particle" : "", "family" : "Johnson", "given" : "Douglas H.", "non-dropping-particle" : "", "parse-names" : false, "suffix" : "" }, { "dropping-particle" : "", "family" : "Niemuth", "given" : "Neal D.", "non-dropping-particle" : "", "parse-names" : false, "suffix" : "" }, { "dropping-particle" : "", "family" : "Ribic", "given" : "Christine a.", "non-dropping-particle" : "", "parse-names" : false, "suffix" : "" } ], "container-title" : "Biological Conservation", "id" : "ITEM-3", "issued" : { "date-parts" : [ [ "2015" ] ] }, "page" : "82-90", "publisher" : "Elsevier B.V.", "title" : "Avoidance of unconventional oil wells and roads exacerbates habitat loss for grassland birds in the North American great plains", "type" : "article-journal", "volume" : "192" }, "uris" : [ "http://www.mendeley.com/documents/?uuid=d4da7e28-e856-43db-bc72-9b74d791be87" ] } ], "mendeley" : { "formattedCitation" : "(Linnen, 2008; Ludlow et al., 2015; Thompson et al., 2015)", "manualFormatting" : "(e.g. Hamilton et al. 2011, Ludlow et al. 2015, Thompson et al. 2015)", "plainTextFormattedCitation" : "(Linnen, 2008; Ludlow et al., 2015; Thompson et al., 2015)", "previouslyFormattedCitation" : "(Linnen, 2008; Ludlow et al., 2015; Thompson et al., 2015)" }, "properties" : { "noteIndex" : 0 }, "schema" : "https://github.com/citation-style-language/schema/raw/master/csl-citation.json" }</w:instrText>
      </w:r>
      <w:r w:rsidR="00EF7EE4" w:rsidRPr="00FF72F0">
        <w:rPr>
          <w:rFonts w:ascii="Times New Roman" w:eastAsia="Cambria" w:hAnsi="Times New Roman" w:cs="Times New Roman"/>
          <w:sz w:val="24"/>
          <w:szCs w:val="24"/>
        </w:rPr>
        <w:fldChar w:fldCharType="separate"/>
      </w:r>
      <w:r w:rsidR="00EF7EE4" w:rsidRPr="00FF72F0">
        <w:rPr>
          <w:rFonts w:ascii="Times New Roman" w:eastAsia="Cambria" w:hAnsi="Times New Roman" w:cs="Times New Roman"/>
          <w:noProof/>
          <w:sz w:val="24"/>
          <w:szCs w:val="24"/>
        </w:rPr>
        <w:t>(</w:t>
      </w:r>
      <w:r w:rsidR="00915DC7">
        <w:rPr>
          <w:rFonts w:ascii="Times New Roman" w:eastAsia="Cambria" w:hAnsi="Times New Roman" w:cs="Times New Roman"/>
          <w:noProof/>
          <w:sz w:val="24"/>
          <w:szCs w:val="24"/>
        </w:rPr>
        <w:t>e.g.</w:t>
      </w:r>
      <w:r w:rsidR="00FF53CF">
        <w:rPr>
          <w:rFonts w:ascii="Times New Roman" w:eastAsia="Cambria" w:hAnsi="Times New Roman" w:cs="Times New Roman"/>
          <w:noProof/>
          <w:sz w:val="24"/>
          <w:szCs w:val="24"/>
        </w:rPr>
        <w:t>,</w:t>
      </w:r>
      <w:r w:rsidR="004D71DF">
        <w:rPr>
          <w:rFonts w:ascii="Times New Roman" w:eastAsia="Cambria" w:hAnsi="Times New Roman" w:cs="Times New Roman"/>
          <w:noProof/>
          <w:sz w:val="24"/>
          <w:szCs w:val="24"/>
        </w:rPr>
        <w:t xml:space="preserve"> </w:t>
      </w:r>
      <w:r w:rsidR="00EF7EE4" w:rsidRPr="00FF72F0">
        <w:rPr>
          <w:rFonts w:ascii="Times New Roman" w:eastAsia="Cambria" w:hAnsi="Times New Roman" w:cs="Times New Roman"/>
          <w:noProof/>
          <w:color w:val="000000"/>
          <w:sz w:val="24"/>
          <w:szCs w:val="24"/>
        </w:rPr>
        <w:t>Hamilton et al.</w:t>
      </w:r>
      <w:r w:rsidR="009E3314">
        <w:rPr>
          <w:rFonts w:ascii="Times New Roman" w:eastAsia="Cambria" w:hAnsi="Times New Roman" w:cs="Times New Roman"/>
          <w:noProof/>
          <w:color w:val="000000"/>
          <w:sz w:val="24"/>
          <w:szCs w:val="24"/>
        </w:rPr>
        <w:t>,</w:t>
      </w:r>
      <w:r w:rsidR="00EF7EE4" w:rsidRPr="00FF72F0">
        <w:rPr>
          <w:rFonts w:ascii="Times New Roman" w:eastAsia="Cambria" w:hAnsi="Times New Roman" w:cs="Times New Roman"/>
          <w:noProof/>
          <w:color w:val="000000"/>
          <w:sz w:val="24"/>
          <w:szCs w:val="24"/>
        </w:rPr>
        <w:t xml:space="preserve"> 2011</w:t>
      </w:r>
      <w:r w:rsidR="009E3314">
        <w:rPr>
          <w:rFonts w:ascii="Times New Roman" w:eastAsia="Cambria" w:hAnsi="Times New Roman" w:cs="Times New Roman"/>
          <w:noProof/>
          <w:color w:val="000000"/>
          <w:sz w:val="24"/>
          <w:szCs w:val="24"/>
        </w:rPr>
        <w:t>;</w:t>
      </w:r>
      <w:r w:rsidR="00EF7EE4" w:rsidRPr="00FF72F0">
        <w:rPr>
          <w:rFonts w:ascii="Times New Roman" w:eastAsia="Cambria" w:hAnsi="Times New Roman" w:cs="Times New Roman"/>
          <w:noProof/>
          <w:color w:val="000000"/>
          <w:sz w:val="24"/>
          <w:szCs w:val="24"/>
        </w:rPr>
        <w:t xml:space="preserve"> </w:t>
      </w:r>
      <w:r w:rsidR="00EF7EE4" w:rsidRPr="00FF72F0">
        <w:rPr>
          <w:rFonts w:ascii="Times New Roman" w:eastAsia="Cambria" w:hAnsi="Times New Roman" w:cs="Times New Roman"/>
          <w:noProof/>
          <w:sz w:val="24"/>
          <w:szCs w:val="24"/>
        </w:rPr>
        <w:t>Ludlow et al.</w:t>
      </w:r>
      <w:r w:rsidR="009E3314">
        <w:rPr>
          <w:rFonts w:ascii="Times New Roman" w:eastAsia="Cambria" w:hAnsi="Times New Roman" w:cs="Times New Roman"/>
          <w:noProof/>
          <w:sz w:val="24"/>
          <w:szCs w:val="24"/>
        </w:rPr>
        <w:t>,</w:t>
      </w:r>
      <w:r w:rsidR="00EF7EE4" w:rsidRPr="00FF72F0">
        <w:rPr>
          <w:rFonts w:ascii="Times New Roman" w:eastAsia="Cambria" w:hAnsi="Times New Roman" w:cs="Times New Roman"/>
          <w:noProof/>
          <w:sz w:val="24"/>
          <w:szCs w:val="24"/>
        </w:rPr>
        <w:t xml:space="preserve"> 2015</w:t>
      </w:r>
      <w:r w:rsidR="009E3314">
        <w:rPr>
          <w:rFonts w:ascii="Times New Roman" w:eastAsia="Cambria" w:hAnsi="Times New Roman" w:cs="Times New Roman"/>
          <w:noProof/>
          <w:sz w:val="24"/>
          <w:szCs w:val="24"/>
        </w:rPr>
        <w:t>;</w:t>
      </w:r>
      <w:r w:rsidR="00EF7EE4" w:rsidRPr="00FF72F0">
        <w:rPr>
          <w:rFonts w:ascii="Times New Roman" w:eastAsia="Cambria" w:hAnsi="Times New Roman" w:cs="Times New Roman"/>
          <w:noProof/>
          <w:sz w:val="24"/>
          <w:szCs w:val="24"/>
        </w:rPr>
        <w:t xml:space="preserve"> Thompson et al.</w:t>
      </w:r>
      <w:r w:rsidR="009E3314">
        <w:rPr>
          <w:rFonts w:ascii="Times New Roman" w:eastAsia="Cambria" w:hAnsi="Times New Roman" w:cs="Times New Roman"/>
          <w:noProof/>
          <w:sz w:val="24"/>
          <w:szCs w:val="24"/>
        </w:rPr>
        <w:t>,</w:t>
      </w:r>
      <w:r w:rsidR="00EF7EE4" w:rsidRPr="00FF72F0">
        <w:rPr>
          <w:rFonts w:ascii="Times New Roman" w:eastAsia="Cambria" w:hAnsi="Times New Roman" w:cs="Times New Roman"/>
          <w:noProof/>
          <w:sz w:val="24"/>
          <w:szCs w:val="24"/>
        </w:rPr>
        <w:t xml:space="preserve"> 2015)</w:t>
      </w:r>
      <w:r w:rsidR="00EF7EE4" w:rsidRPr="00FF72F0">
        <w:rPr>
          <w:rFonts w:ascii="Times New Roman" w:eastAsia="Cambria" w:hAnsi="Times New Roman" w:cs="Times New Roman"/>
          <w:sz w:val="24"/>
          <w:szCs w:val="24"/>
        </w:rPr>
        <w:fldChar w:fldCharType="end"/>
      </w:r>
      <w:r>
        <w:rPr>
          <w:rFonts w:ascii="Times New Roman" w:eastAsia="Cambria" w:hAnsi="Times New Roman" w:cs="Times New Roman"/>
          <w:sz w:val="24"/>
          <w:szCs w:val="24"/>
        </w:rPr>
        <w:t xml:space="preserve">, resulting in uncertainty </w:t>
      </w:r>
      <w:r w:rsidR="002101EA">
        <w:rPr>
          <w:rFonts w:ascii="Times New Roman" w:eastAsia="Cambria" w:hAnsi="Times New Roman" w:cs="Times New Roman"/>
          <w:sz w:val="24"/>
          <w:szCs w:val="24"/>
        </w:rPr>
        <w:t xml:space="preserve">for </w:t>
      </w:r>
      <w:r w:rsidR="002101EA">
        <w:rPr>
          <w:rFonts w:ascii="Times New Roman" w:eastAsia="Cambria" w:hAnsi="Times New Roman" w:cs="Times New Roman"/>
          <w:sz w:val="24"/>
          <w:szCs w:val="24"/>
        </w:rPr>
        <w:lastRenderedPageBreak/>
        <w:t>both regulators and industry</w:t>
      </w:r>
      <w:r w:rsidR="00EF7EE4" w:rsidRPr="00FF72F0">
        <w:rPr>
          <w:rFonts w:ascii="Times New Roman" w:eastAsia="Cambria" w:hAnsi="Times New Roman" w:cs="Times New Roman"/>
          <w:sz w:val="24"/>
          <w:szCs w:val="24"/>
        </w:rPr>
        <w:t>.</w:t>
      </w:r>
      <w:r>
        <w:rPr>
          <w:rFonts w:ascii="Times New Roman" w:eastAsia="Cambria" w:hAnsi="Times New Roman" w:cs="Times New Roman"/>
          <w:sz w:val="24"/>
          <w:szCs w:val="24"/>
        </w:rPr>
        <w:t xml:space="preserve"> </w:t>
      </w:r>
      <w:r w:rsidR="008E1DDC">
        <w:rPr>
          <w:rFonts w:ascii="Times New Roman" w:eastAsia="Cambria" w:hAnsi="Times New Roman" w:cs="Times New Roman"/>
          <w:sz w:val="24"/>
          <w:szCs w:val="24"/>
        </w:rPr>
        <w:t xml:space="preserve">It is critical that we identify specific mechanisms that explain negative </w:t>
      </w:r>
      <w:r w:rsidR="00B05C37">
        <w:rPr>
          <w:rFonts w:ascii="Times New Roman" w:eastAsia="Cambria" w:hAnsi="Times New Roman" w:cs="Times New Roman"/>
          <w:sz w:val="24"/>
          <w:szCs w:val="24"/>
        </w:rPr>
        <w:t xml:space="preserve">effects </w:t>
      </w:r>
      <w:r w:rsidR="008E1DDC">
        <w:rPr>
          <w:rFonts w:ascii="Times New Roman" w:eastAsia="Cambria" w:hAnsi="Times New Roman" w:cs="Times New Roman"/>
          <w:sz w:val="24"/>
          <w:szCs w:val="24"/>
        </w:rPr>
        <w:t xml:space="preserve">of anthropogenic developments so that we can </w:t>
      </w:r>
      <w:r>
        <w:rPr>
          <w:rFonts w:ascii="Times New Roman" w:eastAsia="Cambria" w:hAnsi="Times New Roman" w:cs="Times New Roman"/>
          <w:sz w:val="24"/>
          <w:szCs w:val="24"/>
        </w:rPr>
        <w:t xml:space="preserve">better understand how we might mitigate </w:t>
      </w:r>
      <w:r w:rsidR="007B4BD3">
        <w:rPr>
          <w:rFonts w:ascii="Times New Roman" w:eastAsia="Cambria" w:hAnsi="Times New Roman" w:cs="Times New Roman"/>
          <w:sz w:val="24"/>
          <w:szCs w:val="24"/>
        </w:rPr>
        <w:t xml:space="preserve">effects </w:t>
      </w:r>
      <w:r>
        <w:rPr>
          <w:rFonts w:ascii="Times New Roman" w:eastAsia="Cambria" w:hAnsi="Times New Roman" w:cs="Times New Roman"/>
          <w:sz w:val="24"/>
          <w:szCs w:val="24"/>
        </w:rPr>
        <w:t xml:space="preserve">on taxa that are experiencing alarming </w:t>
      </w:r>
      <w:r w:rsidR="00915DC7">
        <w:rPr>
          <w:rFonts w:ascii="Times New Roman" w:eastAsia="Cambria" w:hAnsi="Times New Roman" w:cs="Times New Roman"/>
          <w:sz w:val="24"/>
          <w:szCs w:val="24"/>
        </w:rPr>
        <w:t xml:space="preserve">population </w:t>
      </w:r>
      <w:r>
        <w:rPr>
          <w:rFonts w:ascii="Times New Roman" w:eastAsia="Cambria" w:hAnsi="Times New Roman" w:cs="Times New Roman"/>
          <w:sz w:val="24"/>
          <w:szCs w:val="24"/>
        </w:rPr>
        <w:t xml:space="preserve">declines due to </w:t>
      </w:r>
      <w:r w:rsidR="008E1DDC">
        <w:rPr>
          <w:rFonts w:ascii="Times New Roman" w:eastAsia="Cambria" w:hAnsi="Times New Roman" w:cs="Times New Roman"/>
          <w:sz w:val="24"/>
          <w:szCs w:val="24"/>
        </w:rPr>
        <w:t>many</w:t>
      </w:r>
      <w:r>
        <w:rPr>
          <w:rFonts w:ascii="Times New Roman" w:eastAsia="Cambria" w:hAnsi="Times New Roman" w:cs="Times New Roman"/>
          <w:sz w:val="24"/>
          <w:szCs w:val="24"/>
        </w:rPr>
        <w:t xml:space="preserve"> </w:t>
      </w:r>
      <w:r w:rsidR="00915DC7">
        <w:rPr>
          <w:rFonts w:ascii="Times New Roman" w:eastAsia="Cambria" w:hAnsi="Times New Roman" w:cs="Times New Roman"/>
          <w:sz w:val="24"/>
          <w:szCs w:val="24"/>
        </w:rPr>
        <w:t xml:space="preserve">interacting anthropogenic factors, such as grassland songbirds </w:t>
      </w:r>
      <w:r w:rsidR="008E1DDC">
        <w:rPr>
          <w:rFonts w:ascii="Times New Roman" w:eastAsia="Cambria" w:hAnsi="Times New Roman" w:cs="Times New Roman"/>
          <w:sz w:val="24"/>
          <w:szCs w:val="24"/>
        </w:rPr>
        <w:t>(Knopf</w:t>
      </w:r>
      <w:r w:rsidR="009E3314">
        <w:rPr>
          <w:rFonts w:ascii="Times New Roman" w:eastAsia="Cambria" w:hAnsi="Times New Roman" w:cs="Times New Roman"/>
          <w:sz w:val="24"/>
          <w:szCs w:val="24"/>
        </w:rPr>
        <w:t>,</w:t>
      </w:r>
      <w:r w:rsidR="008E1DDC">
        <w:rPr>
          <w:rFonts w:ascii="Times New Roman" w:eastAsia="Cambria" w:hAnsi="Times New Roman" w:cs="Times New Roman"/>
          <w:sz w:val="24"/>
          <w:szCs w:val="24"/>
        </w:rPr>
        <w:t xml:space="preserve"> 1992</w:t>
      </w:r>
      <w:r w:rsidR="009E3314">
        <w:rPr>
          <w:rFonts w:ascii="Times New Roman" w:eastAsia="Cambria" w:hAnsi="Times New Roman" w:cs="Times New Roman"/>
          <w:sz w:val="24"/>
          <w:szCs w:val="24"/>
        </w:rPr>
        <w:t>;</w:t>
      </w:r>
      <w:r w:rsidR="008E1DDC">
        <w:rPr>
          <w:rFonts w:ascii="Times New Roman" w:eastAsia="Cambria" w:hAnsi="Times New Roman" w:cs="Times New Roman"/>
          <w:sz w:val="24"/>
          <w:szCs w:val="24"/>
        </w:rPr>
        <w:t xml:space="preserve"> Sauer et al.</w:t>
      </w:r>
      <w:r w:rsidR="009E3314">
        <w:rPr>
          <w:rFonts w:ascii="Times New Roman" w:eastAsia="Cambria" w:hAnsi="Times New Roman" w:cs="Times New Roman"/>
          <w:sz w:val="24"/>
          <w:szCs w:val="24"/>
        </w:rPr>
        <w:t>,</w:t>
      </w:r>
      <w:r w:rsidR="008E1DDC">
        <w:rPr>
          <w:rFonts w:ascii="Times New Roman" w:eastAsia="Cambria" w:hAnsi="Times New Roman" w:cs="Times New Roman"/>
          <w:sz w:val="24"/>
          <w:szCs w:val="24"/>
        </w:rPr>
        <w:t xml:space="preserve"> 2015)</w:t>
      </w:r>
      <w:r w:rsidR="00915DC7">
        <w:rPr>
          <w:rFonts w:ascii="Times New Roman" w:eastAsia="Cambria" w:hAnsi="Times New Roman" w:cs="Times New Roman"/>
          <w:sz w:val="24"/>
          <w:szCs w:val="24"/>
        </w:rPr>
        <w:t>.</w:t>
      </w:r>
    </w:p>
    <w:p w14:paraId="22F6084F" w14:textId="772D9342" w:rsidR="00FF72F0" w:rsidRPr="00FF72F0" w:rsidRDefault="00915DC7" w:rsidP="00A24179">
      <w:pPr>
        <w:spacing w:after="0" w:line="240" w:lineRule="auto"/>
        <w:ind w:firstLine="720"/>
        <w:rPr>
          <w:rFonts w:ascii="Times New Roman" w:eastAsia="Cambria" w:hAnsi="Times New Roman" w:cs="Times New Roman"/>
          <w:sz w:val="24"/>
          <w:szCs w:val="24"/>
        </w:rPr>
      </w:pPr>
      <w:r>
        <w:rPr>
          <w:rFonts w:ascii="Times New Roman" w:eastAsia="Cambria" w:hAnsi="Times New Roman" w:cs="Times New Roman"/>
          <w:sz w:val="24"/>
          <w:szCs w:val="24"/>
        </w:rPr>
        <w:t>The</w:t>
      </w:r>
      <w:r w:rsidR="00FF72F0" w:rsidRPr="00FF72F0">
        <w:rPr>
          <w:rFonts w:ascii="Times New Roman" w:eastAsia="Cambria" w:hAnsi="Times New Roman" w:cs="Times New Roman"/>
          <w:sz w:val="24"/>
          <w:szCs w:val="24"/>
        </w:rPr>
        <w:t xml:space="preserve"> temperate grasslands </w:t>
      </w:r>
      <w:r>
        <w:rPr>
          <w:rFonts w:ascii="Times New Roman" w:eastAsia="Cambria" w:hAnsi="Times New Roman" w:cs="Times New Roman"/>
          <w:sz w:val="24"/>
          <w:szCs w:val="24"/>
        </w:rPr>
        <w:t xml:space="preserve">that provide habitat for North America’s grassland songbirds have been </w:t>
      </w:r>
      <w:r w:rsidR="00FF72F0" w:rsidRPr="00FF72F0">
        <w:rPr>
          <w:rFonts w:ascii="Times New Roman" w:eastAsia="Cambria" w:hAnsi="Times New Roman" w:cs="Times New Roman"/>
          <w:sz w:val="24"/>
          <w:szCs w:val="24"/>
        </w:rPr>
        <w:t>greatly affected by energy development</w:t>
      </w:r>
      <w:r>
        <w:rPr>
          <w:rFonts w:ascii="Times New Roman" w:eastAsia="Cambria" w:hAnsi="Times New Roman" w:cs="Times New Roman"/>
          <w:sz w:val="24"/>
          <w:szCs w:val="24"/>
        </w:rPr>
        <w:t xml:space="preserve">, and this impact is predicted to increase over the coming decades </w:t>
      </w:r>
      <w:r w:rsidR="00FF72F0"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"DOI" : "10.1371/journal.pone.0006802", "ISSN" : "1932-6203", "PMID" : "19707570", "abstract" : "Concern over climate change has led the U.S. to consider a cap-and-trade system to regulate emissions. Here we illustrate the land-use impact to U.S. habitat types of new energy development resulting from different U.S. energy policies. We estimated the total new land area needed by 2030 to produce energy, under current law and under various cap-and-trade policies, and then partitioned the area impacted among habitat types with geospatial data on the feasibility of production. The land-use intensity of different energy production techniques varies over three orders of magnitude, from 1.9-2.8 km(2)/TW hr/yr for nuclear power to 788-1000 km(2)/TW hr/yr for biodiesel from soy. In all scenarios, temperate deciduous forests and temperate grasslands will be most impacted by future energy development, although the magnitude of impact by wind, biomass, and coal to different habitat types is policy-specific. Regardless of the existence or structure of a cap-and-trade bill, at least 206,000 km(2) will be impacted without substantial increases in energy efficiency, which saves at least 7.6 km(2) per TW hr of electricity conserved annually and 27.5 km(2) per TW hr of liquid fuels conserved annually. Climate policy that reduces carbon dioxide emissions may increase the areal impact of energy, although the magnitude of this potential side effect may be substantially mitigated by increases in energy efficiency. The possibility of widespread energy sprawl increases the need for energy conservation, appropriate siting, sustainable production practices, and compensatory mitigation offsets.", "author" : [ { "dropping-particle" : "", "family" : "McDonald", "given" : "Robert I", "non-dropping-particle" : "", "parse-names" : false, "suffix" : "" }, { "dropping-particle" : "", "family" : "Fargione", "given" : "Joseph", "non-dropping-particle" : "", "parse-names" : false, "suffix" : "" }, { "dropping-particle" : "", "family" : "Kiesecker", "given" : "Joe", "non-dropping-particle" : "", "parse-names" : false, "suffix" : "" }, { "dropping-particle" : "", "family" : "Miller", "given" : "William M", "non-dropping-particle" : "", "parse-names" : false, "suffix" : "" }, { "dropping-particle" : "", "family" : "Powell", "given" : "Jimmie", "non-dropping-particle" : "", "parse-names" : false, "suffix" : "" } ], "container-title" : "PloS one", "id" : "ITEM-1", "issue" : "8", "issued" : { "date-parts" : [ [ "2009", "1" ] ] }, "page" : "e6802", "title" : "Energy sprawl or energy efficiency: climate policy impacts on natural habitat for the United States of America", "type" : "article-journal", "volume" : "4" }, "uris" : [ "http://www.mendeley.com/documents/?uuid=ff213a25-885e-459f-a6db-645310014486" ] } ], "mendeley" : { "formattedCitation" : "(McDonald et al., 2009)", "plainTextFormattedCitation" : "(McDonald et al., 2009)", "previouslyFormattedCitation" : "(McDonald et al., 2009)" }, "properties" : { "noteIndex" : 0 }, "schema" : "https://github.com/citation-style-language/schema/raw/master/csl-citation.json" }</w:instrText>
      </w:r>
      <w:r w:rsidR="00FF72F0"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(McDonald et al., 2009)</w:t>
      </w:r>
      <w:r w:rsidR="00FF72F0" w:rsidRPr="00FF72F0">
        <w:rPr>
          <w:rFonts w:ascii="Times New Roman" w:eastAsia="Cambria" w:hAnsi="Times New Roman" w:cs="Times New Roman"/>
          <w:sz w:val="24"/>
          <w:szCs w:val="24"/>
        </w:rPr>
        <w:fldChar w:fldCharType="end"/>
      </w:r>
      <w:r w:rsidR="00FF72F0" w:rsidRPr="00FF72F0">
        <w:rPr>
          <w:rFonts w:ascii="Times New Roman" w:eastAsia="Cambria" w:hAnsi="Times New Roman" w:cs="Times New Roman"/>
          <w:sz w:val="24"/>
          <w:szCs w:val="24"/>
        </w:rPr>
        <w:t xml:space="preserve">. Since </w:t>
      </w:r>
      <w:r w:rsidR="00CC75D1">
        <w:rPr>
          <w:rFonts w:ascii="Times New Roman" w:eastAsia="Cambria" w:hAnsi="Times New Roman" w:cs="Times New Roman"/>
          <w:sz w:val="24"/>
          <w:szCs w:val="24"/>
        </w:rPr>
        <w:t>20</w:t>
      </w:r>
      <w:r w:rsidR="00FF72F0" w:rsidRPr="00FF72F0">
        <w:rPr>
          <w:rFonts w:ascii="Times New Roman" w:eastAsia="Cambria" w:hAnsi="Times New Roman" w:cs="Times New Roman"/>
          <w:sz w:val="24"/>
          <w:szCs w:val="24"/>
        </w:rPr>
        <w:t xml:space="preserve">00, over </w:t>
      </w:r>
      <w:r w:rsidR="00CC75D1">
        <w:rPr>
          <w:rFonts w:ascii="Times New Roman" w:eastAsia="Cambria" w:hAnsi="Times New Roman" w:cs="Times New Roman"/>
          <w:sz w:val="24"/>
          <w:szCs w:val="24"/>
        </w:rPr>
        <w:t>170,000</w:t>
      </w:r>
      <w:r w:rsidR="00FF72F0" w:rsidRPr="00FF72F0">
        <w:rPr>
          <w:rFonts w:ascii="Times New Roman" w:eastAsia="Cambria" w:hAnsi="Times New Roman" w:cs="Times New Roman"/>
          <w:sz w:val="24"/>
          <w:szCs w:val="24"/>
        </w:rPr>
        <w:t xml:space="preserve"> conventional oil and natural gas wells have been drilled in Alberta </w:t>
      </w:r>
      <w:r w:rsidR="00FF72F0"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"URL" : "http://esrd.alberta.ca/lands-forests/land-industrial/education/industrial-land-use/oil-and-gas/default.aspx", "accessed" : { "date-parts" : [ [ "2015", "2", "2" ] ] }, "author" : [ { "dropping-particle" : "", "family" : "Government of Alberta", "given" : "", "non-dropping-particle" : "", "parse-names" : false, "suffix" : "" } ], "id" : "ITEM-1", "issued" : { "date-parts" : [ [ "2014" ] ] }, "title" : "Oil and gas", "type" : "webpage" }, "uris" : [ "http://www.mendeley.com/documents/?uuid=3a719622-a9ff-4d5d-b60b-e7970a1d5764" ] } ], "mendeley" : { "formattedCitation" : "(Government of Alberta, 2014)", "plainTextFormattedCitation" : "(Government of Alberta, 2014)", "previouslyFormattedCitation" : "(Government of Alberta, 2014)" }, "properties" : { "noteIndex" : 0 }, "schema" : "https://github.com/citation-style-language/schema/raw/master/csl-citation.json" }</w:instrText>
      </w:r>
      <w:r w:rsidR="00FF72F0"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(Government of Alberta, 201</w:t>
      </w:r>
      <w:r w:rsidR="00CC75D1">
        <w:rPr>
          <w:rFonts w:ascii="Times New Roman" w:eastAsia="Cambria" w:hAnsi="Times New Roman" w:cs="Times New Roman"/>
          <w:noProof/>
          <w:sz w:val="24"/>
          <w:szCs w:val="24"/>
        </w:rPr>
        <w:t>7</w:t>
      </w:r>
      <w:r w:rsidR="00FF53CF" w:rsidRPr="00FF53CF">
        <w:rPr>
          <w:rFonts w:ascii="Times New Roman" w:eastAsia="Cambria" w:hAnsi="Times New Roman" w:cs="Times New Roman"/>
          <w:noProof/>
          <w:sz w:val="24"/>
          <w:szCs w:val="24"/>
        </w:rPr>
        <w:t>)</w:t>
      </w:r>
      <w:r w:rsidR="00FF72F0" w:rsidRPr="00FF72F0">
        <w:rPr>
          <w:rFonts w:ascii="Times New Roman" w:eastAsia="Cambria" w:hAnsi="Times New Roman" w:cs="Times New Roman"/>
          <w:sz w:val="24"/>
          <w:szCs w:val="24"/>
        </w:rPr>
        <w:fldChar w:fldCharType="end"/>
      </w:r>
      <w:r w:rsidR="001A063B">
        <w:rPr>
          <w:rFonts w:ascii="Times New Roman" w:eastAsia="Cambria" w:hAnsi="Times New Roman" w:cs="Times New Roman"/>
          <w:sz w:val="24"/>
          <w:szCs w:val="24"/>
        </w:rPr>
        <w:t xml:space="preserve">. </w:t>
      </w:r>
      <w:r w:rsidR="00FF72F0" w:rsidRPr="00FF72F0">
        <w:rPr>
          <w:rFonts w:ascii="Times New Roman" w:eastAsia="Cambria" w:hAnsi="Times New Roman" w:cs="Times New Roman"/>
          <w:sz w:val="24"/>
          <w:szCs w:val="24"/>
        </w:rPr>
        <w:t xml:space="preserve">Despite this disturbance, southern Alberta is still occupied by many endemic grassland species, including breeding populations of </w:t>
      </w:r>
      <w:r w:rsidR="000C3DE1">
        <w:rPr>
          <w:rFonts w:ascii="Times New Roman" w:eastAsia="Cambria" w:hAnsi="Times New Roman" w:cs="Times New Roman"/>
          <w:sz w:val="24"/>
          <w:szCs w:val="24"/>
        </w:rPr>
        <w:t>three</w:t>
      </w:r>
      <w:r w:rsidR="000C3DE1" w:rsidRPr="00FF72F0">
        <w:rPr>
          <w:rFonts w:ascii="Times New Roman" w:eastAsia="Cambria" w:hAnsi="Times New Roman" w:cs="Times New Roman"/>
          <w:sz w:val="24"/>
          <w:szCs w:val="24"/>
        </w:rPr>
        <w:t xml:space="preserve"> </w:t>
      </w:r>
      <w:r w:rsidR="00FF72F0" w:rsidRPr="00FF72F0">
        <w:rPr>
          <w:rFonts w:ascii="Times New Roman" w:eastAsia="Cambria" w:hAnsi="Times New Roman" w:cs="Times New Roman"/>
          <w:sz w:val="24"/>
          <w:szCs w:val="24"/>
        </w:rPr>
        <w:t xml:space="preserve">songbird species that are federally or provincially </w:t>
      </w:r>
      <w:r w:rsidR="004867C2">
        <w:rPr>
          <w:rFonts w:ascii="Times New Roman" w:eastAsia="Cambria" w:hAnsi="Times New Roman" w:cs="Times New Roman"/>
          <w:sz w:val="24"/>
          <w:szCs w:val="24"/>
        </w:rPr>
        <w:t>at risk</w:t>
      </w:r>
      <w:r w:rsidR="00FF72F0" w:rsidRPr="00FF72F0">
        <w:rPr>
          <w:rFonts w:ascii="Times New Roman" w:eastAsia="Cambria" w:hAnsi="Times New Roman" w:cs="Times New Roman"/>
          <w:sz w:val="24"/>
          <w:szCs w:val="24"/>
        </w:rPr>
        <w:t>: Sprague’s pipit (</w:t>
      </w:r>
      <w:r w:rsidR="00FF72F0" w:rsidRPr="00FF72F0">
        <w:rPr>
          <w:rFonts w:ascii="Times New Roman" w:eastAsia="Cambria" w:hAnsi="Times New Roman" w:cs="Times New Roman"/>
          <w:i/>
          <w:sz w:val="24"/>
          <w:szCs w:val="24"/>
        </w:rPr>
        <w:t>Anthus spragueii</w:t>
      </w:r>
      <w:r w:rsidR="00FF72F0" w:rsidRPr="00FF72F0">
        <w:rPr>
          <w:rFonts w:ascii="Times New Roman" w:eastAsia="Cambria" w:hAnsi="Times New Roman" w:cs="Times New Roman"/>
          <w:sz w:val="24"/>
          <w:szCs w:val="24"/>
        </w:rPr>
        <w:t>), Baird’s sparrow (</w:t>
      </w:r>
      <w:r w:rsidR="00FF72F0" w:rsidRPr="00FF72F0">
        <w:rPr>
          <w:rFonts w:ascii="Times New Roman" w:eastAsia="Cambria" w:hAnsi="Times New Roman" w:cs="Times New Roman"/>
          <w:i/>
          <w:sz w:val="24"/>
          <w:szCs w:val="24"/>
        </w:rPr>
        <w:t>Ammodramus bairdii</w:t>
      </w:r>
      <w:r w:rsidR="00FF72F0" w:rsidRPr="00FF72F0">
        <w:rPr>
          <w:rFonts w:ascii="Times New Roman" w:eastAsia="Cambria" w:hAnsi="Times New Roman" w:cs="Times New Roman"/>
          <w:sz w:val="24"/>
          <w:szCs w:val="24"/>
        </w:rPr>
        <w:t>), and chestnut-collared longspur (</w:t>
      </w:r>
      <w:r w:rsidR="00FF72F0" w:rsidRPr="00FF72F0">
        <w:rPr>
          <w:rFonts w:ascii="Times New Roman" w:eastAsia="Cambria" w:hAnsi="Times New Roman" w:cs="Times New Roman"/>
          <w:i/>
          <w:sz w:val="24"/>
          <w:szCs w:val="24"/>
        </w:rPr>
        <w:t>Calcarius ornatus</w:t>
      </w:r>
      <w:r w:rsidR="00FF72F0" w:rsidRPr="00FF72F0">
        <w:rPr>
          <w:rFonts w:ascii="Times New Roman" w:eastAsia="Cambria" w:hAnsi="Times New Roman" w:cs="Times New Roman"/>
          <w:sz w:val="24"/>
          <w:szCs w:val="24"/>
        </w:rPr>
        <w:t xml:space="preserve">) </w:t>
      </w:r>
      <w:r w:rsidR="00FF72F0"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"SARA", "given" : "", "non-dropping-particle" : "", "parse-names" : false, "suffix" : "" } ], "id" : "ITEM-1", "issued" : { "date-parts" : [ [ "2016" ] ] }, "publisher-place" : "Ottawa", "title" : "Species at Risk Public Registry", "type" : "report" }, "uris" : [ "http://www.mendeley.com/documents/?uuid=652cca60-0630-471c-b595-4a4299d7bea5" ] } ], "mendeley" : { "formattedCitation" : "(SARA, 2016)", "plainTextFormattedCitation" : "(SARA, 2016)", "previouslyFormattedCitation" : "(SARA, 2016)" }, "properties" : { "noteIndex" : 0 }, "schema" : "https://github.com/citation-style-language/schema/raw/master/csl-citation.json" }</w:instrText>
      </w:r>
      <w:r w:rsidR="00FF72F0"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(SARA, 2016)</w:t>
      </w:r>
      <w:r w:rsidR="00FF72F0" w:rsidRPr="00FF72F0">
        <w:rPr>
          <w:rFonts w:ascii="Times New Roman" w:eastAsia="Cambria" w:hAnsi="Times New Roman" w:cs="Times New Roman"/>
          <w:sz w:val="24"/>
          <w:szCs w:val="24"/>
        </w:rPr>
        <w:fldChar w:fldCharType="end"/>
      </w:r>
      <w:r w:rsidR="00FF72F0" w:rsidRPr="00FF72F0">
        <w:rPr>
          <w:rFonts w:ascii="Times New Roman" w:eastAsia="Cambria" w:hAnsi="Times New Roman" w:cs="Times New Roman"/>
          <w:sz w:val="24"/>
          <w:szCs w:val="24"/>
        </w:rPr>
        <w:t>.</w:t>
      </w:r>
    </w:p>
    <w:p w14:paraId="53A993AB" w14:textId="770C82D4"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Energy development may contribute to the decline of grassland songbirds, though </w:t>
      </w:r>
      <w:r w:rsidR="008E1DDC">
        <w:rPr>
          <w:rFonts w:ascii="Times New Roman" w:eastAsia="Cambria" w:hAnsi="Times New Roman" w:cs="Times New Roman"/>
          <w:sz w:val="24"/>
          <w:szCs w:val="24"/>
        </w:rPr>
        <w:t xml:space="preserve">relatively </w:t>
      </w:r>
      <w:r w:rsidRPr="00FF72F0">
        <w:rPr>
          <w:rFonts w:ascii="Times New Roman" w:eastAsia="Cambria" w:hAnsi="Times New Roman" w:cs="Times New Roman"/>
          <w:sz w:val="24"/>
          <w:szCs w:val="24"/>
        </w:rPr>
        <w:t>few studies have investigated this (Askins et al.</w:t>
      </w:r>
      <w:r w:rsidR="009E3314">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2007)</w:t>
      </w:r>
      <w:r w:rsidR="004867C2">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Energy extraction has been documented to negatively affect greater sage-grouse (</w:t>
      </w:r>
      <w:r w:rsidRPr="00FF72F0">
        <w:rPr>
          <w:rFonts w:ascii="Times New Roman" w:eastAsia="Cambria" w:hAnsi="Times New Roman" w:cs="Times New Roman"/>
          <w:i/>
          <w:sz w:val="24"/>
          <w:szCs w:val="24"/>
        </w:rPr>
        <w:t>Centrocercus urophasianus</w:t>
      </w:r>
      <w:r w:rsidRPr="00FF72F0">
        <w:rPr>
          <w:rFonts w:ascii="Times New Roman" w:eastAsia="Cambria" w:hAnsi="Times New Roman" w:cs="Times New Roman"/>
          <w:sz w:val="24"/>
          <w:szCs w:val="24"/>
        </w:rPr>
        <w:t xml:space="preserve">), waterfowl, and </w:t>
      </w:r>
      <w:r w:rsidR="004867C2">
        <w:rPr>
          <w:rFonts w:ascii="Times New Roman" w:eastAsia="Cambria" w:hAnsi="Times New Roman" w:cs="Times New Roman"/>
          <w:sz w:val="24"/>
          <w:szCs w:val="24"/>
        </w:rPr>
        <w:t xml:space="preserve">forest </w:t>
      </w:r>
      <w:r w:rsidRPr="00FF72F0">
        <w:rPr>
          <w:rFonts w:ascii="Times New Roman" w:eastAsia="Cambria" w:hAnsi="Times New Roman" w:cs="Times New Roman"/>
          <w:sz w:val="24"/>
          <w:szCs w:val="24"/>
        </w:rPr>
        <w:t xml:space="preserve">songbirds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"ISBN" : "9780983040217", "author" : [ { "dropping-particle" : "", "family" : "Riley", "given" : "Terry Z.", "non-dropping-particle" : "", "parse-names" : false, "suffix" : "" }, { "dropping-particle" : "", "family" : "Naugle", "given" : "David E.", "non-dropping-particle" : "", "parse-names" : false, "suffix" : "" }, { "dropping-particle" : "", "family" : "Bayne", "given" : "Erin M.", "non-dropping-particle" : "", "parse-names" : false, "suffix" : "" }, { "dropping-particle" : "", "family" : "Rodgers", "given" : "Jennifer A.", "non-dropping-particle" : "", "parse-names" : false, "suffix" : "" }, { "dropping-particle" : "", "family" : "Dale", "given" : "Brenda C.", "non-dropping-particle" : "", "parse-names" : false, "suffix" : "" }, { "dropping-particle" : "", "family" : "Torbit", "given" : "Stephen C.", "non-dropping-particle" : "", "parse-names" : false, "suffix" : "" } ], "container-title" : "The Wild", "id" : "ITEM-1", "issue" : "August", "issued" : { "date-parts" : [ [ "2012" ] ] }, "publisher-place" : "Bethesda, Maryland, USA", "title" : "Impacts of crude oil and natural gas developments on wildlife and wildlife habitat in the Rocky Mountain region. The Wildlife Society Technical Review 12-02", "type" : "report" }, "uris" : [ "http://www.mendeley.com/documents/?uuid=e5108baa-fe2f-4774-9121-a9dedc9e25de" ] } ], "mendeley" : { "formattedCitation" : "(Riley et al., 2012)", "manualFormatting" : "(see review in Riley et al. 2012)", "plainTextFormattedCitation" : "(Riley et al., 2012)", "previouslyFormattedCitation" : "(Riley et al., 2012)"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Pr="00FF72F0">
        <w:rPr>
          <w:rFonts w:ascii="Times New Roman" w:eastAsia="Cambria" w:hAnsi="Times New Roman" w:cs="Times New Roman"/>
          <w:noProof/>
          <w:sz w:val="24"/>
          <w:szCs w:val="24"/>
        </w:rPr>
        <w:t>(</w:t>
      </w:r>
      <w:r w:rsidR="004867C2">
        <w:rPr>
          <w:rFonts w:ascii="Times New Roman" w:eastAsia="Cambria" w:hAnsi="Times New Roman" w:cs="Times New Roman"/>
          <w:noProof/>
          <w:sz w:val="24"/>
          <w:szCs w:val="24"/>
        </w:rPr>
        <w:t xml:space="preserve">see review in </w:t>
      </w:r>
      <w:r w:rsidRPr="00FF72F0">
        <w:rPr>
          <w:rFonts w:ascii="Times New Roman" w:eastAsia="Cambria" w:hAnsi="Times New Roman" w:cs="Times New Roman"/>
          <w:noProof/>
          <w:sz w:val="24"/>
          <w:szCs w:val="24"/>
        </w:rPr>
        <w:t>Riley et al.</w:t>
      </w:r>
      <w:r w:rsidR="009E3314">
        <w:rPr>
          <w:rFonts w:ascii="Times New Roman" w:eastAsia="Cambria" w:hAnsi="Times New Roman" w:cs="Times New Roman"/>
          <w:noProof/>
          <w:sz w:val="24"/>
          <w:szCs w:val="24"/>
        </w:rPr>
        <w:t>,</w:t>
      </w:r>
      <w:r w:rsidRPr="00FF72F0">
        <w:rPr>
          <w:rFonts w:ascii="Times New Roman" w:eastAsia="Cambria" w:hAnsi="Times New Roman" w:cs="Times New Roman"/>
          <w:noProof/>
          <w:sz w:val="24"/>
          <w:szCs w:val="24"/>
        </w:rPr>
        <w:t xml:space="preserve"> 2012)</w:t>
      </w:r>
      <w:r w:rsidRPr="00FF72F0">
        <w:rPr>
          <w:rFonts w:ascii="Times New Roman" w:eastAsia="Cambria" w:hAnsi="Times New Roman" w:cs="Times New Roman"/>
          <w:sz w:val="24"/>
          <w:szCs w:val="24"/>
        </w:rPr>
        <w:fldChar w:fldCharType="end"/>
      </w:r>
      <w:r w:rsidR="001B3255">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 </w:t>
      </w:r>
      <w:r w:rsidR="00155B49" w:rsidRPr="00725AAA">
        <w:rPr>
          <w:rFonts w:ascii="Times New Roman" w:eastAsia="Cambria" w:hAnsi="Times New Roman" w:cs="Times New Roman"/>
          <w:sz w:val="24"/>
          <w:szCs w:val="24"/>
        </w:rPr>
        <w:t xml:space="preserve">Additionally, </w:t>
      </w:r>
      <w:r w:rsidR="006B468C" w:rsidRPr="000606C7">
        <w:rPr>
          <w:rFonts w:ascii="Times New Roman" w:eastAsia="Cambria" w:hAnsi="Times New Roman" w:cs="Times New Roman"/>
          <w:sz w:val="24"/>
          <w:szCs w:val="24"/>
        </w:rPr>
        <w:t>increased density of oil and gas wells has been corre</w:t>
      </w:r>
      <w:r w:rsidR="00725AAA">
        <w:rPr>
          <w:rFonts w:ascii="Times New Roman" w:eastAsia="Cambria" w:hAnsi="Times New Roman" w:cs="Times New Roman"/>
          <w:sz w:val="24"/>
          <w:szCs w:val="24"/>
        </w:rPr>
        <w:t xml:space="preserve">lated with lower abundances of </w:t>
      </w:r>
      <w:r w:rsidR="00155B49" w:rsidRPr="00725AAA">
        <w:rPr>
          <w:rFonts w:ascii="Times New Roman" w:eastAsia="Cambria" w:hAnsi="Times New Roman" w:cs="Times New Roman"/>
          <w:sz w:val="24"/>
          <w:szCs w:val="24"/>
        </w:rPr>
        <w:t xml:space="preserve">sage-brush obligate songbirds </w:t>
      </w:r>
      <w:r w:rsidR="006B468C" w:rsidRPr="000606C7">
        <w:rPr>
          <w:rFonts w:ascii="Times New Roman" w:eastAsia="Cambria" w:hAnsi="Times New Roman" w:cs="Times New Roman"/>
          <w:sz w:val="24"/>
          <w:szCs w:val="24"/>
        </w:rPr>
        <w:t xml:space="preserve">(Gilbert and Chalfoun; 2012), </w:t>
      </w:r>
      <w:r w:rsidR="00066C31">
        <w:rPr>
          <w:rFonts w:ascii="Times New Roman" w:eastAsia="Cambria" w:hAnsi="Times New Roman" w:cs="Times New Roman"/>
          <w:sz w:val="24"/>
          <w:szCs w:val="24"/>
        </w:rPr>
        <w:t xml:space="preserve">and habitat loss associated with energy development has been correlated with increased predation (Hethcoat and Chalfoun; 2015a) and lowered nest success (Hethcoat and Chalfoun; 2015b). </w:t>
      </w:r>
      <w:r w:rsidR="006315CE">
        <w:rPr>
          <w:rFonts w:ascii="Times New Roman" w:eastAsia="Cambria" w:hAnsi="Times New Roman" w:cs="Times New Roman"/>
          <w:sz w:val="24"/>
          <w:szCs w:val="24"/>
        </w:rPr>
        <w:t>These results suggest</w:t>
      </w:r>
      <w:r w:rsidRPr="00725AAA">
        <w:rPr>
          <w:rFonts w:ascii="Times New Roman" w:eastAsia="Cambria" w:hAnsi="Times New Roman" w:cs="Times New Roman"/>
          <w:sz w:val="24"/>
          <w:szCs w:val="24"/>
        </w:rPr>
        <w:t xml:space="preserve"> that grassland songbirds might also be sensitive</w:t>
      </w:r>
      <w:r w:rsidRPr="00FF72F0">
        <w:rPr>
          <w:rFonts w:ascii="Times New Roman" w:eastAsia="Cambria" w:hAnsi="Times New Roman" w:cs="Times New Roman"/>
          <w:sz w:val="24"/>
          <w:szCs w:val="24"/>
        </w:rPr>
        <w:t xml:space="preserve">. </w:t>
      </w:r>
      <w:r w:rsidR="00506E2B">
        <w:rPr>
          <w:rFonts w:ascii="Times New Roman" w:eastAsia="Cambria" w:hAnsi="Times New Roman" w:cs="Times New Roman"/>
          <w:sz w:val="24"/>
          <w:szCs w:val="24"/>
        </w:rPr>
        <w:t>G</w:t>
      </w:r>
      <w:r w:rsidR="00506E2B" w:rsidRPr="00FF72F0">
        <w:rPr>
          <w:rFonts w:ascii="Times New Roman" w:eastAsia="Cambria" w:hAnsi="Times New Roman" w:cs="Times New Roman"/>
          <w:sz w:val="24"/>
          <w:szCs w:val="24"/>
        </w:rPr>
        <w:t>iven the known effects on other species and the lack of consensus about effects on grassland songbirds</w:t>
      </w:r>
      <w:r w:rsidR="00506E2B">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00506E2B">
        <w:rPr>
          <w:rFonts w:ascii="Times New Roman" w:eastAsia="Cambria" w:hAnsi="Times New Roman" w:cs="Times New Roman"/>
          <w:sz w:val="24"/>
          <w:szCs w:val="24"/>
        </w:rPr>
        <w:t>m</w:t>
      </w:r>
      <w:r w:rsidRPr="00FF72F0">
        <w:rPr>
          <w:rFonts w:ascii="Times New Roman" w:eastAsia="Cambria" w:hAnsi="Times New Roman" w:cs="Times New Roman"/>
          <w:sz w:val="24"/>
          <w:szCs w:val="24"/>
        </w:rPr>
        <w:t>ore studies on the effects of conventional oil wells and related infrastructure are necessary</w:t>
      </w:r>
      <w:r w:rsidR="00506E2B">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p>
    <w:p w14:paraId="2B92E036" w14:textId="1F82BDDD" w:rsidR="008465EC"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There are a number of reasons why oil infrastructure </w:t>
      </w:r>
      <w:r w:rsidR="00700287">
        <w:rPr>
          <w:rFonts w:ascii="Times New Roman" w:eastAsia="Cambria" w:hAnsi="Times New Roman" w:cs="Times New Roman"/>
          <w:sz w:val="24"/>
          <w:szCs w:val="24"/>
        </w:rPr>
        <w:t>would</w:t>
      </w:r>
      <w:r w:rsidRPr="00FF72F0">
        <w:rPr>
          <w:rFonts w:ascii="Times New Roman" w:eastAsia="Cambria" w:hAnsi="Times New Roman" w:cs="Times New Roman"/>
          <w:sz w:val="24"/>
          <w:szCs w:val="24"/>
        </w:rPr>
        <w:t xml:space="preserve"> be predicted to affect habitat suitability for grassland birds. Anthropogenic noise may disrupt or mask songbird communication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"Schroeder", "given" : "J.", "non-dropping-particle" : "", "parse-names" : false, "suffix" : "" }, { "dropping-particle" : "", "family" : "Nakagawa", "given" : "S.", "non-dropping-particle" : "", "parse-names" : false, "suffix" : "" }, { "dropping-particle" : "", "family" : "Cleasby", "given" : "I. R.", "non-dropping-particle" : "", "parse-names" : false, "suffix" : "" }, { "dropping-particle" : "", "family" : "Burke", "given" : "T.", "non-dropping-particle" : "", "parse-names" : false, "suffix" : "" } ], "container-title" : "PLoS One", "id" : "ITEM-1", "issued" : { "date-parts" : [ [ "2012" ] ] }, "page" : "e39200", "title" : "Passerine birds breeding under chronic noise experience reduced fitness", "type" : "article-journal", "volume" : "7" }, "uris" : [ "http://www.mendeley.com/documents/?uuid=36e8c5a1-1bb5-4967-8ddd-70317d4ed002" ] }, { "id" : "ITEM-2", "itemData" : { "DOI" : "10.1111/j.1365-2664.2006.01234.x", "ISSN" : "00218901", "author" : [ { "dropping-particle" : "", "family" : "Habib", "given" : "Lucas", "non-dropping-particle" : "", "parse-names" : false, "suffix" : "" }, { "dropping-particle" : "", "family" : "Bayne", "given" : "Erin M.", "non-dropping-particle" : "", "parse-names" : false, "suffix" : "" }, { "dropping-particle" : "", "family" : "Boutin", "given" : "Stan", "non-dropping-particle" : "", "parse-names" : false, "suffix" : "" } ], "container-title" : "Journal of Applied Ecology", "id" : "ITEM-2", "issue" : "1", "issued" : { "date-parts" : [ [ "2006", "9", "12" ] ] }, "page" : "176-184", "title" : "Chronic industrial noise affects pairing success and age structure of ovenbirds (Seiurus aurocapilla)", "type" : "article-journal", "volume" : "44" }, "uris" : [ "http://www.mendeley.com/documents/?uuid=4b63f764-5f42-4332-a37d-f5c38edd9954" ] } ], "mendeley" : { "formattedCitation" : "(Habib et al., 2006; Schroeder et al., 2012)", "plainTextFormattedCitation" : "(Habib et al., 2006; Schroeder et al., 2012)", "previouslyFormattedCitation" : "(Habib et al., 2006; Schroeder et al., 2012)"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(Habib et al., 2006; Schroeder et al., 2012)</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t>
      </w:r>
      <w:r w:rsidR="004867C2">
        <w:rPr>
          <w:rFonts w:ascii="Times New Roman" w:eastAsia="Cambria" w:hAnsi="Times New Roman" w:cs="Times New Roman"/>
          <w:sz w:val="24"/>
          <w:szCs w:val="24"/>
        </w:rPr>
        <w:t>which</w:t>
      </w:r>
      <w:r w:rsidRPr="00FF72F0">
        <w:rPr>
          <w:rFonts w:ascii="Times New Roman" w:eastAsia="Cambria" w:hAnsi="Times New Roman" w:cs="Times New Roman"/>
          <w:sz w:val="24"/>
          <w:szCs w:val="24"/>
        </w:rPr>
        <w:t xml:space="preserve"> may lead songbirds to avoid noisy energy infrastructure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"DOI" : "10.1111/j.1523-1739.2008.00973.x", "ISSN" : "1523-1739", "PMID" : "18616740", "abstract" : "The effects of human activities in forests are often examined in the context of habitat conversion. Changes in habitat structure and composition are also associated with increases in the activity of people with vehicles and equipment, which results in increases in anthropogenic noise. Anthropogenic noise may reduce habitat quality for many species, particularly those that rely on acoustic signals for communication. We compared the density and occupancy rate of forest passerines close to versus far from noise-generating compressor stations and noiseless well pads in the boreal forest of Alberta, Canada. Using distance-based sampling, we found that areas near noiseless energy facilities had a total passerine density 1.5 times higher than areas near noise-producing energy sites. The White-throated Sparrow (Zonotrichia albicollis), Yellow-rumped Warbler (Dendroica coronata), and Red-eyed Vireo (Vireo olivaceus) were less dense in noisy areas. We used repeat sampling to estimate occupancy rate for 23 additional species. Seven had lower conditional or unconditional occupancy rates near noise-generating facilities. One-third of the species examined showed patterns that supported the hypothesis that abundance is influenced by anthropogenic noise. An additional 4 species responded negatively to edge effects. To mitigate existing noise impacts on birds would require approximately $175 million. The merits of such an effort relative to other reclamation actions are discussed. Nevertheless, given the $100 billion energy-sector investment planned for the boreal forest in the next 10 years, including noise suppression technology at the outset of construction, makes noise mitigation a cost-effective best-management practice that might help conserve high-quality habitat for boreal birds.", "author" : [ { "dropping-particle" : "", "family" : "Bayne", "given" : "Erin M", "non-dropping-particle" : "", "parse-names" : false, "suffix" : "" }, { "dropping-particle" : "", "family" : "Habib", "given" : "Lucas", "non-dropping-particle" : "", "parse-names" : false, "suffix" : "" }, { "dropping-particle" : "", "family" : "Boutin", "given" : "Stan", "non-dropping-particle" : "", "parse-names" : false, "suffix" : "" } ], "container-title" : "Conservation biology : the journal of the Society for Conservation Biology", "id" : "ITEM-1", "issue" : "5", "issued" : { "date-parts" : [ [ "2008", "10" ] ] }, "page" : "1186-93", "title" : "Impacts of chronic anthropogenic noise from energy-sector activity on abundance of songbirds in the boreal forest.", "type" : "article-journal", "volume" : "22" }, "uris" : [ "http://www.mendeley.com/documents/?uuid=00ae4303-cb82-4b32-8d24-359148e1c5ce" ] } ], "mendeley" : { "formattedCitation" : "(Bayne et al., 2008)", "plainTextFormattedCitation" : "(Bayne et al., 2008)", "previouslyFormattedCitation" : "(Bayne et al., 2008)"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(Bayne et al., 2008)</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Increased human activity includes a rise in traffic, which can increase songbird mortality</w:t>
      </w:r>
      <w:r w:rsidR="00DA459C">
        <w:rPr>
          <w:rFonts w:ascii="Times New Roman" w:eastAsia="Cambria" w:hAnsi="Times New Roman" w:cs="Times New Roman"/>
          <w:sz w:val="24"/>
          <w:szCs w:val="24"/>
        </w:rPr>
        <w:t xml:space="preserve"> and disturbance to nesting birds</w:t>
      </w:r>
      <w:r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"abstract" : "Lower abundance of forest birds near high traffic roads is usually attributed to traffic noise, but the potential role of traffic mortality has not been adequately tested. We tested for the effect of traffic mortality independent of traffic noise, by sampling forest birds at sites with similar traffic volume (and noise levels), that varied in the likelihood of traffic collisions. Collision rates should be higher at forest sites next to roads where there is forest directly across the road, since forest birds are more likely to attempt to cross a small forest gap than a large one. We predicted that if traffic collisions play a significant role in the road effect on birds then in sites where there is a higher risk of traffic collision (small gap sites), there should be a stronger decline through the season in the number of forest birds close to roads, than in sites where there is a lower risk of collision (large gap sites). We compared relative abundance of forest birds, at four distances from high traffic roads, at 10 sites where the birds were more likely to cross the road (small-gap sites, with forest on the other side) versus at 10 sites where they were less likely to cross the road (large-gap sites with open field on the other side). Our prediction was supported; the slope of the relationship between abundance and distance from the road (the negative road effect) became stronger as the season progressed at the small-gap sites but not at the large-gap sites. Our results support the notion that traffic mortality is an important component of the negative road effect, and that mitigation of road effects on birds should include mitigation for traffic mortality.", "author" : [ { "dropping-particle" : "", "family" : "Jack", "given" : "Joanna", "non-dropping-particle" : "", "parse-names" : false, "suffix" : "" }, { "dropping-particle" : "", "family" : "Rytwinski", "given" : "Trina", "non-dropping-particle" : "", "parse-names" : false, "suffix" : "" }, { "dropping-particle" : "", "family" : "Fahring", "given" : "Lenore", "non-dropping-particle" : "", "parse-names" : false, "suffix" : "" }, { "dropping-particle" : "", "family" : "Francis", "given" : "Charles M.", "non-dropping-particle" : "", "parse-names" : false, "suffix" : "" } ], "container-title" : "Biodiversity and Conservation", "id" : "ITEM-1", "issue" : "6", "issued" : { "date-parts" : [ [ "2015" ] ] }, "page" : "1507-1529", "title" : "Influence of traffic mortality on forest bird abundance", "type" : "article-journal", "volume" : "24" }, "uris" : [ "http://www.mendeley.com/documents/?uuid=b173e4e5-8b83-4219-a1ec-c3cfaaf007d6" ] }, { "id" : "ITEM-2", "itemData" : { "author" : [ { "dropping-particle" : "", "family" : "Ingelfinger", "given" : "Franz", "non-dropping-particle" : "", "parse-names" : false, "suffix" : "" }, { "dropping-particle" : "", "family" : "Anderson", "given" : "Stanley", "non-dropping-particle" : "", "parse-names" : false, "suffix" : "" } ], "container-title" : "Western North America Naturalist", "id" : "ITEM-2", "issue" : "3", "issued" : { "date-parts" : [ [ "2004" ] ] }, "page" : "385-395", "title" : "Passerine response to roads associated with natural gas extraction in a sagebrush steppe habitat", "type" : "article-journal", "volume" : "64" }, "uris" : [ "http://www.mendeley.com/documents/?uuid=03348c7c-df32-4753-ab26-22d8e2640673" ] }, { "id" : "ITEM-3", "itemData" : { "author" : [ { "dropping-particle" : "", "family" : "Trombulak", "given" : "Stephen C", "non-dropping-particle" : "", "parse-names" : false, "suffix" : "" }, { "dropping-particle" : "", "family" : "Frissell", "given" : "Christopher A", "non-dropping-particle" : "", "parse-names" : false, "suffix" : "" } ], "container-title" : "Conservation Biology", "id" : "ITEM-3", "issue" : "1", "issued" : { "date-parts" : [ [ "2000" ] ] }, "page" : "18-30", "title" : "Review of ecological effects of roads on terrestrial and aquatic communities", "type" : "article-journal", "volume" : "14" }, "uris" : [ "http://www.mendeley.com/documents/?uuid=015050bb-dd41-4f06-a386-edcf6e956687" ] } ], "mendeley" : { "formattedCitation" : "(Ingelfinger and Anderson, 2004; Jack et al., 2015; Trombulak and Frissell, 2000)", "plainTextFormattedCitation" : "(Ingelfinger and Anderson, 2004; Jack et al., 2015; Trombulak and Frissell, 2000)", "previouslyFormattedCitation" : "(Ingelfinger and Anderson, 2004; Jack et al., 2015; Trombulak and Frissell, 2000)"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w:t>
      </w:r>
      <w:r w:rsidR="009E3314" w:rsidRPr="00FF53CF">
        <w:rPr>
          <w:rFonts w:ascii="Times New Roman" w:eastAsia="Cambria" w:hAnsi="Times New Roman" w:cs="Times New Roman"/>
          <w:noProof/>
          <w:sz w:val="24"/>
          <w:szCs w:val="24"/>
        </w:rPr>
        <w:t>Trombulak and Frissell, 2000</w:t>
      </w:r>
      <w:r w:rsidR="009E3314">
        <w:rPr>
          <w:rFonts w:ascii="Times New Roman" w:eastAsia="Cambria" w:hAnsi="Times New Roman" w:cs="Times New Roman"/>
          <w:noProof/>
          <w:sz w:val="24"/>
          <w:szCs w:val="24"/>
        </w:rPr>
        <w:t xml:space="preserve">; </w:t>
      </w:r>
      <w:r w:rsidR="00FF53CF" w:rsidRPr="00FF53CF">
        <w:rPr>
          <w:rFonts w:ascii="Times New Roman" w:eastAsia="Cambria" w:hAnsi="Times New Roman" w:cs="Times New Roman"/>
          <w:noProof/>
          <w:sz w:val="24"/>
          <w:szCs w:val="24"/>
        </w:rPr>
        <w:t>Ingelfinger and Anderson, 2004; Jack et al., 2015)</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Taller structures may lead to an increase in collision mortalities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"Mabey", "given" : "Sarah", "non-dropping-particle" : "", "parse-names" : false, "suffix" : "" }, { "dropping-particle" : "", "family" : "Paul", "given" : "Ellen", "non-dropping-particle" : "", "parse-names" : false, "suffix" : "" } ], "id" : "ITEM-1", "issue" : "October", "issued" : { "date-parts" : [ [ "2007" ] ] }, "number-of-pages" : "1-183", "title" : "Impact of wind energy and related human activities on grassland and shrub-steppe birds", "type" : "report" }, "uris" : [ "http://www.mendeley.com/documents/?uuid=964a70b4-1d24-4654-b4a4-17b2a7cf2973" ] } ], "mendeley" : { "formattedCitation" : "(Mabey and Paul, 2007)", "plainTextFormattedCitation" : "(Mabey and Paul, 2007)", "previouslyFormattedCitation" : "(Mabey and Paul, 2007)"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(Mabey and Paul, 2007)</w:t>
      </w:r>
      <w:r w:rsidRPr="00FF72F0">
        <w:rPr>
          <w:rFonts w:ascii="Times New Roman" w:eastAsia="Cambria" w:hAnsi="Times New Roman" w:cs="Times New Roman"/>
          <w:sz w:val="24"/>
          <w:szCs w:val="24"/>
        </w:rPr>
        <w:fldChar w:fldCharType="end"/>
      </w:r>
      <w:r w:rsidR="004867C2">
        <w:rPr>
          <w:rFonts w:ascii="Times New Roman" w:eastAsia="Cambria" w:hAnsi="Times New Roman" w:cs="Times New Roman"/>
          <w:sz w:val="24"/>
          <w:szCs w:val="24"/>
        </w:rPr>
        <w:t xml:space="preserve">, or may simply be avoided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"DOI" : "10.2193/0091-7648(2004)032[0807:TASIIN]2.0.CO;2", "ISSN" : "0091-7648", "author" : [ { "dropping-particle" : "", "family" : "Grant", "given" : "Todd a.", "non-dropping-particle" : "", "parse-names" : false, "suffix" : "" }, { "dropping-particle" : "", "family" : "Madden", "given" : "Elizabeth", "non-dropping-particle" : "", "parse-names" : false, "suffix" : "" }, { "dropping-particle" : "", "family" : "Berkey", "given" : "Gordon B.", "non-dropping-particle" : "", "parse-names" : false, "suffix" : "" } ], "container-title" : "Wildlife Society Bulletin", "id" : "ITEM-1", "issue" : "3", "issued" : { "date-parts" : [ [ "2004", "9" ] ] }, "page" : "807-818", "title" : "Tree and shrub invasion in northern mixed-grass prairie: implications for breeding grassland birds", "type" : "article-journal", "volume" : "32" }, "uris" : [ "http://www.mendeley.com/documents/?uuid=282379bc-dd8d-4da2-9d02-7c5041399fe2" ] }, { "id" : "ITEM-2", "itemData" : { "abstract" : "In North America, grassland bird abundances have declined, likely as a result of loss and degradation of prairie habitat. Given the expense and limited opportunity to procure new grasslands, managers are increasingly focusing on ways to improve existing habitat for grassland birds, using techniques such as tree removal. To examine the potential for tree removal to benefit grassland birds, we conducted 446 point counts on 35 grassland habitat patches in the highly fragmented landscape of west-central Minnesota during 2009\u20132011. We modeled density of four grassland bird species in relation to habitat composition at multiple scales, focusing on covariates that described grass, woody vegetation (trees and large shrubs), or combinations of grass and woody vegetation. The best-supported models for all four grassland bird species incorporated variables measured at multiple scales, including local features such as grass height, litter depth, and local tree abundance, as well as landscape-level measures of grass and tree cover. Savannah Sparrows (Passerculus sandwichensis), Sedge Wrens (Cistothorus platensis), and Bobolinks (Dolichonyx oryzivorus) responded consistently and negatively to woody vegetation, but response to litter depth, grass height, and grassland extent were mixed among species. Our results suggest that reducing shrub and tree cover is more likely to increase the density of grassland birds than are attempts to improve grass quality or quantity. In particular, tree removal is more likely to increase density of Savannah Sparrows and Sedge Wrens than any reasonable changes in grass quality or quantity. Yet tree removal may not result in increased abundance of grassland birds if habitat composition is not considered at multiple scales. Managers will need to either manage at large scales (80\u2013300 ha) or focus their efforts on removing trees in landscapes that contain some grasslands but few nearby wooded areas.", "author" : [ { "dropping-particle" : "", "family" : "Thompson", "given" : "Sarah J.", "non-dropping-particle" : "", "parse-names" : false, "suffix" : "" }, { "dropping-particle" : "", "family" : "Arnols", "given" : "Todd A.", "non-dropping-particle" : "", "parse-names" : false, "suffix" : "" }, { "dropping-particle" : "", "family" : "Amundson", "given" : "Courtney L.", "non-dropping-particle" : "", "parse-names" : false, "suffix" : "" } ], "container-title" : "The Condor", "id" : "ITEM-2", "issue" : "3", "issued" : { "date-parts" : [ [ "2014" ] ] }, "page" : "303-315", "title" : "A multiscale assessment of tree avoidance by prairie birds.", "type" : "article-journal", "volume" : "116" }, "uris" : [ "http://www.mendeley.com/documents/?uuid=3bb9ecab-c293-4740-b93e-5294806bf3c0" ] } ], "mendeley" : { "formattedCitation" : "(Grant et al., 2004; Thompson et al., 2014)", "plainTextFormattedCitation" : "(Grant et al., 2004; Thompson et al., 2014)", "previouslyFormattedCitation" : "(Grant et al., 2004; Thompson et al., 2014)"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(Grant et al., 2004; Thompson et al., 2014)</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Further, linear features associated with oil infrastructure, including roads, power lines, and fences, may act as perch sites</w:t>
      </w:r>
      <w:r w:rsidR="004867C2">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travel corridors</w:t>
      </w:r>
      <w:r w:rsidR="004867C2">
        <w:rPr>
          <w:rFonts w:ascii="Times New Roman" w:eastAsia="Cambria" w:hAnsi="Times New Roman" w:cs="Times New Roman"/>
          <w:sz w:val="24"/>
          <w:szCs w:val="24"/>
        </w:rPr>
        <w:t>, or attractants</w:t>
      </w:r>
      <w:r w:rsidRPr="00FF72F0">
        <w:rPr>
          <w:rFonts w:ascii="Times New Roman" w:eastAsia="Cambria" w:hAnsi="Times New Roman" w:cs="Times New Roman"/>
          <w:sz w:val="24"/>
          <w:szCs w:val="24"/>
        </w:rPr>
        <w:t xml:space="preserve"> for predators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"DeGregorio", "given" : "Brett A.", "non-dropping-particle" : "", "parse-names" : false, "suffix" : "" }, { "dropping-particle" : "", "family" : "Weatherhead", "given" : "Patrick J.", "non-dropping-particle" : "", "parse-names" : false, "suffix" : "" }, { "dropping-particle" : "", "family" : "Sperry", "given" : "Jinelle H.", "non-dropping-particle" : "", "parse-names" : false, "suffix" : "" } ], "container-title" : "Ecology and Evolution", "id" : "ITEM-1", "issue" : "9", "issued" : { "date-parts" : [ [ "2014" ] ] }, "page" : "1589-1600", "title" : "Power lines, roads, and avian nest survival: effects on predator identity and predation intensity", "type" : "article-journal", "volume" : "4" }, "uris" : [ "http://www.mendeley.com/documents/?uuid=1df69fb0-560c-4810-a349-e599ec8e062f" ] }, { "id" : "ITEM-2", "itemData" : { "author" : [ { "dropping-particle" : "", "family" : "Frey", "given" : "S. N.", "non-dropping-particle" : "", "parse-names" : false, "suffix" : "" }, { "dropping-particle" : "", "family" : "Conover", "given" : "Michael R.", "non-dropping-particle" : "", "parse-names" : false, "suffix" : "" } ], "container-title" : "Journal of Wildlife Management", "id" : "ITEM-2", "issue" : "4", "issued" : { "date-parts" : [ [ "2006" ] ] }, "page" : "1111-1118", "title" : "Habitat use by meso-predators in a corridor environment", "type" : "article-journal", "volume" : "70" }, "uris" : [ "http://www.mendeley.com/documents/?uuid=8c102a5c-eceb-4b3f-bbbf-3c704b8e2fd1" ] } ], "mendeley" : { "formattedCitation" : "(DeGregorio et al., 2014; Frey and Conover, 2006)", "plainTextFormattedCitation" : "(DeGregorio et al., 2014; Frey and Conover, 2006)", "previouslyFormattedCitation" : "(DeGregorio et al., 2014; Frey and Conover, 2006)"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w:t>
      </w:r>
      <w:r w:rsidR="009E3314" w:rsidRPr="00FF53CF">
        <w:rPr>
          <w:rFonts w:ascii="Times New Roman" w:eastAsia="Cambria" w:hAnsi="Times New Roman" w:cs="Times New Roman"/>
          <w:noProof/>
          <w:sz w:val="24"/>
          <w:szCs w:val="24"/>
        </w:rPr>
        <w:t>Frey and Conover, 2006</w:t>
      </w:r>
      <w:r w:rsidR="009E3314">
        <w:rPr>
          <w:rFonts w:ascii="Times New Roman" w:eastAsia="Cambria" w:hAnsi="Times New Roman" w:cs="Times New Roman"/>
          <w:noProof/>
          <w:sz w:val="24"/>
          <w:szCs w:val="24"/>
        </w:rPr>
        <w:t xml:space="preserve">; </w:t>
      </w:r>
      <w:r w:rsidR="00FF53CF" w:rsidRPr="00FF53CF">
        <w:rPr>
          <w:rFonts w:ascii="Times New Roman" w:eastAsia="Cambria" w:hAnsi="Times New Roman" w:cs="Times New Roman"/>
          <w:noProof/>
          <w:sz w:val="24"/>
          <w:szCs w:val="24"/>
        </w:rPr>
        <w:t>DeGregorio et al., 2014)</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Disturbances to the soil from construction may lead to an increase in exotic vegetation around those areas, which can further hinder songbird populations</w:t>
      </w:r>
      <w:r w:rsidR="00993D38">
        <w:rPr>
          <w:rFonts w:ascii="Times New Roman" w:eastAsia="Cambria" w:hAnsi="Times New Roman" w:cs="Times New Roman"/>
          <w:sz w:val="24"/>
          <w:szCs w:val="24"/>
        </w:rPr>
        <w:t xml:space="preserve"> by creating unsuitable habitat</w:t>
      </w:r>
      <w:r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"DOI" : "10.1007/s10661-006-9321-7", "ISSN" : "0167-6369", "PMID" : "17016748", "abstract" : "One of the fastest growing areas of natural gas production is coal bed methane (CBM) due to the large monetary returns and increased demand for energy from consumers. The Powder River Basin, Wyoming is one of the most rapidly expanding areas of CBM development with projections of the establishment of up to 50,000 wells. CBM disturbances may make the native ecosystem more susceptible to invasion by non-native species, but there are few studies that have been conducted on the environmental impacts of this type of resource extraction. To evaluate the potential effects of CBM development on native plant species distribution and patterns of non-native plant invasion, 36 modified Forest Inventory and Analysis plots (each comprised of four 168-m2 subplots) were established in the Powder River Basin, Wyoming. There were 73 168-m2 subplots on control sites; 42 subplots on secondary disturbances; 14 on major surface disturbances; eight on well pads; and seven on sites downslope of CBM wells water discharge points. Native plant species cover ranged from 39.5 +/- 2.7% (mean +/- 1 SE) in the secondary disturbance subplots to 17.7 +/- 7.5% in the pad subplots. Non-native plant species cover ranged from 31.0 +/- 8.4% in the discharge areas to 14.7 +/- 8.9% in the pad subplots. The control subplots had significantly less non-native species richness than the combined disturbance types. The combined disturbance subplots had significantly greater soil salinity than the control sites. These results suggest that CBM development and associated disturbances may facilitate the establishment of non-native plants. Future research and management decisions should consider the accumulative landscape-scale effects of CBM development on preserving native plant diversity.", "author" : [ { "dropping-particle" : "", "family" : "Bergquist", "given" : "E", "non-dropping-particle" : "", "parse-names" : false, "suffix" : "" }, { "dropping-particle" : "", "family" : "Evangelista", "given" : "P", "non-dropping-particle" : "", "parse-names" : false, "suffix" : "" }, { "dropping-particle" : "", "family" : "Stohlgren", "given" : "T J", "non-dropping-particle" : "", "parse-names" : false, "suffix" : "" }, { "dropping-particle" : "", "family" : "Alley", "given" : "N", "non-dropping-particle" : "", "parse-names" : false, "suffix" : "" } ], "container-title" : "Environmental monitoring and assessment", "id" : "ITEM-1", "issue" : "1-3", "issued" : { "date-parts" : [ [ "2007", "5" ] ] }, "page" : "381-94", "title" : "Invasive species and coal bed methane development in the Powder River Basin, Wyoming.", "type" : "article-journal", "volume" : "128" }, "uris" : [ "http://www.mendeley.com/documents/?uuid=0ad24662-35be-4d28-93eb-af2af792a61c" ] }, { "id" : "ITEM-2", "itemData" : { "ISBN" : "9780983040217", "author" : [ { "dropping-particle" : "", "family" : "Riley", "given" : "Terry Z.", "non-dropping-particle" : "", "parse-names" : false, "suffix" : "" }, { "dropping-particle" : "", "family" : "Naugle", "given" : "David E.", "non-dropping-particle" : "", "parse-names" : false, "suffix" : "" }, { "dropping-particle" : "", "family" : "Bayne", "given" : "Erin M.", "non-dropping-particle" : "", "parse-names" : false, "suffix" : "" }, { "dropping-particle" : "", "family" : "Rodgers", "given" : "Jennifer A.", "non-dropping-particle" : "", "parse-names" : false, "suffix" : "" }, { "dropping-particle" : "", "family" : "Dale", "given" : "Brenda C.", "non-dropping-particle" : "", "parse-names" : false, "suffix" : "" }, { "dropping-particle" : "", "family" : "Torbit", "given" : "Stephen C.", "non-dropping-particle" : "", "parse-names" : false, "suffix" : "" } ], "container-title" : "The Wild", "id" : "ITEM-2", "issue" : "August", "issued" : { "date-parts" : [ [ "2012" ] ] }, "publisher-place" : "Bethesda, Maryland, USA", "title" : "Impacts of crude oil and natural gas developments on wildlife and wildlife habitat in the Rocky Mountain region. The Wildlife Society Technical Review 12-02", "type" : "report" }, "uris" : [ "http://www.mendeley.com/documents/?uuid=e5108baa-fe2f-4774-9121-a9dedc9e25de" ] } ], "mendeley" : { "formattedCitation" : "(Bergquist et al., 2007; Riley et al., 2012)", "plainTextFormattedCitation" : "(Bergquist et al., 2007; Riley et al., 2012)", "previouslyFormattedCitation" : "(Bergquist et al., 2007; Riley et al., 2012)"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(Bergquist et al., 2007; Riley et al., 2012)</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t>
      </w:r>
      <w:r w:rsidR="004867C2">
        <w:rPr>
          <w:rFonts w:ascii="Times New Roman" w:eastAsia="Cambria" w:hAnsi="Times New Roman" w:cs="Times New Roman"/>
          <w:sz w:val="24"/>
          <w:szCs w:val="24"/>
        </w:rPr>
        <w:t>Determining</w:t>
      </w:r>
      <w:r w:rsidRPr="00FF72F0">
        <w:rPr>
          <w:rFonts w:ascii="Times New Roman" w:eastAsia="Cambria" w:hAnsi="Times New Roman" w:cs="Times New Roman"/>
          <w:sz w:val="24"/>
          <w:szCs w:val="24"/>
        </w:rPr>
        <w:t xml:space="preserve"> which of these mechanisms explain effects of oil wells on grassland songbird</w:t>
      </w:r>
      <w:r w:rsidR="004867C2">
        <w:rPr>
          <w:rFonts w:ascii="Times New Roman" w:eastAsia="Cambria" w:hAnsi="Times New Roman" w:cs="Times New Roman"/>
          <w:sz w:val="24"/>
          <w:szCs w:val="24"/>
        </w:rPr>
        <w:t xml:space="preserve">s is necessary for developing effective mitigation </w:t>
      </w:r>
      <w:r w:rsidR="001C3C55">
        <w:rPr>
          <w:rFonts w:ascii="Times New Roman" w:eastAsia="Cambria" w:hAnsi="Times New Roman" w:cs="Times New Roman"/>
          <w:sz w:val="24"/>
          <w:szCs w:val="24"/>
        </w:rPr>
        <w:t xml:space="preserve">strategies, and may help us understand why oil wells in some regions have apparently greater </w:t>
      </w:r>
      <w:r w:rsidR="00E603A0">
        <w:rPr>
          <w:rFonts w:ascii="Times New Roman" w:eastAsia="Cambria" w:hAnsi="Times New Roman" w:cs="Times New Roman"/>
          <w:sz w:val="24"/>
          <w:szCs w:val="24"/>
        </w:rPr>
        <w:t>ef</w:t>
      </w:r>
      <w:r w:rsidR="007B4BD3">
        <w:rPr>
          <w:rFonts w:ascii="Times New Roman" w:eastAsia="Cambria" w:hAnsi="Times New Roman" w:cs="Times New Roman"/>
          <w:sz w:val="24"/>
          <w:szCs w:val="24"/>
        </w:rPr>
        <w:t>f</w:t>
      </w:r>
      <w:r w:rsidR="00E603A0">
        <w:rPr>
          <w:rFonts w:ascii="Times New Roman" w:eastAsia="Cambria" w:hAnsi="Times New Roman" w:cs="Times New Roman"/>
          <w:sz w:val="24"/>
          <w:szCs w:val="24"/>
        </w:rPr>
        <w:t>e</w:t>
      </w:r>
      <w:r w:rsidR="007B4BD3">
        <w:rPr>
          <w:rFonts w:ascii="Times New Roman" w:eastAsia="Cambria" w:hAnsi="Times New Roman" w:cs="Times New Roman"/>
          <w:sz w:val="24"/>
          <w:szCs w:val="24"/>
        </w:rPr>
        <w:t>c</w:t>
      </w:r>
      <w:r w:rsidR="001C3C55">
        <w:rPr>
          <w:rFonts w:ascii="Times New Roman" w:eastAsia="Cambria" w:hAnsi="Times New Roman" w:cs="Times New Roman"/>
          <w:sz w:val="24"/>
          <w:szCs w:val="24"/>
        </w:rPr>
        <w:t>ts on wildlife than oil wells in other regions.</w:t>
      </w:r>
    </w:p>
    <w:p w14:paraId="3CB05055" w14:textId="75BA865F" w:rsidR="004867C2" w:rsidRDefault="008465EC" w:rsidP="00A24179">
      <w:pPr>
        <w:spacing w:after="0" w:line="240" w:lineRule="auto"/>
        <w:ind w:firstLine="720"/>
        <w:rPr>
          <w:rFonts w:ascii="Times New Roman" w:eastAsia="Cambria" w:hAnsi="Times New Roman" w:cs="Times New Roman"/>
          <w:sz w:val="24"/>
          <w:szCs w:val="24"/>
        </w:rPr>
      </w:pPr>
      <w:r>
        <w:rPr>
          <w:rFonts w:ascii="Times New Roman" w:eastAsia="Cambria" w:hAnsi="Times New Roman" w:cs="Times New Roman"/>
          <w:sz w:val="24"/>
          <w:szCs w:val="24"/>
        </w:rPr>
        <w:t>Different types of o</w:t>
      </w:r>
      <w:r w:rsidR="00037964">
        <w:rPr>
          <w:rFonts w:ascii="Times New Roman" w:eastAsia="Cambria" w:hAnsi="Times New Roman" w:cs="Times New Roman"/>
          <w:sz w:val="24"/>
          <w:szCs w:val="24"/>
        </w:rPr>
        <w:t>il well infrastructure</w:t>
      </w:r>
      <w:r>
        <w:rPr>
          <w:rFonts w:ascii="Times New Roman" w:eastAsia="Cambria" w:hAnsi="Times New Roman" w:cs="Times New Roman"/>
          <w:sz w:val="24"/>
          <w:szCs w:val="24"/>
        </w:rPr>
        <w:t xml:space="preserve"> might also have different </w:t>
      </w:r>
      <w:r w:rsidR="007B4BD3">
        <w:rPr>
          <w:rFonts w:ascii="Times New Roman" w:eastAsia="Cambria" w:hAnsi="Times New Roman" w:cs="Times New Roman"/>
          <w:sz w:val="24"/>
          <w:szCs w:val="24"/>
        </w:rPr>
        <w:t>effects</w:t>
      </w:r>
      <w:r>
        <w:rPr>
          <w:rFonts w:ascii="Times New Roman" w:eastAsia="Cambria" w:hAnsi="Times New Roman" w:cs="Times New Roman"/>
          <w:sz w:val="24"/>
          <w:szCs w:val="24"/>
        </w:rPr>
        <w:t xml:space="preserve">. </w:t>
      </w:r>
      <w:r w:rsidR="001C3C55">
        <w:rPr>
          <w:rFonts w:ascii="Times New Roman" w:eastAsia="Cambria" w:hAnsi="Times New Roman" w:cs="Times New Roman"/>
          <w:sz w:val="24"/>
          <w:szCs w:val="24"/>
        </w:rPr>
        <w:t xml:space="preserve">For example, pumpjacks and screw pumps are both pumping systems used to draw oil to the surface, but their visual profiles differ significantly as pumpjacks are much taller than </w:t>
      </w:r>
      <w:r w:rsidR="00EA73B8">
        <w:rPr>
          <w:rFonts w:ascii="Times New Roman" w:eastAsia="Cambria" w:hAnsi="Times New Roman" w:cs="Times New Roman"/>
          <w:sz w:val="24"/>
          <w:szCs w:val="24"/>
        </w:rPr>
        <w:t>screw pump</w:t>
      </w:r>
      <w:r w:rsidR="001C3C55">
        <w:rPr>
          <w:rFonts w:ascii="Times New Roman" w:eastAsia="Cambria" w:hAnsi="Times New Roman" w:cs="Times New Roman"/>
          <w:sz w:val="24"/>
          <w:szCs w:val="24"/>
        </w:rPr>
        <w:t>s. Therefore, species that avoid tall infrastructure might be more likely to avoid pumpjacks than screw pumps. Wells may also be powered either by connecting them to the provincial power grid via distribution lines, or by on-site generators. Grid-powered wells are</w:t>
      </w:r>
      <w:r w:rsidR="00037964">
        <w:rPr>
          <w:rFonts w:ascii="Times New Roman" w:eastAsia="Cambria" w:hAnsi="Times New Roman" w:cs="Times New Roman"/>
          <w:sz w:val="24"/>
          <w:szCs w:val="24"/>
        </w:rPr>
        <w:t xml:space="preserve"> significantly</w:t>
      </w:r>
      <w:r w:rsidR="001C3C55">
        <w:rPr>
          <w:rFonts w:ascii="Times New Roman" w:eastAsia="Cambria" w:hAnsi="Times New Roman" w:cs="Times New Roman"/>
          <w:sz w:val="24"/>
          <w:szCs w:val="24"/>
        </w:rPr>
        <w:t xml:space="preserve"> quieter than generator-powered wells, but have more perch sites</w:t>
      </w:r>
      <w:r w:rsidR="00037964">
        <w:rPr>
          <w:rFonts w:ascii="Times New Roman" w:eastAsia="Cambria" w:hAnsi="Times New Roman" w:cs="Times New Roman"/>
          <w:sz w:val="24"/>
          <w:szCs w:val="24"/>
        </w:rPr>
        <w:t xml:space="preserve">. Therefore, species that avoid anthropogenic </w:t>
      </w:r>
      <w:r w:rsidR="00037964">
        <w:rPr>
          <w:rFonts w:ascii="Times New Roman" w:eastAsia="Cambria" w:hAnsi="Times New Roman" w:cs="Times New Roman"/>
          <w:sz w:val="24"/>
          <w:szCs w:val="24"/>
        </w:rPr>
        <w:lastRenderedPageBreak/>
        <w:t>noise would be more likely to avoid generator-powered wells, while species that select territories to avoid sites that attract perching</w:t>
      </w:r>
      <w:r w:rsidR="001C3C55">
        <w:rPr>
          <w:rFonts w:ascii="Times New Roman" w:eastAsia="Cambria" w:hAnsi="Times New Roman" w:cs="Times New Roman"/>
          <w:sz w:val="24"/>
          <w:szCs w:val="24"/>
        </w:rPr>
        <w:t xml:space="preserve"> predators</w:t>
      </w:r>
      <w:r w:rsidR="00037964">
        <w:rPr>
          <w:rFonts w:ascii="Times New Roman" w:eastAsia="Cambria" w:hAnsi="Times New Roman" w:cs="Times New Roman"/>
          <w:sz w:val="24"/>
          <w:szCs w:val="24"/>
        </w:rPr>
        <w:t xml:space="preserve"> would be expected to avoid grid-powered wells</w:t>
      </w:r>
      <w:r w:rsidR="001C3C55">
        <w:rPr>
          <w:rFonts w:ascii="Times New Roman" w:eastAsia="Cambria" w:hAnsi="Times New Roman" w:cs="Times New Roman"/>
          <w:sz w:val="24"/>
          <w:szCs w:val="24"/>
        </w:rPr>
        <w:t xml:space="preserve">. </w:t>
      </w:r>
      <w:r>
        <w:rPr>
          <w:rFonts w:ascii="Times New Roman" w:eastAsia="Cambria" w:hAnsi="Times New Roman" w:cs="Times New Roman"/>
          <w:sz w:val="24"/>
          <w:szCs w:val="24"/>
        </w:rPr>
        <w:t>Understanding effects of different types of wells makes important contribution</w:t>
      </w:r>
      <w:r w:rsidR="00037964">
        <w:rPr>
          <w:rFonts w:ascii="Times New Roman" w:eastAsia="Cambria" w:hAnsi="Times New Roman" w:cs="Times New Roman"/>
          <w:sz w:val="24"/>
          <w:szCs w:val="24"/>
        </w:rPr>
        <w:t>s</w:t>
      </w:r>
      <w:r>
        <w:rPr>
          <w:rFonts w:ascii="Times New Roman" w:eastAsia="Cambria" w:hAnsi="Times New Roman" w:cs="Times New Roman"/>
          <w:sz w:val="24"/>
          <w:szCs w:val="24"/>
        </w:rPr>
        <w:t xml:space="preserve"> to conservation by allowing us to identify </w:t>
      </w:r>
      <w:r w:rsidR="00037964">
        <w:rPr>
          <w:rFonts w:ascii="Times New Roman" w:eastAsia="Cambria" w:hAnsi="Times New Roman" w:cs="Times New Roman"/>
          <w:sz w:val="24"/>
          <w:szCs w:val="24"/>
        </w:rPr>
        <w:t xml:space="preserve">currently available </w:t>
      </w:r>
      <w:r>
        <w:rPr>
          <w:rFonts w:ascii="Times New Roman" w:eastAsia="Cambria" w:hAnsi="Times New Roman" w:cs="Times New Roman"/>
          <w:sz w:val="24"/>
          <w:szCs w:val="24"/>
        </w:rPr>
        <w:t>engineering solutions to environmental problems, and by helping us to identify the reasons why wells influence songbirds</w:t>
      </w:r>
      <w:r w:rsidR="00037964">
        <w:rPr>
          <w:rFonts w:ascii="Times New Roman" w:eastAsia="Cambria" w:hAnsi="Times New Roman" w:cs="Times New Roman"/>
          <w:sz w:val="24"/>
          <w:szCs w:val="24"/>
        </w:rPr>
        <w:t xml:space="preserve"> so that we can refine future mitigation strategies</w:t>
      </w:r>
      <w:r>
        <w:rPr>
          <w:rFonts w:ascii="Times New Roman" w:eastAsia="Cambria" w:hAnsi="Times New Roman" w:cs="Times New Roman"/>
          <w:sz w:val="24"/>
          <w:szCs w:val="24"/>
        </w:rPr>
        <w:t>.</w:t>
      </w:r>
    </w:p>
    <w:p w14:paraId="5306A91D" w14:textId="1D00041C"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We addressed </w:t>
      </w:r>
      <w:r w:rsidR="004867C2">
        <w:rPr>
          <w:rFonts w:ascii="Times New Roman" w:eastAsia="Cambria" w:hAnsi="Times New Roman" w:cs="Times New Roman"/>
          <w:sz w:val="24"/>
          <w:szCs w:val="24"/>
        </w:rPr>
        <w:t>three</w:t>
      </w:r>
      <w:r w:rsidR="004867C2"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questions to better understand the effects of conventional oil development on grassland songbirds. First, </w:t>
      </w:r>
      <w:r w:rsidR="004867C2">
        <w:rPr>
          <w:rFonts w:ascii="Times New Roman" w:eastAsia="Cambria" w:hAnsi="Times New Roman" w:cs="Times New Roman"/>
          <w:sz w:val="24"/>
          <w:szCs w:val="24"/>
        </w:rPr>
        <w:t xml:space="preserve">we evaluated whether </w:t>
      </w:r>
      <w:r w:rsidRPr="00FF72F0">
        <w:rPr>
          <w:rFonts w:ascii="Times New Roman" w:eastAsia="Cambria" w:hAnsi="Times New Roman" w:cs="Times New Roman"/>
          <w:sz w:val="24"/>
          <w:szCs w:val="24"/>
        </w:rPr>
        <w:t>grassland songbird abundance differ</w:t>
      </w:r>
      <w:r w:rsidR="004867C2">
        <w:rPr>
          <w:rFonts w:ascii="Times New Roman" w:eastAsia="Cambria" w:hAnsi="Times New Roman" w:cs="Times New Roman"/>
          <w:sz w:val="24"/>
          <w:szCs w:val="24"/>
        </w:rPr>
        <w:t>ed</w:t>
      </w:r>
      <w:r w:rsidRPr="00FF72F0">
        <w:rPr>
          <w:rFonts w:ascii="Times New Roman" w:eastAsia="Cambria" w:hAnsi="Times New Roman" w:cs="Times New Roman"/>
          <w:sz w:val="24"/>
          <w:szCs w:val="24"/>
        </w:rPr>
        <w:t xml:space="preserve"> at sites with oil infrastructure versus control sites</w:t>
      </w:r>
      <w:r w:rsidR="004867C2">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Second, </w:t>
      </w:r>
      <w:r w:rsidR="008465EC">
        <w:rPr>
          <w:rFonts w:ascii="Times New Roman" w:eastAsia="Cambria" w:hAnsi="Times New Roman" w:cs="Times New Roman"/>
          <w:sz w:val="24"/>
          <w:szCs w:val="24"/>
        </w:rPr>
        <w:t>we determined whether</w:t>
      </w:r>
      <w:r w:rsidR="008465EC"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different types of oil well pumps, or wells with different power sources</w:t>
      </w:r>
      <w:r w:rsidR="008465EC">
        <w:rPr>
          <w:rFonts w:ascii="Times New Roman" w:eastAsia="Cambria" w:hAnsi="Times New Roman" w:cs="Times New Roman"/>
          <w:sz w:val="24"/>
          <w:szCs w:val="24"/>
        </w:rPr>
        <w:t xml:space="preserve">, had </w:t>
      </w:r>
      <w:r w:rsidR="00951C52">
        <w:rPr>
          <w:rFonts w:ascii="Times New Roman" w:eastAsia="Cambria" w:hAnsi="Times New Roman" w:cs="Times New Roman"/>
          <w:sz w:val="24"/>
          <w:szCs w:val="24"/>
        </w:rPr>
        <w:t>varying effects on songbird abundance and distribution</w:t>
      </w:r>
      <w:r w:rsidR="008465EC">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This allowed us to identify </w:t>
      </w:r>
      <w:r w:rsidR="008465EC">
        <w:rPr>
          <w:rFonts w:ascii="Times New Roman" w:eastAsia="Cambria" w:hAnsi="Times New Roman" w:cs="Times New Roman"/>
          <w:sz w:val="24"/>
          <w:szCs w:val="24"/>
        </w:rPr>
        <w:t>whether some</w:t>
      </w:r>
      <w:r w:rsidR="008465EC"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oil extraction methods could minimize ecological effects of wells. </w:t>
      </w:r>
      <w:r w:rsidR="008465EC">
        <w:rPr>
          <w:rFonts w:ascii="Times New Roman" w:eastAsia="Cambria" w:hAnsi="Times New Roman" w:cs="Times New Roman"/>
          <w:sz w:val="24"/>
          <w:szCs w:val="24"/>
        </w:rPr>
        <w:t>Third</w:t>
      </w:r>
      <w:r w:rsidRPr="00FF72F0">
        <w:rPr>
          <w:rFonts w:ascii="Times New Roman" w:eastAsia="Cambria" w:hAnsi="Times New Roman" w:cs="Times New Roman"/>
          <w:sz w:val="24"/>
          <w:szCs w:val="24"/>
        </w:rPr>
        <w:t xml:space="preserve">, </w:t>
      </w:r>
      <w:r w:rsidR="008465EC">
        <w:rPr>
          <w:rFonts w:ascii="Times New Roman" w:eastAsia="Cambria" w:hAnsi="Times New Roman" w:cs="Times New Roman"/>
          <w:sz w:val="24"/>
          <w:szCs w:val="24"/>
        </w:rPr>
        <w:t>we addressed the reasons for effects of wells on birds by evaluating the roles of</w:t>
      </w:r>
      <w:r w:rsidRPr="00FF72F0">
        <w:rPr>
          <w:rFonts w:ascii="Times New Roman" w:eastAsia="Cambria" w:hAnsi="Times New Roman" w:cs="Times New Roman"/>
          <w:sz w:val="24"/>
          <w:szCs w:val="24"/>
        </w:rPr>
        <w:t xml:space="preserve"> perches</w:t>
      </w:r>
      <w:r w:rsidR="008465EC">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roads, exotic vegetation, noise, traffic, and human activity.</w:t>
      </w:r>
      <w:r w:rsidR="00037964">
        <w:rPr>
          <w:rFonts w:ascii="Times New Roman" w:eastAsia="Cambria" w:hAnsi="Times New Roman" w:cs="Times New Roman"/>
          <w:sz w:val="24"/>
          <w:szCs w:val="24"/>
        </w:rPr>
        <w:t xml:space="preserve"> We hypothesized that if effects of wells are caused by noise, we would observe greater effects of active infrastructure than inactive infrastructure, and greater effects of generator-powered than grid-powered wells</w:t>
      </w:r>
      <w:r w:rsidR="0095560F">
        <w:rPr>
          <w:rFonts w:ascii="Times New Roman" w:eastAsia="Cambria" w:hAnsi="Times New Roman" w:cs="Times New Roman"/>
          <w:sz w:val="24"/>
          <w:szCs w:val="24"/>
        </w:rPr>
        <w:t xml:space="preserve"> (</w:t>
      </w:r>
      <w:r w:rsidR="0095560F" w:rsidRPr="00960271">
        <w:rPr>
          <w:rFonts w:ascii="Times New Roman" w:eastAsia="Cambria" w:hAnsi="Times New Roman" w:cs="Times New Roman"/>
          <w:i/>
          <w:sz w:val="24"/>
          <w:szCs w:val="24"/>
        </w:rPr>
        <w:t>noise hypothesis</w:t>
      </w:r>
      <w:r w:rsidR="0095560F">
        <w:rPr>
          <w:rFonts w:ascii="Times New Roman" w:eastAsia="Cambria" w:hAnsi="Times New Roman" w:cs="Times New Roman"/>
          <w:sz w:val="24"/>
          <w:szCs w:val="24"/>
        </w:rPr>
        <w:t>)</w:t>
      </w:r>
      <w:r w:rsidR="00037964">
        <w:rPr>
          <w:rFonts w:ascii="Times New Roman" w:eastAsia="Cambria" w:hAnsi="Times New Roman" w:cs="Times New Roman"/>
          <w:sz w:val="24"/>
          <w:szCs w:val="24"/>
        </w:rPr>
        <w:t xml:space="preserve">. </w:t>
      </w:r>
      <w:r w:rsidR="0095560F">
        <w:rPr>
          <w:rFonts w:ascii="Times New Roman" w:eastAsia="Cambria" w:hAnsi="Times New Roman" w:cs="Times New Roman"/>
          <w:sz w:val="24"/>
          <w:szCs w:val="24"/>
        </w:rPr>
        <w:t>I</w:t>
      </w:r>
      <w:r w:rsidR="00037964">
        <w:rPr>
          <w:rFonts w:ascii="Times New Roman" w:eastAsia="Cambria" w:hAnsi="Times New Roman" w:cs="Times New Roman"/>
          <w:sz w:val="24"/>
          <w:szCs w:val="24"/>
        </w:rPr>
        <w:t>f effects of wells are caused by avoidance of tall structures, we would expect no difference in effects of act</w:t>
      </w:r>
      <w:r w:rsidR="007E03D9">
        <w:rPr>
          <w:rFonts w:ascii="Times New Roman" w:eastAsia="Cambria" w:hAnsi="Times New Roman" w:cs="Times New Roman"/>
          <w:sz w:val="24"/>
          <w:szCs w:val="24"/>
        </w:rPr>
        <w:t>ive and inactive infrastructure,</w:t>
      </w:r>
      <w:r w:rsidR="00037964">
        <w:rPr>
          <w:rFonts w:ascii="Times New Roman" w:eastAsia="Cambria" w:hAnsi="Times New Roman" w:cs="Times New Roman"/>
          <w:sz w:val="24"/>
          <w:szCs w:val="24"/>
        </w:rPr>
        <w:t xml:space="preserve"> </w:t>
      </w:r>
      <w:r w:rsidR="00D47D4C">
        <w:rPr>
          <w:rFonts w:ascii="Times New Roman" w:eastAsia="Cambria" w:hAnsi="Times New Roman" w:cs="Times New Roman"/>
          <w:sz w:val="24"/>
          <w:szCs w:val="24"/>
        </w:rPr>
        <w:t>and greater effects of pumpjacks than screw pumps</w:t>
      </w:r>
      <w:r w:rsidR="0095560F">
        <w:rPr>
          <w:rFonts w:ascii="Times New Roman" w:eastAsia="Cambria" w:hAnsi="Times New Roman" w:cs="Times New Roman"/>
          <w:sz w:val="24"/>
          <w:szCs w:val="24"/>
        </w:rPr>
        <w:t xml:space="preserve"> (</w:t>
      </w:r>
      <w:r w:rsidR="0095560F" w:rsidRPr="00960271">
        <w:rPr>
          <w:rFonts w:ascii="Times New Roman" w:eastAsia="Cambria" w:hAnsi="Times New Roman" w:cs="Times New Roman"/>
          <w:i/>
          <w:sz w:val="24"/>
          <w:szCs w:val="24"/>
        </w:rPr>
        <w:t>tall-structure hypothesis</w:t>
      </w:r>
      <w:r w:rsidR="0095560F">
        <w:rPr>
          <w:rFonts w:ascii="Times New Roman" w:eastAsia="Cambria" w:hAnsi="Times New Roman" w:cs="Times New Roman"/>
          <w:sz w:val="24"/>
          <w:szCs w:val="24"/>
        </w:rPr>
        <w:t>)</w:t>
      </w:r>
      <w:r w:rsidR="007E03D9">
        <w:rPr>
          <w:rFonts w:ascii="Times New Roman" w:eastAsia="Cambria" w:hAnsi="Times New Roman" w:cs="Times New Roman"/>
          <w:sz w:val="24"/>
          <w:szCs w:val="24"/>
        </w:rPr>
        <w:t>.</w:t>
      </w:r>
      <w:r w:rsidR="0095560F">
        <w:rPr>
          <w:rFonts w:ascii="Times New Roman" w:eastAsia="Cambria" w:hAnsi="Times New Roman" w:cs="Times New Roman"/>
          <w:sz w:val="24"/>
          <w:szCs w:val="24"/>
        </w:rPr>
        <w:t xml:space="preserve"> If effects of wells are caused by the presence of perch sites </w:t>
      </w:r>
      <w:r w:rsidR="00D47D4C">
        <w:rPr>
          <w:rFonts w:ascii="Times New Roman" w:eastAsia="Cambria" w:hAnsi="Times New Roman" w:cs="Times New Roman"/>
          <w:sz w:val="24"/>
          <w:szCs w:val="24"/>
        </w:rPr>
        <w:t xml:space="preserve">in this habitat usually devoid of such, we would expect no difference in effects of active and inactive infrastructure, greater effects of grid-powered than generator-powered wells, greater </w:t>
      </w:r>
      <w:r w:rsidR="007B4BD3">
        <w:rPr>
          <w:rFonts w:ascii="Times New Roman" w:eastAsia="Cambria" w:hAnsi="Times New Roman" w:cs="Times New Roman"/>
          <w:sz w:val="24"/>
          <w:szCs w:val="24"/>
        </w:rPr>
        <w:t xml:space="preserve">effects </w:t>
      </w:r>
      <w:r w:rsidR="00D47D4C">
        <w:rPr>
          <w:rFonts w:ascii="Times New Roman" w:eastAsia="Cambria" w:hAnsi="Times New Roman" w:cs="Times New Roman"/>
          <w:sz w:val="24"/>
          <w:szCs w:val="24"/>
        </w:rPr>
        <w:t>close to perches, and no difference between screw pumps and pumpjacks (</w:t>
      </w:r>
      <w:r w:rsidR="00D47D4C" w:rsidRPr="00960271">
        <w:rPr>
          <w:rFonts w:ascii="Times New Roman" w:eastAsia="Cambria" w:hAnsi="Times New Roman" w:cs="Times New Roman"/>
          <w:i/>
          <w:sz w:val="24"/>
          <w:szCs w:val="24"/>
        </w:rPr>
        <w:t>perch-site hypothesis</w:t>
      </w:r>
      <w:r w:rsidR="00D47D4C">
        <w:rPr>
          <w:rFonts w:ascii="Times New Roman" w:eastAsia="Cambria" w:hAnsi="Times New Roman" w:cs="Times New Roman"/>
          <w:sz w:val="24"/>
          <w:szCs w:val="24"/>
        </w:rPr>
        <w:t>).</w:t>
      </w:r>
    </w:p>
    <w:p w14:paraId="4192AE61" w14:textId="5EBBCDF1" w:rsidR="00FF72F0" w:rsidRPr="00FF72F0" w:rsidRDefault="006F6218" w:rsidP="00A24179">
      <w:pPr>
        <w:keepNext/>
        <w:keepLines/>
        <w:spacing w:before="200" w:after="0" w:line="240" w:lineRule="auto"/>
        <w:outlineLvl w:val="1"/>
        <w:rPr>
          <w:rFonts w:ascii="Times New Roman" w:eastAsia="MS Gothic" w:hAnsi="Times New Roman" w:cs="Times New Roman"/>
          <w:b/>
          <w:bCs/>
          <w:sz w:val="24"/>
          <w:szCs w:val="26"/>
        </w:rPr>
      </w:pPr>
      <w:bookmarkStart w:id="9" w:name="_Toc457468051"/>
      <w:r>
        <w:rPr>
          <w:rFonts w:ascii="Times New Roman" w:eastAsia="MS Gothic" w:hAnsi="Times New Roman" w:cs="Times New Roman"/>
          <w:b/>
          <w:bCs/>
          <w:sz w:val="24"/>
          <w:szCs w:val="26"/>
        </w:rPr>
        <w:t>2</w:t>
      </w:r>
      <w:r w:rsidR="009E3314">
        <w:rPr>
          <w:rFonts w:ascii="Times New Roman" w:eastAsia="MS Gothic" w:hAnsi="Times New Roman" w:cs="Times New Roman"/>
          <w:b/>
          <w:bCs/>
          <w:sz w:val="24"/>
          <w:szCs w:val="26"/>
        </w:rPr>
        <w:t>.</w:t>
      </w:r>
      <w:r>
        <w:rPr>
          <w:rFonts w:ascii="Times New Roman" w:eastAsia="MS Gothic" w:hAnsi="Times New Roman" w:cs="Times New Roman"/>
          <w:b/>
          <w:bCs/>
          <w:sz w:val="24"/>
          <w:szCs w:val="26"/>
        </w:rPr>
        <w:t xml:space="preserve"> </w:t>
      </w:r>
      <w:r w:rsidR="00FF72F0" w:rsidRPr="00FF72F0">
        <w:rPr>
          <w:rFonts w:ascii="Times New Roman" w:eastAsia="MS Gothic" w:hAnsi="Times New Roman" w:cs="Times New Roman"/>
          <w:b/>
          <w:bCs/>
          <w:sz w:val="24"/>
          <w:szCs w:val="26"/>
        </w:rPr>
        <w:t>Methods</w:t>
      </w:r>
      <w:bookmarkEnd w:id="9"/>
    </w:p>
    <w:p w14:paraId="333887D8" w14:textId="77777777" w:rsidR="00FF72F0" w:rsidRPr="00FF72F0" w:rsidRDefault="006F6218" w:rsidP="00A24179">
      <w:pPr>
        <w:keepNext/>
        <w:keepLines/>
        <w:spacing w:before="200" w:after="0" w:line="240" w:lineRule="auto"/>
        <w:outlineLvl w:val="2"/>
        <w:rPr>
          <w:rFonts w:ascii="Times New Roman" w:eastAsia="MS Gothic" w:hAnsi="Times New Roman" w:cs="Times New Roman"/>
          <w:b/>
          <w:bCs/>
          <w:sz w:val="24"/>
          <w:szCs w:val="24"/>
        </w:rPr>
      </w:pPr>
      <w:bookmarkStart w:id="10" w:name="_Toc457468052"/>
      <w:bookmarkEnd w:id="8"/>
      <w:r>
        <w:rPr>
          <w:rFonts w:ascii="Times New Roman" w:eastAsia="MS Gothic" w:hAnsi="Times New Roman" w:cs="Times New Roman"/>
          <w:b/>
          <w:bCs/>
          <w:sz w:val="24"/>
          <w:szCs w:val="24"/>
        </w:rPr>
        <w:t xml:space="preserve">2.1 </w:t>
      </w:r>
      <w:r w:rsidR="00FF72F0" w:rsidRPr="00FF72F0">
        <w:rPr>
          <w:rFonts w:ascii="Times New Roman" w:eastAsia="MS Gothic" w:hAnsi="Times New Roman" w:cs="Times New Roman"/>
          <w:b/>
          <w:bCs/>
          <w:sz w:val="24"/>
          <w:szCs w:val="24"/>
        </w:rPr>
        <w:t>Study area</w:t>
      </w:r>
      <w:bookmarkEnd w:id="10"/>
    </w:p>
    <w:p w14:paraId="1AC043AF" w14:textId="27D58881"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This study took place at 42, 800x800 m sites within 100 km of Brooks, Alberta (50°33’51” N 111°53’56” W). The area around Brooks is primarily comprised of native mixed-grass prairie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"URL" : "http://publications.gc.ca/collections/collection_2012/agr/A52-178-2012-%0D%09eng.pdf", "accessed" : { "date-parts" : [ [ "2014", "4", "10" ] ] }, "author" : [ { "dropping-particle" : "", "family" : "Bailey", "given" : "A. W.", "non-dropping-particle" : "", "parse-names" : false, "suffix" : "" }, { "dropping-particle" : "", "family" : "McCartney", "given" : "D.", "non-dropping-particle" : "", "parse-names" : false, "suffix" : "" }, { "dropping-particle" : "", "family" : "Schellenberg", "given" : "M. P.", "non-dropping-particle" : "", "parse-names" : false, "suffix" : "" } ], "id" : "ITEM-1", "issued" : { "date-parts" : [ [ "2010" ] ] }, "title" : "Management of Canadian prairie rangeland", "type" : "webpage" }, "uris" : [ "http://www.mendeley.com/documents/?uuid=1178099c-7920-49e6-a480-9a3e27e61694" ] } ], "mendeley" : { "formattedCitation" : "(Bailey et al., 2010)", "plainTextFormattedCitation" : "(Bailey et al., 2010)", "previouslyFormattedCitation" : "(Bailey et al., 2010)"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(Bailey et al., 2010)</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agriculture lands, and a 66</w:t>
      </w:r>
      <w:r w:rsidR="009E3314">
        <w:rPr>
          <w:rFonts w:ascii="Times New Roman" w:eastAsia="Cambria" w:hAnsi="Times New Roman" w:cs="Times New Roman"/>
          <w:sz w:val="24"/>
          <w:szCs w:val="24"/>
        </w:rPr>
        <w:t>-</w:t>
      </w:r>
      <w:r w:rsidRPr="00FF72F0">
        <w:rPr>
          <w:rFonts w:ascii="Times New Roman" w:eastAsia="Cambria" w:hAnsi="Times New Roman" w:cs="Times New Roman"/>
          <w:sz w:val="24"/>
          <w:szCs w:val="24"/>
        </w:rPr>
        <w:t>km</w:t>
      </w:r>
      <w:r w:rsidRPr="00FF72F0">
        <w:rPr>
          <w:rFonts w:ascii="Times New Roman" w:eastAsia="Cambria" w:hAnsi="Times New Roman" w:cs="Times New Roman"/>
          <w:sz w:val="24"/>
          <w:szCs w:val="24"/>
          <w:vertAlign w:val="superscript"/>
        </w:rPr>
        <w:t>2</w:t>
      </w:r>
      <w:r w:rsidRPr="00FF72F0">
        <w:rPr>
          <w:rFonts w:ascii="Times New Roman" w:eastAsia="Cambria" w:hAnsi="Times New Roman" w:cs="Times New Roman"/>
          <w:sz w:val="24"/>
          <w:szCs w:val="24"/>
        </w:rPr>
        <w:t xml:space="preserve"> </w:t>
      </w:r>
      <w:r w:rsidR="00776CD9">
        <w:rPr>
          <w:rFonts w:ascii="Times New Roman" w:eastAsia="Cambria" w:hAnsi="Times New Roman" w:cs="Times New Roman"/>
          <w:sz w:val="24"/>
          <w:szCs w:val="24"/>
        </w:rPr>
        <w:t>human-made</w:t>
      </w:r>
      <w:r w:rsidR="00776CD9"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lake. This area receives an average of 34.8 cm precipitation annually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"Environment Canada", "given" : "", "non-dropping-particle" : "", "parse-names" : false, "suffix" : "" } ], "container-title" : "Canadian Climate Normals 1981-2010 Station Data", "id" : "ITEM-1", "issued" : { "date-parts" : [ [ "2010" ] ] }, "title" : "Brooks North, Alberta", "type" : "webpage" }, "uris" : [ "http://www.mendeley.com/documents/?uuid=e58e2cb1-5a64-4988-921a-15eb8f472ab4" ] } ], "mendeley" : { "formattedCitation" : "(Environment Canada, 2010)", "plainTextFormattedCitation" : "(Environment Canada, 2010)", "previouslyFormattedCitation" : "(Environment Canada, 2010)"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(Environment Canada, 2010)</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t>
      </w:r>
      <w:r w:rsidR="00A37DE4">
        <w:rPr>
          <w:rFonts w:ascii="Times New Roman" w:eastAsia="Cambria" w:hAnsi="Times New Roman" w:cs="Times New Roman"/>
          <w:sz w:val="24"/>
          <w:szCs w:val="24"/>
        </w:rPr>
        <w:t>C</w:t>
      </w:r>
      <w:r w:rsidRPr="00FF72F0">
        <w:rPr>
          <w:rFonts w:ascii="Times New Roman" w:eastAsia="Cambria" w:hAnsi="Times New Roman" w:cs="Times New Roman"/>
          <w:sz w:val="24"/>
          <w:szCs w:val="24"/>
        </w:rPr>
        <w:t xml:space="preserve">ommon native grass species </w:t>
      </w:r>
      <w:r w:rsidR="00A37DE4">
        <w:rPr>
          <w:rFonts w:ascii="Times New Roman" w:eastAsia="Cambria" w:hAnsi="Times New Roman" w:cs="Times New Roman"/>
          <w:sz w:val="24"/>
          <w:szCs w:val="24"/>
        </w:rPr>
        <w:t>included</w:t>
      </w:r>
      <w:r w:rsidR="00A37DE4"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needle and thread (</w:t>
      </w:r>
      <w:r w:rsidRPr="00FF72F0">
        <w:rPr>
          <w:rFonts w:ascii="Times New Roman" w:eastAsia="Cambria" w:hAnsi="Times New Roman" w:cs="Times New Roman"/>
          <w:i/>
          <w:sz w:val="24"/>
          <w:szCs w:val="24"/>
        </w:rPr>
        <w:t>Hesperostipa comata</w:t>
      </w:r>
      <w:r w:rsidRPr="00FF72F0">
        <w:rPr>
          <w:rFonts w:ascii="Times New Roman" w:eastAsia="Cambria" w:hAnsi="Times New Roman" w:cs="Times New Roman"/>
          <w:sz w:val="24"/>
          <w:szCs w:val="24"/>
        </w:rPr>
        <w:t>),</w:t>
      </w:r>
      <w:r w:rsidRPr="00FF72F0">
        <w:rPr>
          <w:rFonts w:ascii="Times New Roman" w:eastAsia="Cambria" w:hAnsi="Times New Roman" w:cs="Times New Roman"/>
          <w:i/>
          <w:sz w:val="24"/>
          <w:szCs w:val="24"/>
        </w:rPr>
        <w:t xml:space="preserve"> </w:t>
      </w:r>
      <w:r w:rsidRPr="00FF72F0">
        <w:rPr>
          <w:rFonts w:ascii="Times New Roman" w:eastAsia="Cambria" w:hAnsi="Times New Roman" w:cs="Times New Roman"/>
          <w:sz w:val="24"/>
          <w:szCs w:val="24"/>
        </w:rPr>
        <w:t>western wheatgrass (</w:t>
      </w:r>
      <w:r w:rsidRPr="00FF72F0">
        <w:rPr>
          <w:rFonts w:ascii="Times New Roman" w:eastAsia="Cambria" w:hAnsi="Times New Roman" w:cs="Times New Roman"/>
          <w:i/>
          <w:sz w:val="24"/>
          <w:szCs w:val="24"/>
        </w:rPr>
        <w:t>Pascopyrum smithii</w:t>
      </w:r>
      <w:r w:rsidRPr="00FF72F0">
        <w:rPr>
          <w:rFonts w:ascii="Times New Roman" w:eastAsia="Cambria" w:hAnsi="Times New Roman" w:cs="Times New Roman"/>
          <w:sz w:val="24"/>
          <w:szCs w:val="24"/>
        </w:rPr>
        <w:t>), and Junegrass (</w:t>
      </w:r>
      <w:r w:rsidRPr="00FF72F0">
        <w:rPr>
          <w:rFonts w:ascii="Times New Roman" w:eastAsia="Cambria" w:hAnsi="Times New Roman" w:cs="Times New Roman"/>
          <w:i/>
          <w:sz w:val="24"/>
          <w:szCs w:val="24"/>
        </w:rPr>
        <w:t>Koeleria macrantha</w:t>
      </w:r>
      <w:r w:rsidRPr="00FF72F0">
        <w:rPr>
          <w:rFonts w:ascii="Times New Roman" w:eastAsia="Cambria" w:hAnsi="Times New Roman" w:cs="Times New Roman"/>
          <w:sz w:val="24"/>
          <w:szCs w:val="24"/>
        </w:rPr>
        <w:t>). Prairie silver sagebrush (</w:t>
      </w:r>
      <w:r w:rsidRPr="00FF72F0">
        <w:rPr>
          <w:rFonts w:ascii="Times New Roman" w:eastAsia="Cambria" w:hAnsi="Times New Roman" w:cs="Times New Roman"/>
          <w:i/>
          <w:sz w:val="24"/>
          <w:szCs w:val="24"/>
        </w:rPr>
        <w:t>Artemisia cana cana</w:t>
      </w:r>
      <w:r w:rsidRPr="00FF72F0">
        <w:rPr>
          <w:rFonts w:ascii="Times New Roman" w:eastAsia="Cambria" w:hAnsi="Times New Roman" w:cs="Times New Roman"/>
          <w:sz w:val="24"/>
          <w:szCs w:val="24"/>
        </w:rPr>
        <w:t>) and wild rose (</w:t>
      </w:r>
      <w:r w:rsidRPr="00FF72F0">
        <w:rPr>
          <w:rFonts w:ascii="Times New Roman" w:eastAsia="Cambria" w:hAnsi="Times New Roman" w:cs="Times New Roman"/>
          <w:i/>
          <w:sz w:val="24"/>
          <w:szCs w:val="24"/>
        </w:rPr>
        <w:t>Rosa acicularis</w:t>
      </w:r>
      <w:r w:rsidRPr="00FF72F0">
        <w:rPr>
          <w:rFonts w:ascii="Times New Roman" w:eastAsia="Cambria" w:hAnsi="Times New Roman" w:cs="Times New Roman"/>
          <w:sz w:val="24"/>
          <w:szCs w:val="24"/>
        </w:rPr>
        <w:t>) were the dominant shrub species in the area.</w:t>
      </w:r>
      <w:r w:rsidRPr="00FF72F0">
        <w:rPr>
          <w:rFonts w:ascii="Times New Roman" w:eastAsia="Cambria" w:hAnsi="Times New Roman" w:cs="Times New Roman"/>
          <w:i/>
          <w:sz w:val="24"/>
          <w:szCs w:val="24"/>
        </w:rPr>
        <w:t xml:space="preserve"> </w:t>
      </w:r>
      <w:r w:rsidRPr="00FF72F0">
        <w:rPr>
          <w:rFonts w:ascii="Times New Roman" w:eastAsia="Cambria" w:hAnsi="Times New Roman" w:cs="Times New Roman"/>
          <w:sz w:val="24"/>
          <w:szCs w:val="24"/>
        </w:rPr>
        <w:t>To minimize confounding variables</w:t>
      </w:r>
      <w:r w:rsidR="009E3314">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we chose sites without paved roads, wetlands, trees, or steep topography. Sites were located on private lands that were predominately native mixed-grass prairie, although exotic vegetation, such as goatsbeard (</w:t>
      </w:r>
      <w:r w:rsidRPr="00FF72F0">
        <w:rPr>
          <w:rFonts w:ascii="Times New Roman" w:eastAsia="Cambria" w:hAnsi="Times New Roman" w:cs="Times New Roman"/>
          <w:i/>
          <w:sz w:val="24"/>
          <w:szCs w:val="24"/>
        </w:rPr>
        <w:t>Tragopogon dubius</w:t>
      </w:r>
      <w:r w:rsidRPr="00FF72F0">
        <w:rPr>
          <w:rFonts w:ascii="Times New Roman" w:eastAsia="Cambria" w:hAnsi="Times New Roman" w:cs="Times New Roman"/>
          <w:sz w:val="24"/>
          <w:szCs w:val="24"/>
        </w:rPr>
        <w:t>) and crested wheatgrass (</w:t>
      </w:r>
      <w:r w:rsidRPr="00FF72F0">
        <w:rPr>
          <w:rFonts w:ascii="Times New Roman" w:eastAsia="Cambria" w:hAnsi="Times New Roman" w:cs="Times New Roman"/>
          <w:i/>
          <w:sz w:val="24"/>
          <w:szCs w:val="24"/>
        </w:rPr>
        <w:t>Agropyron cristatum</w:t>
      </w:r>
      <w:r w:rsidRPr="00FF72F0">
        <w:rPr>
          <w:rFonts w:ascii="Times New Roman" w:eastAsia="Cambria" w:hAnsi="Times New Roman" w:cs="Times New Roman"/>
          <w:sz w:val="24"/>
          <w:szCs w:val="24"/>
        </w:rPr>
        <w:t xml:space="preserve">), were present </w:t>
      </w:r>
      <w:r w:rsidR="00A37DE4">
        <w:rPr>
          <w:rFonts w:ascii="Times New Roman" w:eastAsia="Cambria" w:hAnsi="Times New Roman" w:cs="Times New Roman"/>
          <w:sz w:val="24"/>
          <w:szCs w:val="24"/>
        </w:rPr>
        <w:t>within</w:t>
      </w:r>
      <w:r w:rsidR="00A37DE4"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sites at low abundances</w:t>
      </w:r>
      <w:r w:rsidR="00420F1A">
        <w:rPr>
          <w:rFonts w:ascii="Times New Roman" w:eastAsia="Cambria" w:hAnsi="Times New Roman" w:cs="Times New Roman"/>
          <w:sz w:val="24"/>
          <w:szCs w:val="24"/>
        </w:rPr>
        <w:t xml:space="preserve"> (cover of exotic vegetation averaged 7% within plots; remaining vegetation was native)</w:t>
      </w:r>
      <w:r w:rsidRPr="00FF72F0">
        <w:rPr>
          <w:rFonts w:ascii="Times New Roman" w:eastAsia="Cambria" w:hAnsi="Times New Roman" w:cs="Times New Roman"/>
          <w:sz w:val="24"/>
          <w:szCs w:val="24"/>
        </w:rPr>
        <w:t xml:space="preserve">. </w:t>
      </w:r>
    </w:p>
    <w:p w14:paraId="5CF15EB9" w14:textId="77777777" w:rsidR="00FF72F0" w:rsidRPr="006F6218" w:rsidRDefault="006F6218" w:rsidP="00A24179">
      <w:pPr>
        <w:keepNext/>
        <w:keepLines/>
        <w:spacing w:before="200" w:after="0" w:line="240" w:lineRule="auto"/>
        <w:outlineLvl w:val="3"/>
        <w:rPr>
          <w:rFonts w:ascii="Times New Roman" w:eastAsia="MS Gothic" w:hAnsi="Times New Roman" w:cs="Times New Roman"/>
          <w:b/>
          <w:bCs/>
          <w:iCs/>
          <w:sz w:val="24"/>
          <w:szCs w:val="24"/>
        </w:rPr>
      </w:pPr>
      <w:bookmarkStart w:id="11" w:name="_Toc256265468"/>
      <w:bookmarkStart w:id="12" w:name="_Toc297107692"/>
      <w:r>
        <w:rPr>
          <w:rFonts w:ascii="Times New Roman" w:eastAsia="MS Gothic" w:hAnsi="Times New Roman" w:cs="Times New Roman"/>
          <w:b/>
          <w:bCs/>
          <w:iCs/>
          <w:sz w:val="24"/>
          <w:szCs w:val="24"/>
        </w:rPr>
        <w:t xml:space="preserve">2.1.1 </w:t>
      </w:r>
      <w:r w:rsidR="00FF72F0" w:rsidRPr="006F6218">
        <w:rPr>
          <w:rFonts w:ascii="Times New Roman" w:eastAsia="MS Gothic" w:hAnsi="Times New Roman" w:cs="Times New Roman"/>
          <w:b/>
          <w:bCs/>
          <w:iCs/>
          <w:sz w:val="24"/>
          <w:szCs w:val="24"/>
        </w:rPr>
        <w:t>Sites</w:t>
      </w:r>
      <w:bookmarkEnd w:id="11"/>
      <w:bookmarkEnd w:id="12"/>
    </w:p>
    <w:p w14:paraId="32CBCA5B" w14:textId="457B8428"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Each site consisted of a quarter section in the center of which we established a 100</w:t>
      </w:r>
      <w:r w:rsidR="009E3314">
        <w:rPr>
          <w:rFonts w:ascii="Times New Roman" w:eastAsia="Cambria" w:hAnsi="Times New Roman" w:cs="Times New Roman"/>
          <w:sz w:val="24"/>
          <w:szCs w:val="24"/>
        </w:rPr>
        <w:t>x</w:t>
      </w:r>
      <w:r w:rsidRPr="00FF72F0">
        <w:rPr>
          <w:rFonts w:ascii="Times New Roman" w:eastAsia="Cambria" w:hAnsi="Times New Roman" w:cs="Times New Roman"/>
          <w:sz w:val="24"/>
          <w:szCs w:val="24"/>
        </w:rPr>
        <w:t xml:space="preserve">800-m </w:t>
      </w:r>
      <w:r w:rsidR="00E0785E">
        <w:rPr>
          <w:rFonts w:ascii="Times New Roman" w:eastAsia="Cambria" w:hAnsi="Times New Roman" w:cs="Times New Roman"/>
          <w:sz w:val="24"/>
          <w:szCs w:val="24"/>
        </w:rPr>
        <w:t>plot</w:t>
      </w:r>
      <w:r w:rsidR="00E0785E"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(transect) oriented North-South or East-West, with an oil structure or control point in the center of </w:t>
      </w:r>
      <w:r w:rsidR="00E0785E">
        <w:rPr>
          <w:rFonts w:ascii="Times New Roman" w:eastAsia="Cambria" w:hAnsi="Times New Roman" w:cs="Times New Roman"/>
          <w:sz w:val="24"/>
          <w:szCs w:val="24"/>
        </w:rPr>
        <w:t>each</w:t>
      </w:r>
      <w:r w:rsidR="00E0785E"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transect. We further divided each transect into</w:t>
      </w:r>
      <w:r w:rsidR="00E0785E">
        <w:rPr>
          <w:rFonts w:ascii="Times New Roman" w:eastAsia="Cambria" w:hAnsi="Times New Roman" w:cs="Times New Roman"/>
          <w:sz w:val="24"/>
          <w:szCs w:val="24"/>
        </w:rPr>
        <w:t xml:space="preserve"> </w:t>
      </w:r>
      <w:r w:rsidR="004339DD">
        <w:rPr>
          <w:rFonts w:ascii="Times New Roman" w:eastAsia="Cambria" w:hAnsi="Times New Roman" w:cs="Times New Roman"/>
          <w:sz w:val="24"/>
          <w:szCs w:val="24"/>
        </w:rPr>
        <w:t>8</w:t>
      </w:r>
      <w:r w:rsidR="004339DD"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1-ha blocks. All control sites were at least 800 m away from any oil structures, and the perimeter of sites, whether oil or control, were at least 300</w:t>
      </w:r>
      <w:r w:rsidR="009E3314">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m from other site perimeters. </w:t>
      </w:r>
    </w:p>
    <w:p w14:paraId="4F1ED528" w14:textId="4834C43C"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Fourteen sites were controls and 28 sites contained an oil structure.</w:t>
      </w:r>
      <w:r w:rsidR="00951C52" w:rsidRPr="00951C52">
        <w:rPr>
          <w:rFonts w:ascii="Times New Roman" w:eastAsia="Cambria" w:hAnsi="Times New Roman" w:cs="Times New Roman"/>
          <w:sz w:val="24"/>
          <w:szCs w:val="24"/>
        </w:rPr>
        <w:t xml:space="preserve"> </w:t>
      </w:r>
      <w:r w:rsidR="00951C52" w:rsidRPr="00FF72F0">
        <w:rPr>
          <w:rFonts w:ascii="Times New Roman" w:eastAsia="Cambria" w:hAnsi="Times New Roman" w:cs="Times New Roman"/>
          <w:sz w:val="24"/>
          <w:szCs w:val="24"/>
        </w:rPr>
        <w:t xml:space="preserve">All of the oil wells that we used were conventional wells owned and operated by Cenovus Energy Incorporated, and </w:t>
      </w:r>
      <w:r w:rsidR="00951C52" w:rsidRPr="00FF72F0">
        <w:rPr>
          <w:rFonts w:ascii="Times New Roman" w:eastAsia="Cambria" w:hAnsi="Times New Roman" w:cs="Times New Roman"/>
          <w:sz w:val="24"/>
          <w:szCs w:val="24"/>
        </w:rPr>
        <w:lastRenderedPageBreak/>
        <w:t>were typical of oil infrastructure in the region</w:t>
      </w:r>
      <w:r w:rsidR="00951C52">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Sites were classed according to activity (active/inactive), well type (pumpjack/screw</w:t>
      </w:r>
      <w:r w:rsidR="00E0785E">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pump) and power source (grid- or generator-powered).</w:t>
      </w:r>
      <w:r w:rsidR="00951C52">
        <w:rPr>
          <w:rFonts w:ascii="Times New Roman" w:eastAsia="Cambria" w:hAnsi="Times New Roman" w:cs="Times New Roman"/>
          <w:sz w:val="24"/>
          <w:szCs w:val="24"/>
        </w:rPr>
        <w:t xml:space="preserve"> </w:t>
      </w:r>
      <w:r w:rsidR="00951C52" w:rsidRPr="00FF72F0">
        <w:rPr>
          <w:rFonts w:ascii="Times New Roman" w:eastAsia="Cambria" w:hAnsi="Times New Roman" w:cs="Times New Roman"/>
          <w:sz w:val="24"/>
          <w:szCs w:val="24"/>
        </w:rPr>
        <w:t xml:space="preserve">Active wells produced noise and were visited at least once a day, sometimes more (S. Patey LeDrew, Cenovus, personal communication); in contrast, inactive wells were silent, still, produced no emissions, and were rarely visited by vehicles </w:t>
      </w:r>
      <w:r w:rsidR="00951C52">
        <w:rPr>
          <w:rFonts w:ascii="Times New Roman" w:eastAsia="Cambria" w:hAnsi="Times New Roman" w:cs="Times New Roman"/>
          <w:sz w:val="24"/>
          <w:szCs w:val="24"/>
        </w:rPr>
        <w:t>or</w:t>
      </w:r>
      <w:r w:rsidR="00951C52" w:rsidRPr="00FF72F0">
        <w:rPr>
          <w:rFonts w:ascii="Times New Roman" w:eastAsia="Cambria" w:hAnsi="Times New Roman" w:cs="Times New Roman"/>
          <w:sz w:val="24"/>
          <w:szCs w:val="24"/>
        </w:rPr>
        <w:t xml:space="preserve"> personnel.</w:t>
      </w:r>
      <w:r w:rsidRPr="00FF72F0">
        <w:rPr>
          <w:rFonts w:ascii="Times New Roman" w:eastAsia="Cambria" w:hAnsi="Times New Roman" w:cs="Times New Roman"/>
          <w:sz w:val="24"/>
          <w:szCs w:val="24"/>
        </w:rPr>
        <w:t xml:space="preserve"> </w:t>
      </w:r>
      <w:r w:rsidR="00E0785E">
        <w:rPr>
          <w:rFonts w:ascii="Times New Roman" w:eastAsia="Cambria" w:hAnsi="Times New Roman" w:cs="Times New Roman"/>
          <w:sz w:val="24"/>
          <w:szCs w:val="24"/>
        </w:rPr>
        <w:t>P</w:t>
      </w:r>
      <w:r w:rsidRPr="00FF72F0">
        <w:rPr>
          <w:rFonts w:ascii="Times New Roman" w:eastAsia="Cambria" w:hAnsi="Times New Roman" w:cs="Times New Roman"/>
          <w:sz w:val="24"/>
          <w:szCs w:val="24"/>
        </w:rPr>
        <w:t>umpjacks</w:t>
      </w:r>
      <w:r w:rsidR="00E0785E">
        <w:rPr>
          <w:rFonts w:ascii="Times New Roman" w:eastAsia="Cambria" w:hAnsi="Times New Roman" w:cs="Times New Roman"/>
          <w:sz w:val="24"/>
          <w:szCs w:val="24"/>
        </w:rPr>
        <w:t xml:space="preserve"> (sucker rod pumps)</w:t>
      </w:r>
      <w:r w:rsidRPr="00FF72F0">
        <w:rPr>
          <w:rFonts w:ascii="Times New Roman" w:eastAsia="Cambria" w:hAnsi="Times New Roman" w:cs="Times New Roman"/>
          <w:sz w:val="24"/>
          <w:szCs w:val="24"/>
        </w:rPr>
        <w:t xml:space="preserve"> and screw</w:t>
      </w:r>
      <w:r w:rsidR="00E0785E">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pumps </w:t>
      </w:r>
      <w:r w:rsidR="00E0785E">
        <w:rPr>
          <w:rFonts w:ascii="Times New Roman" w:eastAsia="Cambria" w:hAnsi="Times New Roman" w:cs="Times New Roman"/>
          <w:sz w:val="24"/>
          <w:szCs w:val="24"/>
        </w:rPr>
        <w:t xml:space="preserve">(progressive cavity pumps) </w:t>
      </w:r>
      <w:r w:rsidRPr="00FF72F0">
        <w:rPr>
          <w:rFonts w:ascii="Times New Roman" w:eastAsia="Cambria" w:hAnsi="Times New Roman" w:cs="Times New Roman"/>
          <w:sz w:val="24"/>
          <w:szCs w:val="24"/>
        </w:rPr>
        <w:t xml:space="preserve">produced noise at similar decibels (averaged 68-69 dB(C);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"Koper", "given" : "Nicola", "non-dropping-particle" : "", "parse-names" : false, "suffix" : "" }, { "dropping-particle" : "", "family" : "Leston", "given" : "Lionel", "non-dropping-particle" : "", "parse-names" : false, "suffix" : "" }, { "dropping-particle" : "", "family" : "Baker", "given" : "Tyne", "non-dropping-particle" : "", "parse-names" : false, "suffix" : "" }, { "dropping-particle" : "", "family" : "Curry", "given" : "Claire", "non-dropping-particle" : "", "parse-names" : false, "suffix" : "" } ], "container-title" : "Ecology and Evolution", "id" : "ITEM-1", "issue" : "1", "issued" : { "date-parts" : [ [ "2016" ] ] }, "page" : "245-255", "title" : "Effects of ambient noise on detectability and localization of avian songs and tones by observers in grasslands", "type" : "article-journal", "volume" : "6" }, "uris" : [ "http://www.mendeley.com/documents/?uuid=9d12f6b0-3498-44f8-b1a7-397671027645" ] } ], "mendeley" : { "formattedCitation" : "(Koper et al., 2016)", "plainTextFormattedCitation" : "(Koper et al., 2016)", "previouslyFormattedCitation" : "(Koper et al., 2016)"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Koper et al., 2016)</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t>
      </w:r>
      <w:r w:rsidR="00E0785E">
        <w:rPr>
          <w:rFonts w:ascii="Times New Roman" w:eastAsia="Cambria" w:hAnsi="Times New Roman" w:cs="Times New Roman"/>
          <w:sz w:val="24"/>
          <w:szCs w:val="24"/>
        </w:rPr>
        <w:t xml:space="preserve">but </w:t>
      </w:r>
      <w:r w:rsidRPr="00FF72F0">
        <w:rPr>
          <w:rFonts w:ascii="Times New Roman" w:eastAsia="Cambria" w:hAnsi="Times New Roman" w:cs="Times New Roman"/>
          <w:sz w:val="24"/>
          <w:szCs w:val="24"/>
        </w:rPr>
        <w:t>pumpjacks were taller than screw</w:t>
      </w:r>
      <w:r w:rsidR="00E0785E">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pumps (7 m in </w:t>
      </w:r>
      <w:r w:rsidR="005D7D2E">
        <w:rPr>
          <w:rFonts w:ascii="Times New Roman" w:eastAsia="Cambria" w:hAnsi="Times New Roman" w:cs="Times New Roman"/>
          <w:sz w:val="24"/>
          <w:szCs w:val="24"/>
        </w:rPr>
        <w:t>height versus 2-3 m in height)</w:t>
      </w:r>
      <w:r w:rsidRPr="00FF72F0">
        <w:rPr>
          <w:rFonts w:ascii="Times New Roman" w:eastAsia="Cambria" w:hAnsi="Times New Roman" w:cs="Times New Roman"/>
          <w:sz w:val="24"/>
          <w:szCs w:val="24"/>
        </w:rPr>
        <w:t>; pumpjacks also moved vertically, with their pump mechanism swinging 2-3 m, while screw</w:t>
      </w:r>
      <w:r w:rsidR="00E0785E">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pumps have a much smaller mechanism that spins quickly and horizontally. Thus, visual stimuli differed between well types. </w:t>
      </w:r>
      <w:r w:rsidR="00E0785E">
        <w:rPr>
          <w:rFonts w:ascii="Times New Roman" w:eastAsia="Cambria" w:hAnsi="Times New Roman" w:cs="Times New Roman"/>
          <w:sz w:val="24"/>
          <w:szCs w:val="24"/>
        </w:rPr>
        <w:t>P</w:t>
      </w:r>
      <w:r w:rsidRPr="00FF72F0">
        <w:rPr>
          <w:rFonts w:ascii="Times New Roman" w:eastAsia="Cambria" w:hAnsi="Times New Roman" w:cs="Times New Roman"/>
          <w:sz w:val="24"/>
          <w:szCs w:val="24"/>
        </w:rPr>
        <w:t xml:space="preserve">ower distribution lines linked grid-powered wells to the provincial power grid; in contrast, distribution lines were absent at generator-powered wells. </w:t>
      </w:r>
      <w:r w:rsidR="00E0785E">
        <w:rPr>
          <w:rFonts w:ascii="Times New Roman" w:eastAsia="Cambria" w:hAnsi="Times New Roman" w:cs="Times New Roman"/>
          <w:sz w:val="24"/>
          <w:szCs w:val="24"/>
        </w:rPr>
        <w:t>W</w:t>
      </w:r>
      <w:r w:rsidRPr="00FF72F0">
        <w:rPr>
          <w:rFonts w:ascii="Times New Roman" w:eastAsia="Cambria" w:hAnsi="Times New Roman" w:cs="Times New Roman"/>
          <w:sz w:val="24"/>
          <w:szCs w:val="24"/>
        </w:rPr>
        <w:t xml:space="preserve">ells with generators were noisier than grid-powered wells (73 dB(C) versus 62 dB(C) </w:t>
      </w:r>
      <w:r w:rsidR="00E0785E">
        <w:rPr>
          <w:rFonts w:ascii="Times New Roman" w:eastAsia="Cambria" w:hAnsi="Times New Roman" w:cs="Times New Roman"/>
          <w:sz w:val="24"/>
          <w:szCs w:val="24"/>
        </w:rPr>
        <w:t>10 m from</w:t>
      </w:r>
      <w:r w:rsidRPr="00FF72F0">
        <w:rPr>
          <w:rFonts w:ascii="Times New Roman" w:eastAsia="Cambria" w:hAnsi="Times New Roman" w:cs="Times New Roman"/>
          <w:sz w:val="24"/>
          <w:szCs w:val="24"/>
        </w:rPr>
        <w:t xml:space="preserve"> pumpjack</w:t>
      </w:r>
      <w:r w:rsidR="00E0785E">
        <w:rPr>
          <w:rFonts w:ascii="Times New Roman" w:eastAsia="Cambria" w:hAnsi="Times New Roman" w:cs="Times New Roman"/>
          <w:sz w:val="24"/>
          <w:szCs w:val="24"/>
        </w:rPr>
        <w:t xml:space="preserve"> wells</w:t>
      </w:r>
      <w:r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"Rosa", "given" : "Patricia", "non-dropping-particle" : "", "parse-names" : false, "suffix" : "" }, { "dropping-particle" : "", "family" : "Swider", "given" : "Colin R.", "non-dropping-particle" : "", "parse-names" : false, "suffix" : "" }, { "dropping-particle" : "", "family" : "Leston", "given" : "Lionel L.", "non-dropping-particle" : "", "parse-names" : false, "suffix" : "" }, { "dropping-particle" : "", "family" : "Koper", "given" : "Nicola", "non-dropping-particle" : "", "parse-names" : false, "suffix" : "" } ], "id" : "ITEM-1", "issued" : { "date-parts" : [ [ "2015" ] ] }, "title" : "Disentangling effects of noise from presence of anthropogenic infrastructure: design and testing of system for large-scale playback experiments", "type" : "report" }, "uris" : [ "http://www.mendeley.com/documents/?uuid=837bda32-53f8-4955-af09-ae228ea78e03" ] } ], "mendeley" : { "formattedCitation" : "(Rosa et al., 2015)", "manualFormatting" : "Rosa et al. 2015)", "plainTextFormattedCitation" : "(Rosa et al., 2015)", "previouslyFormattedCitation" : "(Rosa et al., 2015)"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Pr="00FF72F0">
        <w:rPr>
          <w:rFonts w:ascii="Times New Roman" w:eastAsia="Cambria" w:hAnsi="Times New Roman" w:cs="Times New Roman"/>
          <w:noProof/>
          <w:sz w:val="24"/>
          <w:szCs w:val="24"/>
        </w:rPr>
        <w:t>Rosa et al.</w:t>
      </w:r>
      <w:r w:rsidR="009B0D0D">
        <w:rPr>
          <w:rFonts w:ascii="Times New Roman" w:eastAsia="Cambria" w:hAnsi="Times New Roman" w:cs="Times New Roman"/>
          <w:noProof/>
          <w:sz w:val="24"/>
          <w:szCs w:val="24"/>
        </w:rPr>
        <w:t>,</w:t>
      </w:r>
      <w:r w:rsidRPr="00FF72F0">
        <w:rPr>
          <w:rFonts w:ascii="Times New Roman" w:eastAsia="Cambria" w:hAnsi="Times New Roman" w:cs="Times New Roman"/>
          <w:noProof/>
          <w:sz w:val="24"/>
          <w:szCs w:val="24"/>
        </w:rPr>
        <w:t xml:space="preserve"> 2015)</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t>
      </w:r>
    </w:p>
    <w:p w14:paraId="6CE44009" w14:textId="77777777" w:rsidR="00FF72F0" w:rsidRPr="00FF72F0" w:rsidRDefault="006F6218" w:rsidP="00A24179">
      <w:pPr>
        <w:keepNext/>
        <w:keepLines/>
        <w:spacing w:before="200" w:after="0" w:line="240" w:lineRule="auto"/>
        <w:outlineLvl w:val="2"/>
        <w:rPr>
          <w:rFonts w:ascii="Times New Roman" w:eastAsia="MS Gothic" w:hAnsi="Times New Roman" w:cs="Times New Roman"/>
          <w:b/>
          <w:bCs/>
          <w:sz w:val="24"/>
          <w:szCs w:val="24"/>
        </w:rPr>
      </w:pPr>
      <w:bookmarkStart w:id="13" w:name="_Toc297107693"/>
      <w:bookmarkStart w:id="14" w:name="_Toc297233594"/>
      <w:bookmarkStart w:id="15" w:name="_Toc457468053"/>
      <w:r>
        <w:rPr>
          <w:rFonts w:ascii="Times New Roman" w:eastAsia="MS Gothic" w:hAnsi="Times New Roman" w:cs="Times New Roman"/>
          <w:b/>
          <w:bCs/>
          <w:sz w:val="24"/>
          <w:szCs w:val="24"/>
        </w:rPr>
        <w:t xml:space="preserve">2.2 </w:t>
      </w:r>
      <w:r w:rsidR="00FF72F0" w:rsidRPr="00FF72F0">
        <w:rPr>
          <w:rFonts w:ascii="Times New Roman" w:eastAsia="MS Gothic" w:hAnsi="Times New Roman" w:cs="Times New Roman"/>
          <w:b/>
          <w:bCs/>
          <w:sz w:val="24"/>
          <w:szCs w:val="24"/>
        </w:rPr>
        <w:t>Field Methods</w:t>
      </w:r>
      <w:bookmarkEnd w:id="13"/>
      <w:bookmarkEnd w:id="14"/>
      <w:bookmarkEnd w:id="15"/>
    </w:p>
    <w:p w14:paraId="0B7997AD" w14:textId="6B99F422"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We gathered bird abundance data by conducting </w:t>
      </w:r>
      <w:r w:rsidR="000C3DE1">
        <w:rPr>
          <w:rFonts w:ascii="Times New Roman" w:eastAsia="Cambria" w:hAnsi="Times New Roman" w:cs="Times New Roman"/>
          <w:sz w:val="24"/>
          <w:szCs w:val="24"/>
        </w:rPr>
        <w:t>two</w:t>
      </w:r>
      <w:r w:rsidRPr="00FF72F0">
        <w:rPr>
          <w:rFonts w:ascii="Times New Roman" w:eastAsia="Cambria" w:hAnsi="Times New Roman" w:cs="Times New Roman"/>
          <w:sz w:val="24"/>
          <w:szCs w:val="24"/>
        </w:rPr>
        <w:t xml:space="preserve"> transect abundance surveys</w:t>
      </w:r>
      <w:r w:rsidR="009E6A7D">
        <w:rPr>
          <w:rFonts w:ascii="Times New Roman" w:eastAsia="Cambria" w:hAnsi="Times New Roman" w:cs="Times New Roman"/>
          <w:sz w:val="24"/>
          <w:szCs w:val="24"/>
        </w:rPr>
        <w:t>, separated by at least 10 days,</w:t>
      </w:r>
      <w:r w:rsidRPr="00FF72F0">
        <w:rPr>
          <w:rFonts w:ascii="Times New Roman" w:eastAsia="Cambria" w:hAnsi="Times New Roman" w:cs="Times New Roman"/>
          <w:sz w:val="24"/>
          <w:szCs w:val="24"/>
        </w:rPr>
        <w:t xml:space="preserve"> at each site </w:t>
      </w:r>
      <w:r w:rsidR="000C3DE1">
        <w:rPr>
          <w:rFonts w:ascii="Times New Roman" w:eastAsia="Cambria" w:hAnsi="Times New Roman" w:cs="Times New Roman"/>
          <w:sz w:val="24"/>
          <w:szCs w:val="24"/>
        </w:rPr>
        <w:t>in</w:t>
      </w:r>
      <w:r w:rsidR="000C3DE1"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both 2013 and 2014. We conducted surveys from May 26 until July 1</w:t>
      </w:r>
      <w:r w:rsidRPr="00FF72F0">
        <w:rPr>
          <w:rFonts w:ascii="Times New Roman" w:eastAsia="Cambria" w:hAnsi="Times New Roman" w:cs="Times New Roman"/>
          <w:sz w:val="24"/>
          <w:szCs w:val="24"/>
          <w:vertAlign w:val="superscript"/>
        </w:rPr>
        <w:t xml:space="preserve"> </w:t>
      </w:r>
      <w:r w:rsidRPr="00FF72F0">
        <w:rPr>
          <w:rFonts w:ascii="Times New Roman" w:eastAsia="Cambria" w:hAnsi="Times New Roman" w:cs="Times New Roman"/>
          <w:sz w:val="24"/>
          <w:szCs w:val="24"/>
        </w:rPr>
        <w:t>and in conditions with no sustained winds more than 20 km/h, no precipitation, and little to no fog. We surveyed transects between dawn and 1000 hours. To follow provincial safety regulations and maintain the required minimum distance from infrastructure, observers had to stop an average of 23 m away from the center point of each transect. Two observers sampled each transect per round, one-half of the transect each, over 40 minutes; surveys were started either at the center or perimeter</w:t>
      </w:r>
      <w:r w:rsidR="009E6A7D">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of the site</w:t>
      </w:r>
      <w:r w:rsidR="00B05C37">
        <w:rPr>
          <w:rFonts w:ascii="Times New Roman" w:eastAsia="Cambria" w:hAnsi="Times New Roman" w:cs="Times New Roman"/>
          <w:sz w:val="24"/>
          <w:szCs w:val="24"/>
        </w:rPr>
        <w:t>, to ensure that start location did not drive observed patters</w:t>
      </w:r>
      <w:r w:rsidRPr="00FF72F0">
        <w:rPr>
          <w:rFonts w:ascii="Times New Roman" w:eastAsia="Cambria" w:hAnsi="Times New Roman" w:cs="Times New Roman"/>
          <w:sz w:val="24"/>
          <w:szCs w:val="24"/>
        </w:rPr>
        <w:t>.</w:t>
      </w:r>
      <w:r w:rsidR="009E6A7D">
        <w:rPr>
          <w:rFonts w:ascii="Times New Roman" w:eastAsia="Cambria" w:hAnsi="Times New Roman" w:cs="Times New Roman"/>
          <w:sz w:val="24"/>
          <w:szCs w:val="24"/>
        </w:rPr>
        <w:t xml:space="preserve"> No observers sampled the same transect twice in a year.</w:t>
      </w:r>
      <w:r w:rsidRPr="00FF72F0">
        <w:rPr>
          <w:rFonts w:ascii="Times New Roman" w:eastAsia="Cambria" w:hAnsi="Times New Roman" w:cs="Times New Roman"/>
          <w:sz w:val="24"/>
          <w:szCs w:val="24"/>
        </w:rPr>
        <w:t xml:space="preserve"> During transects, we recorded all birds heard or seen within 50 m of the center line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"Pacifici", "given" : "K.", "non-dropping-particle" : "", "parse-names" : false, "suffix" : "" }, { "dropping-particle" : "", "family" : "Simmons", "given" : "T. R.", "non-dropping-particle" : "", "parse-names" : false, "suffix" : "" }, { "dropping-particle" : "", "family" : "Pollock", "given" : "K. H.", "non-dropping-particle" : "", "parse-names" : false, "suffix" : "" } ], "container-title" : "The Auk", "id" : "ITEM-1", "issued" : { "date-parts" : [ [ "2008" ] ] }, "page" : "600-607", "title" : "Effects of vegetation and background noise on the detection process in auditory avian point-count surveys", "type" : "article-journal", "volume" : "125" }, "uris" : [ "http://www.mendeley.com/documents/?uuid=69690937-b7ca-4212-9008-94eeedb23553" ] }, { "id" : "ITEM-2", "itemData" : { "DOI" : "10.1353/gpr.2015.0021", "ISSN" : "2334-2463", "author" : [ { "dropping-particle" : "", "family" : "Leston", "given" : "Lionel", "non-dropping-particle" : "", "parse-names" : false, "suffix" : "" }, { "dropping-particle" : "", "family" : "Koper", "given" : "Nicola", "non-dropping-particle" : "", "parse-names" : false, "suffix" : "" }, { "dropping-particle" : "", "family" : "Rosa", "given" : "Patricia", "non-dropping-particle" : "", "parse-names" : false, "suffix" : "" } ], "container-title" : "Great Plains Research", "id" : "ITEM-2", "issue" : "1", "issued" : { "date-parts" : [ [ "2015" ] ] }, "page" : "53-61", "title" : "Perceptibility of prairie songbirds using double-observer point counts", "type" : "article-journal", "volume" : "25" }, "uris" : [ "http://www.mendeley.com/documents/?uuid=8ac4003d-8f72-453b-9df6-f1fc0ed3809c" ] } ], "mendeley" : { "formattedCitation" : "(Leston et al., 2015; Pacifici et al., 2008)", "plainTextFormattedCitation" : "(Leston et al., 2015; Pacifici et al., 2008)", "previouslyFormattedCitation" : "(Leston et al., 2015; Pacifici et al., 2008)"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w:t>
      </w:r>
      <w:r w:rsidR="009B0D0D" w:rsidRPr="00FF53CF">
        <w:rPr>
          <w:rFonts w:ascii="Times New Roman" w:eastAsia="Cambria" w:hAnsi="Times New Roman" w:cs="Times New Roman"/>
          <w:noProof/>
          <w:sz w:val="24"/>
          <w:szCs w:val="24"/>
        </w:rPr>
        <w:t>Pacifici et al., 2008</w:t>
      </w:r>
      <w:r w:rsidR="009B0D0D">
        <w:rPr>
          <w:rFonts w:ascii="Times New Roman" w:eastAsia="Cambria" w:hAnsi="Times New Roman" w:cs="Times New Roman"/>
          <w:noProof/>
          <w:sz w:val="24"/>
          <w:szCs w:val="24"/>
        </w:rPr>
        <w:t xml:space="preserve">; </w:t>
      </w:r>
      <w:r w:rsidR="00FF53CF" w:rsidRPr="00FF53CF">
        <w:rPr>
          <w:rFonts w:ascii="Times New Roman" w:eastAsia="Cambria" w:hAnsi="Times New Roman" w:cs="Times New Roman"/>
          <w:noProof/>
          <w:sz w:val="24"/>
          <w:szCs w:val="24"/>
        </w:rPr>
        <w:t>Leston et al., 2015)</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We recorded observer locations on the transect line, the bird’s distance from observer, and the bird’s bearing from the observer, </w:t>
      </w:r>
      <w:r w:rsidR="001E6E40">
        <w:rPr>
          <w:rFonts w:ascii="Times New Roman" w:eastAsia="Cambria" w:hAnsi="Times New Roman" w:cs="Times New Roman"/>
          <w:sz w:val="24"/>
          <w:szCs w:val="24"/>
        </w:rPr>
        <w:t>which</w:t>
      </w:r>
      <w:r w:rsidRPr="00FF72F0">
        <w:rPr>
          <w:rFonts w:ascii="Times New Roman" w:eastAsia="Cambria" w:hAnsi="Times New Roman" w:cs="Times New Roman"/>
          <w:sz w:val="24"/>
          <w:szCs w:val="24"/>
        </w:rPr>
        <w:t xml:space="preserve"> allow</w:t>
      </w:r>
      <w:r w:rsidR="001E6E40">
        <w:rPr>
          <w:rFonts w:ascii="Times New Roman" w:eastAsia="Cambria" w:hAnsi="Times New Roman" w:cs="Times New Roman"/>
          <w:sz w:val="24"/>
          <w:szCs w:val="24"/>
        </w:rPr>
        <w:t>ed</w:t>
      </w:r>
      <w:r w:rsidRPr="00FF72F0">
        <w:rPr>
          <w:rFonts w:ascii="Times New Roman" w:eastAsia="Cambria" w:hAnsi="Times New Roman" w:cs="Times New Roman"/>
          <w:sz w:val="24"/>
          <w:szCs w:val="24"/>
        </w:rPr>
        <w:t xml:space="preserve"> us to estimate the location of each bird observed. We then used the </w:t>
      </w:r>
      <w:r w:rsidR="000C3DE1">
        <w:rPr>
          <w:rFonts w:ascii="Times New Roman" w:eastAsia="Cambria" w:hAnsi="Times New Roman" w:cs="Times New Roman"/>
          <w:sz w:val="24"/>
          <w:szCs w:val="24"/>
        </w:rPr>
        <w:t>five</w:t>
      </w:r>
      <w:r w:rsidR="000C3DE1"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most abundant grassland songbird species in our analyses.</w:t>
      </w:r>
      <w:r w:rsidRPr="00FF72F0">
        <w:rPr>
          <w:rFonts w:ascii="Times New Roman" w:eastAsia="Cambria" w:hAnsi="Times New Roman" w:cs="Times New Roman"/>
          <w:sz w:val="24"/>
          <w:szCs w:val="24"/>
        </w:rPr>
        <w:tab/>
      </w:r>
    </w:p>
    <w:p w14:paraId="52BC8BCF" w14:textId="4E5575A8"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At each site, beginning in July, we measured vegetation structure using 24 to 38 1-m</w:t>
      </w:r>
      <w:r w:rsidRPr="00FF72F0">
        <w:rPr>
          <w:rFonts w:ascii="Times New Roman" w:eastAsia="Cambria" w:hAnsi="Times New Roman" w:cs="Times New Roman"/>
          <w:sz w:val="24"/>
          <w:szCs w:val="24"/>
          <w:vertAlign w:val="superscript"/>
        </w:rPr>
        <w:t>2</w:t>
      </w:r>
      <w:r w:rsidRPr="00FF72F0">
        <w:rPr>
          <w:rFonts w:ascii="Times New Roman" w:eastAsia="Cambria" w:hAnsi="Times New Roman" w:cs="Times New Roman"/>
          <w:sz w:val="24"/>
          <w:szCs w:val="24"/>
        </w:rPr>
        <w:t xml:space="preserve"> plots per site. On each transect, we sampled plots at 1, 5, 10, and 20 m away from the edge of the gravel pad at infrastructure sites, or from the center point at control points. In 2013, we also took vegetation measurements every 50 m, up to 400 m from the center point. In 2014, we sampled vegetation at the 1, 5, 10, and 20-m increments again, and then took</w:t>
      </w:r>
      <w:r w:rsidR="000C3DE1">
        <w:rPr>
          <w:rFonts w:ascii="Times New Roman" w:eastAsia="Cambria" w:hAnsi="Times New Roman" w:cs="Times New Roman"/>
          <w:sz w:val="24"/>
          <w:szCs w:val="24"/>
        </w:rPr>
        <w:t xml:space="preserve"> additional</w:t>
      </w:r>
      <w:r w:rsidRPr="00FF72F0">
        <w:rPr>
          <w:rFonts w:ascii="Times New Roman" w:eastAsia="Cambria" w:hAnsi="Times New Roman" w:cs="Times New Roman"/>
          <w:sz w:val="24"/>
          <w:szCs w:val="24"/>
        </w:rPr>
        <w:t xml:space="preserve"> measurements at 25-m increments</w:t>
      </w:r>
      <w:r w:rsidR="000C3DE1">
        <w:rPr>
          <w:rFonts w:ascii="Times New Roman" w:eastAsia="Cambria" w:hAnsi="Times New Roman" w:cs="Times New Roman"/>
          <w:sz w:val="24"/>
          <w:szCs w:val="24"/>
        </w:rPr>
        <w:t xml:space="preserve"> up to 400 m from wells</w:t>
      </w:r>
      <w:r w:rsidRPr="00FF72F0">
        <w:rPr>
          <w:rFonts w:ascii="Times New Roman" w:eastAsia="Cambria" w:hAnsi="Times New Roman" w:cs="Times New Roman"/>
          <w:sz w:val="24"/>
          <w:szCs w:val="24"/>
        </w:rPr>
        <w:t xml:space="preserve">. At all of our sites we measured </w:t>
      </w:r>
      <w:r w:rsidR="007C19C4">
        <w:rPr>
          <w:rFonts w:ascii="Times New Roman" w:eastAsia="Cambria" w:hAnsi="Times New Roman" w:cs="Times New Roman"/>
          <w:sz w:val="24"/>
          <w:szCs w:val="24"/>
        </w:rPr>
        <w:t>seven</w:t>
      </w:r>
      <w:r w:rsidR="007C19C4"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vegetation structure indices: density, litter depth, maximum vegetation height, and percent basal cover of bare ground, forbs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"DOI" : "10.2193/2009-020", "ISBN" : "0022-541X", "ISSN" : "0022-541X", "abstract" : "Efforts to stabilize or increase grassland bird populations require identification of suitable habitat as a first step. Although the number of studies examining grassland-bird habitat selection has increased substantially in recent years, much uncertainty exists regarding localscale habitat variables that researchers should consider. We reviewed 57 studies and identified important vegetation features correlated with grassland bird abundance, density, occurrence, and nest and territory selection. Our objectives were to 1) guide future studies of grassland-bird habitat use by providing a reduced set of relevant vegetation characteristics, 2) challenge researchers to critically think about what variables to consider, and 3) highlight the need to include consistent definitions of terms used to describe grassland bird habitat. We identified 9 variables that were important predictors of habitat use by grassland birds: coverage of bare ground (important in 50% of the instances where it was included), grass (34% of instances), dead vegetation (33% of instances), forbs (31% of instances), and litter (29% of instances), along with an index of vegetation density (39% of instances) and volume (39% of instances), litter depth (36% of instances), and vegetation height (41% of instances). Only 25% of studies provided information on effects sizes and measures of variance. Furthermore, definitions of measured habitat variables were not consistent among studies. We provide definitions of the 9 important variables and implore authors to report effect size and measures of variance. Standardization of terms and reporting of meaningful results will facilitate replication of wildlife research and enhance our ability to recognize general patterns that emerge from observational studies of habitat use.", "author" : [ { "dropping-particle" : "", "family" : "Fisher", "given" : "Ryan J.", "non-dropping-particle" : "", "parse-names" : false, "suffix" : "" }, { "dropping-particle" : "", "family" : "Davis", "given" : "Stephen K.", "non-dropping-particle" : "", "parse-names" : false, "suffix" : "" } ], "container-title" : "Journal of Wildlife Management", "id" : "ITEM-1", "issue" : "2", "issued" : { "date-parts" : [ [ "2010" ] ] }, "page" : "265-273", "title" : "From Wiens to Robel: a review of grassland-bird habitat selection", "type" : "article-journal", "volume" : "74" }, "uris" : [ "http://www.mendeley.com/documents/?uuid=a19fea23-36c0-47bc-aff9-6d046855911b" ] } ], "mendeley" : { "formattedCitation" : "(Fisher and Davis, 2010)", "plainTextFormattedCitation" : "(Fisher and Davis, 2010)", "previouslyFormattedCitation" : "(Fisher and Davis, 2010)"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(Fisher and Davis, 2010)</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biocrust (mosses and lichens)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"Pipher", "given" : "Emily", "non-dropping-particle" : "", "parse-names" : false, "suffix" : "" } ], "id" : "ITEM-1", "issued" : { "date-parts" : [ [ "2011" ] ] }, "publisher" : "University of Manitoba", "title" : "Effects of cattle stocking rate and years grazed on songbird nesting success in the northern mixed-grass prairie", "type" : "thesis" }, "uris" : [ "http://www.mendeley.com/documents/?uuid=927f288f-d1e7-4cfc-bd50-b0824c6d9f99" ] } ], "mendeley" : { "formattedCitation" : "(Pipher, 2011)", "plainTextFormattedCitation" : "(Pipher, 2011)", "previouslyFormattedCitation" : "(Pipher, 2011)"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(Pipher, 2011)</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and </w:t>
      </w:r>
      <w:r w:rsidR="007C19C4">
        <w:rPr>
          <w:rFonts w:ascii="Times New Roman" w:eastAsia="Cambria" w:hAnsi="Times New Roman" w:cs="Times New Roman"/>
          <w:sz w:val="24"/>
          <w:szCs w:val="24"/>
        </w:rPr>
        <w:t xml:space="preserve">occurrence of </w:t>
      </w:r>
      <w:r w:rsidRPr="00FF72F0">
        <w:rPr>
          <w:rFonts w:ascii="Times New Roman" w:eastAsia="Cambria" w:hAnsi="Times New Roman" w:cs="Times New Roman"/>
          <w:sz w:val="24"/>
          <w:szCs w:val="24"/>
        </w:rPr>
        <w:t xml:space="preserve">exotic species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"Belcher", "given" : "Joyce W.", "non-dropping-particle" : "", "parse-names" : false, "suffix" : "" }, { "dropping-particle" : "", "family" : "Wilson", "given" : "Scott D.", "non-dropping-particle" : "", "parse-names" : false, "suffix" : "" } ], "container-title" : "Conservation Biology", "id" : "ITEM-1", "issue" : "1", "issued" : { "date-parts" : [ [ "1989" ] ] }, "page" : "39-44", "title" : "Plant and bird Communities of native prairie and introduced eurasian vegetation in Manitoba, Canada", "type" : "article-journal", "volume" : "3" }, "uris" : [ "http://www.mendeley.com/documents/?uuid=a9190946-76c3-4468-b8d0-307a71136c76" ] }, { "id" : "ITEM-2", "itemData" : { "author" : [ { "dropping-particle" : "", "family" : "Dale", "given" : "Brenda C.", "non-dropping-particle" : "", "parse-names" : false, "suffix" : "" }, { "dropping-particle" : "", "family" : "Wiens", "given" : "T. S.", "non-dropping-particle" : "", "parse-names" : false, "suffix" : "" }, { "dropping-particle" : "", "family" : "Hamilton", "given" : "Laura E", "non-dropping-particle" : "", "parse-names" : false, "suffix" : "" } ], "container-title" : "Partners in Flight: Tundra to Tropics", "id" : "ITEM-2", "issued" : { "date-parts" : [ [ "2009" ] ] }, "page" : "194-204", "publisher-place" : "McAllen, Texas", "title" : "Abundance of three grassland songbirds in an area of natural gas infill drilling in Alberta, Canada", "type" : "paper-conference" }, "uris" : [ "http://www.mendeley.com/documents/?uuid=e47d14dd-ec0d-4cd6-9a3b-679de711d6cd" ] }, { "id" : "ITEM-3", "itemData" : { "DOI" : "10.1002/jwmg.537", "ISSN" : "0022541X", "author" : [ { "dropping-particle" : "", "family" : "Davis", "given" : "Stephen K.", "non-dropping-particle" : "", "parse-names" : false, "suffix" : "" }, { "dropping-particle" : "", "family" : "Fisher", "given" : "Ryan J.", "non-dropping-particle" : "", "parse-names" : false, "suffix" : "" }, { "dropping-particle" : "", "family" : "Skinner", "given" : "Susan L.", "non-dropping-particle" : "", "parse-names" : false, "suffix" : "" }, { "dropping-particle" : "", "family" : "Shaffer", "given" : "Terry L.", "non-dropping-particle" : "", "parse-names" : false, "suffix" : "" }, { "dropping-particle" : "", "family" : "Brigham", "given" : "R. Mark", "non-dropping-particle" : "", "parse-names" : false, "suffix" : "" } ], "container-title" : "The Journal of Wildlife Management", "id" : "ITEM-3", "issue" : "5", "issued" : { "date-parts" : [ [ "2013", "7", "11" ] ] }, "page" : "908-919", "title" : "Songbird abundance in native and planted grassland varies with type and amount of grassland in the surrounding landscape", "type" : "article-journal", "volume" : "77" }, "uris" : [ "http://www.mendeley.com/documents/?uuid=a634f06d-eb53-4ff1-be7f-eae98de2bcf9" ] } ], "mendeley" : { "formattedCitation" : "(Belcher and Wilson, 1989; Dale et al., 2009; Davis et al., 2013)", "plainTextFormattedCitation" : "(Belcher and Wilson, 1989; Dale et al., 2009; Davis et al., 2013)", "previouslyFormattedCitation" : "(Belcher and Wilson, 1989; Dale et al., 2009; Davis et al., 2013)"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w:t>
      </w:r>
      <w:r w:rsidR="00D65A06">
        <w:rPr>
          <w:rFonts w:ascii="Times New Roman" w:eastAsia="Cambria" w:hAnsi="Times New Roman" w:cs="Times New Roman"/>
          <w:noProof/>
          <w:sz w:val="24"/>
          <w:szCs w:val="24"/>
        </w:rPr>
        <w:t>Wilson</w:t>
      </w:r>
      <w:r w:rsidR="00FF53CF" w:rsidRPr="00FF53CF">
        <w:rPr>
          <w:rFonts w:ascii="Times New Roman" w:eastAsia="Cambria" w:hAnsi="Times New Roman" w:cs="Times New Roman"/>
          <w:noProof/>
          <w:sz w:val="24"/>
          <w:szCs w:val="24"/>
        </w:rPr>
        <w:t xml:space="preserve"> and </w:t>
      </w:r>
      <w:r w:rsidR="00D65A06">
        <w:rPr>
          <w:rFonts w:ascii="Times New Roman" w:eastAsia="Cambria" w:hAnsi="Times New Roman" w:cs="Times New Roman"/>
          <w:noProof/>
          <w:sz w:val="24"/>
          <w:szCs w:val="24"/>
        </w:rPr>
        <w:t>Belcher</w:t>
      </w:r>
      <w:r w:rsidR="00FF53CF" w:rsidRPr="00FF53CF">
        <w:rPr>
          <w:rFonts w:ascii="Times New Roman" w:eastAsia="Cambria" w:hAnsi="Times New Roman" w:cs="Times New Roman"/>
          <w:noProof/>
          <w:sz w:val="24"/>
          <w:szCs w:val="24"/>
        </w:rPr>
        <w:t>, 1989; Dale et al., 2009; Davis et al., 2013)</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t>
      </w:r>
    </w:p>
    <w:p w14:paraId="264C5460" w14:textId="21BE1874"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Using a GPS unit (Garmin eTrex 10), we mapped all aboveground anthropogenic features such as roads, power lines, natural gas wells, and fences that were within our sites or within 200 m of the outer boundary of a site. Hereafter, power lines, natural gas wells, and fences are referred to as perches. We defined roads as hard-packed dirt and gravel surfaces. The majority of roads mapped in the study were either county range and township roads or roads required to access oil infrastructure. We did not include grass 2-tracks or trails in this category, as there were relatively few of these at our sites and they were structurally smaller and less distinct compared with larger roads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"Sutter", "given" : "Glenn C", "non-dropping-particle" : "", "parse-names" : false, "suffix" : "" }, { "dropping-particle" : "", "family" : "Davis", "given" : "Stephen K", "non-dropping-particle" : "", "parse-names" : false, "suffix" : "" }, { "dropping-particle" : "", "family" : "Duncan", "given" : "David C", "non-dropping-particle" : "", "parse-names" : false, "suffix" : "" } ], "container-title" : "Journal of Field Ornithology", "id" : "ITEM-1", "issue" : "1", "issued" : { "date-parts" : [ [ "2000" ] ] }, "page" : "110-116", "title" : "Grassland songbird abundance along roads and trails in southern Saskatchewan", "type" : "article-journal", "volume" : "71" }, "uris" : [ "http://www.mendeley.com/documents/?uuid=f65ab112-271b-41e3-9fa3-015b33f95e2a" ] } ], "mendeley" : { "formattedCitation" : "(Sutter et al., 2000)", "plainTextFormattedCitation" : "(Sutter et al., 2000)", "previouslyFormattedCitation" : "(Sutter et al., 2000)"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(Sutter et al., 2000)</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Perch density was calculated as the sum of linear meters of </w:t>
      </w:r>
      <w:r w:rsidRPr="00FF72F0">
        <w:rPr>
          <w:rFonts w:ascii="Times New Roman" w:eastAsia="Cambria" w:hAnsi="Times New Roman" w:cs="Times New Roman"/>
          <w:sz w:val="24"/>
          <w:szCs w:val="24"/>
        </w:rPr>
        <w:lastRenderedPageBreak/>
        <w:t>fences, power lines, and natural gas wells within 600 m of the center point of each site. Likewise, road density was the sum of linear meters of road within 600 m of the center point.</w:t>
      </w:r>
    </w:p>
    <w:p w14:paraId="594DA7FD" w14:textId="77777777" w:rsidR="00FF72F0" w:rsidRPr="00FF72F0" w:rsidRDefault="006F6218" w:rsidP="00A24179">
      <w:pPr>
        <w:keepNext/>
        <w:keepLines/>
        <w:spacing w:before="200" w:after="0" w:line="240" w:lineRule="auto"/>
        <w:outlineLvl w:val="2"/>
        <w:rPr>
          <w:rFonts w:ascii="Times New Roman" w:eastAsia="MS Gothic" w:hAnsi="Times New Roman" w:cs="Times New Roman"/>
          <w:b/>
          <w:bCs/>
          <w:sz w:val="24"/>
          <w:szCs w:val="24"/>
        </w:rPr>
      </w:pPr>
      <w:bookmarkStart w:id="16" w:name="_Toc256265471"/>
      <w:bookmarkStart w:id="17" w:name="_Toc297107694"/>
      <w:bookmarkStart w:id="18" w:name="_Toc297233595"/>
      <w:bookmarkStart w:id="19" w:name="_Toc457468054"/>
      <w:r>
        <w:rPr>
          <w:rFonts w:ascii="Times New Roman" w:eastAsia="MS Gothic" w:hAnsi="Times New Roman" w:cs="Times New Roman"/>
          <w:b/>
          <w:bCs/>
          <w:sz w:val="24"/>
          <w:szCs w:val="24"/>
        </w:rPr>
        <w:t xml:space="preserve">2.3 </w:t>
      </w:r>
      <w:r w:rsidR="00FF72F0" w:rsidRPr="00FF72F0">
        <w:rPr>
          <w:rFonts w:ascii="Times New Roman" w:eastAsia="MS Gothic" w:hAnsi="Times New Roman" w:cs="Times New Roman"/>
          <w:b/>
          <w:bCs/>
          <w:sz w:val="24"/>
          <w:szCs w:val="24"/>
        </w:rPr>
        <w:t>Analyses</w:t>
      </w:r>
      <w:bookmarkEnd w:id="16"/>
      <w:bookmarkEnd w:id="17"/>
      <w:bookmarkEnd w:id="18"/>
      <w:bookmarkEnd w:id="19"/>
    </w:p>
    <w:p w14:paraId="133268D5" w14:textId="77777777" w:rsidR="00FF72F0" w:rsidRPr="006F6218" w:rsidRDefault="006F6218" w:rsidP="00A24179">
      <w:pPr>
        <w:keepNext/>
        <w:keepLines/>
        <w:spacing w:before="200" w:after="0" w:line="240" w:lineRule="auto"/>
        <w:outlineLvl w:val="3"/>
        <w:rPr>
          <w:rFonts w:ascii="Times New Roman" w:eastAsia="MS Gothic" w:hAnsi="Times New Roman" w:cs="Times New Roman"/>
          <w:b/>
          <w:bCs/>
          <w:iCs/>
          <w:sz w:val="24"/>
          <w:szCs w:val="24"/>
        </w:rPr>
      </w:pPr>
      <w:r>
        <w:rPr>
          <w:rFonts w:ascii="Times New Roman" w:eastAsia="MS Gothic" w:hAnsi="Times New Roman" w:cs="Times New Roman"/>
          <w:b/>
          <w:bCs/>
          <w:iCs/>
          <w:sz w:val="24"/>
          <w:szCs w:val="24"/>
        </w:rPr>
        <w:t xml:space="preserve">2.3.1 </w:t>
      </w:r>
      <w:r w:rsidR="00FF72F0" w:rsidRPr="006F6218">
        <w:rPr>
          <w:rFonts w:ascii="Times New Roman" w:eastAsia="MS Gothic" w:hAnsi="Times New Roman" w:cs="Times New Roman"/>
          <w:b/>
          <w:bCs/>
          <w:iCs/>
          <w:sz w:val="24"/>
          <w:szCs w:val="24"/>
        </w:rPr>
        <w:t>Detectability</w:t>
      </w:r>
    </w:p>
    <w:p w14:paraId="0FEC77A4" w14:textId="3F8F8C4B"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We used unadjusted relative abundance estimates as an index of abundance for our 5 focal species. This choice was made for several reasons: (1) we used an experimental deployment of song playbacks hidden in the grass to determine that noise from wells did not decrease detectability or accuracy in localization of bird songs in this study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"Koper", "given" : "Nicola", "non-dropping-particle" : "", "parse-names" : false, "suffix" : "" }, { "dropping-particle" : "", "family" : "Leston", "given" : "Lionel", "non-dropping-particle" : "", "parse-names" : false, "suffix" : "" }, { "dropping-particle" : "", "family" : "Baker", "given" : "Tyne", "non-dropping-particle" : "", "parse-names" : false, "suffix" : "" }, { "dropping-particle" : "", "family" : "Curry", "given" : "Claire", "non-dropping-particle" : "", "parse-names" : false, "suffix" : "" } ], "container-title" : "Ecology and Evolution", "id" : "ITEM-1", "issue" : "1", "issued" : { "date-parts" : [ [ "2016" ] ] }, "page" : "245-255", "title" : "Effects of ambient noise on detectability and localization of avian songs and tones by observers in grasslands", "type" : "article-journal", "volume" : "6" }, "uris" : [ "http://www.mendeley.com/documents/?uuid=9d12f6b0-3498-44f8-b1a7-397671027645" ] } ], "mendeley" : { "formattedCitation" : "(Koper et al., 2016)", "plainTextFormattedCitation" : "(Koper et al., 2016)", "previouslyFormattedCitation" : "(Koper et al., 2016)"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(Koper et al., 2016)</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(2) perceptibility of our focal species within 50 m of the observer in this study area was very high (</w:t>
      </w:r>
      <w:r w:rsidRPr="00FF72F0">
        <w:rPr>
          <w:rFonts w:ascii="Times New Roman" w:eastAsia="Cambria" w:hAnsi="Times New Roman" w:cs="Times New Roman"/>
          <w:i/>
          <w:sz w:val="24"/>
          <w:szCs w:val="24"/>
        </w:rPr>
        <w:t>P</w:t>
      </w:r>
      <w:r w:rsidRPr="00FF72F0">
        <w:rPr>
          <w:rFonts w:ascii="Times New Roman" w:eastAsia="Cambria" w:hAnsi="Times New Roman" w:cs="Times New Roman"/>
          <w:sz w:val="24"/>
          <w:szCs w:val="24"/>
        </w:rPr>
        <w:t xml:space="preserve"> &gt; 0.98; Leston et al.</w:t>
      </w:r>
      <w:r w:rsidR="009B0D0D">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2015); (3)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"DOI" : "10.2111/REM-D-12-00140.1", "ISSN" : "1550-7424", "author" : [ { "dropping-particle" : "", "family" : "Henderson", "given" : "Allison E.", "non-dropping-particle" : "", "parse-names" : false, "suffix" : "" }, { "dropping-particle" : "", "family" : "Davis", "given" : "Stephen K.", "non-dropping-particle" : "", "parse-names" : false, "suffix" : "" } ], "container-title" : "Rangeland Ecology &amp; Management", "id" : "ITEM-1", "issue" : "1", "issued" : { "date-parts" : [ [ "2014" ] ] }, "page" : "88-98", "title" : "Rangeland health assessment: a useful tool for linking range management and grassland bird conservation?", "type" : "article-journal", "volume" : "67" }, "uris" : [ "http://www.mendeley.com/documents/?uuid=dbeabdd9-55fb-4b9c-bb9e-76632b13187f" ] } ], "mendeley" : { "formattedCitation" : "(Henderson and Davis, 2014)", "manualFormatting" : "Henderson and Davis (2014)", "plainTextFormattedCitation" : "(Henderson and Davis, 2014)", "previouslyFormattedCitation" : "(Henderson and Davis, 2014)"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Pr="00FF72F0">
        <w:rPr>
          <w:rFonts w:ascii="Times New Roman" w:eastAsia="Cambria" w:hAnsi="Times New Roman" w:cs="Times New Roman"/>
          <w:noProof/>
          <w:sz w:val="24"/>
          <w:szCs w:val="24"/>
        </w:rPr>
        <w:t>Henderson and Davis (2014)</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also demonstrated that unadjusted counts are appropriate for estimating relative abundances of grassland songbirds in the northern mixed-grass prairie; and finally, (4) we did not meet assumptions of distance sampling and removal sampling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"DOI" : "10.1353/gpr.2015.0021", "ISSN" : "2334-2463", "author" : [ { "dropping-particle" : "", "family" : "Leston", "given" : "Lionel", "non-dropping-particle" : "", "parse-names" : false, "suffix" : "" }, { "dropping-particle" : "", "family" : "Koper", "given" : "Nicola", "non-dropping-particle" : "", "parse-names" : false, "suffix" : "" }, { "dropping-particle" : "", "family" : "Rosa", "given" : "Patricia", "non-dropping-particle" : "", "parse-names" : false, "suffix" : "" } ], "container-title" : "Great Plains Research", "id" : "ITEM-1", "issue" : "1", "issued" : { "date-parts" : [ [ "2015" ] ] }, "page" : "53-61", "title" : "Perceptibility of prairie songbirds using double-observer point counts", "type" : "article-journal", "volume" : "25" }, "uris" : [ "http://www.mendeley.com/documents/?uuid=8ac4003d-8f72-453b-9df6-f1fc0ed3809c" ] } ], "mendeley" : { "formattedCitation" : "(Leston et al., 2015)", "plainTextFormattedCitation" : "(Leston et al., 2015)", "previouslyFormattedCitation" : "(Leston et al., 2015)"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(Leston et al., 2015)</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and not meeting these assumptions increases index bias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"Marques", "given" : "T a", "non-dropping-particle" : "", "parse-names" : false, "suffix" : "" } ], "container-title" : "Biometrics", "id" : "ITEM-1", "issue" : "September", "issued" : { "date-parts" : [ [ "2004" ] ] }, "page" : "757-763", "title" : "Predicting and correcting bias caused by error measurement in line transect sampling using multiplicative error models", "type" : "article-journal", "volume" : "60" }, "uris" : [ "http://www.mendeley.com/documents/?uuid=63fe3ce3-2816-43a8-a7e3-6774ef65d23c" ] }, { "id" : "ITEM-2", "itemData" : { "author" : [ { "dropping-particle" : "", "family" : "Johnson", "given" : "D. H.", "non-dropping-particle" : "", "parse-names" : false, "suffix" : "" } ], "container-title" : "Journal of Wildlife Management", "id" : "ITEM-2", "issued" : { "date-parts" : [ [ "2008" ] ] }, "page" : "857-868", "title" : "In defense of indices: the case of bird surveys", "type" : "article-journal", "volume" : "72" }, "uris" : [ "http://www.mendeley.com/documents/?uuid=a0f79e12-631a-4e5a-b0aa-30f862a8b8df" ] } ], "mendeley" : { "formattedCitation" : "(Johnson, 2008; Marques, 2004)", "plainTextFormattedCitation" : "(Johnson, 2008; Marques, 2004)", "previouslyFormattedCitation" : "(Johnson, 2008; Marques, 2004)"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w:t>
      </w:r>
      <w:r w:rsidR="009B0D0D" w:rsidRPr="00FF53CF">
        <w:rPr>
          <w:rFonts w:ascii="Times New Roman" w:eastAsia="Cambria" w:hAnsi="Times New Roman" w:cs="Times New Roman"/>
          <w:noProof/>
          <w:sz w:val="24"/>
          <w:szCs w:val="24"/>
        </w:rPr>
        <w:t>Marques, 2004</w:t>
      </w:r>
      <w:r w:rsidR="009B0D0D">
        <w:rPr>
          <w:rFonts w:ascii="Times New Roman" w:eastAsia="Cambria" w:hAnsi="Times New Roman" w:cs="Times New Roman"/>
          <w:noProof/>
          <w:sz w:val="24"/>
          <w:szCs w:val="24"/>
        </w:rPr>
        <w:t xml:space="preserve">; </w:t>
      </w:r>
      <w:r w:rsidR="00FF53CF" w:rsidRPr="00FF53CF">
        <w:rPr>
          <w:rFonts w:ascii="Times New Roman" w:eastAsia="Cambria" w:hAnsi="Times New Roman" w:cs="Times New Roman"/>
          <w:noProof/>
          <w:sz w:val="24"/>
          <w:szCs w:val="24"/>
        </w:rPr>
        <w:t>Johnson, 2008)</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w:t>
      </w:r>
    </w:p>
    <w:p w14:paraId="7DB69442" w14:textId="77777777" w:rsidR="00FF72F0" w:rsidRPr="006F6218" w:rsidRDefault="006F6218" w:rsidP="00A24179">
      <w:pPr>
        <w:keepNext/>
        <w:keepLines/>
        <w:spacing w:before="200" w:after="0" w:line="240" w:lineRule="auto"/>
        <w:outlineLvl w:val="3"/>
        <w:rPr>
          <w:rFonts w:ascii="Times New Roman" w:eastAsia="MS Gothic" w:hAnsi="Times New Roman" w:cs="Times New Roman"/>
          <w:b/>
          <w:bCs/>
          <w:iCs/>
          <w:sz w:val="24"/>
          <w:szCs w:val="24"/>
        </w:rPr>
      </w:pPr>
      <w:r>
        <w:rPr>
          <w:rFonts w:ascii="Times New Roman" w:eastAsia="MS Gothic" w:hAnsi="Times New Roman" w:cs="Times New Roman"/>
          <w:b/>
          <w:bCs/>
          <w:iCs/>
          <w:sz w:val="24"/>
          <w:szCs w:val="24"/>
        </w:rPr>
        <w:t xml:space="preserve">2.3.2 </w:t>
      </w:r>
      <w:r w:rsidR="00FF72F0" w:rsidRPr="006F6218">
        <w:rPr>
          <w:rFonts w:ascii="Times New Roman" w:eastAsia="MS Gothic" w:hAnsi="Times New Roman" w:cs="Times New Roman"/>
          <w:b/>
          <w:bCs/>
          <w:iCs/>
          <w:sz w:val="24"/>
          <w:szCs w:val="24"/>
        </w:rPr>
        <w:t>Models</w:t>
      </w:r>
    </w:p>
    <w:p w14:paraId="6062A554" w14:textId="59714583"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We used Program R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"R Core Team", "given" : "", "non-dropping-particle" : "", "parse-names" : false, "suffix" : "" } ], "id" : "ITEM-1", "issued" : { "date-parts" : [ [ "2014" ] ] }, "publisher" : "R Foundation for Statistical Computing", "publisher-place" : "Vienna, Austria", "title" : "R: a language and environment for statistical computing", "type" : "article" }, "uris" : [ "http://www.mendeley.com/documents/?uuid=67420e8f-b398-41d5-8ed3-e4155939b362" ] } ], "mendeley" : { "formattedCitation" : "(R Core Team, 2014)", "plainTextFormattedCitation" : "(R Core Team, 2014)", "previouslyFormattedCitation" : "(R Core Team, 2014)"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(R Core Team, 2014)</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for all statistical analyses, and evaluated significance using an alpha value of 0.1 to minimize the risk of a Type II error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"Taylor", "given" : "B. L.", "non-dropping-particle" : "", "parse-names" : false, "suffix" : "" }, { "dropping-particle" : "", "family" : "Gerrodette", "given" : "T.", "non-dropping-particle" : "", "parse-names" : false, "suffix" : "" } ], "container-title" : "Conservation Biology", "id" : "ITEM-1", "issued" : { "date-parts" : [ [ "1993" ] ] }, "page" : "489-500", "title" : "The uses of statistical power in ecology: the vaquita and the northern spotted owl", "type" : "article-journal", "volume" : "7" }, "uris" : [ "http://www.mendeley.com/documents/?uuid=162d5dc1-25c0-421a-89b5-983adc6bf21d" ] } ], "mendeley" : { "formattedCitation" : "(Taylor and Gerrodette, 1993)", "plainTextFormattedCitation" : "(Taylor and Gerrodette, 1993)", "previouslyFormattedCitation" : "(Taylor and Gerrodette, 1993)"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(Taylor and Gerrodette, 1993)</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We calculated upper and lower 90% confidence intervals for all estimates using the ez package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"Lawerence", "given" : "M. A.", "non-dropping-particle" : "", "parse-names" : false, "suffix" : "" } ], "container-title" : "R package version 4.2-2", "id" : "ITEM-1", "issued" : { "date-parts" : [ [ "2013" ] ] }, "title" : "ez: Easy analysis and visualization of factorial experiments", "type" : "webpage" }, "uris" : [ "http://www.mendeley.com/documents/?uuid=0ffa923e-5a7f-43a1-84bf-891d9e7bfc0a" ] } ], "mendeley" : { "formattedCitation" : "(Lawerence, 2013)", "plainTextFormattedCitation" : "(Lawerence, 2013)", "previouslyFormattedCitation" : "(Lawerence, 2013)"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(Lawerence, 2013)</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We used generalized linear mixed models (GLMM)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"PMID" : "19185386", "abstract" : "How should ecologists and evolutionary biologists analyze nonnormal data that involve random effects? Nonnormal data such as counts or proportions often defy classical statistical procedures. Generalized linear mixed models (GLMMs) provide a more flexible approach for analyzing nonnormal data when random effects are present. The explosion of research on GLMMs in the last decade has generated considerable uncertainty for practitioners in ecology and evolution. Despite the availability of accurate techniques for estimating GLMM parameters in simple cases, complex GLMMs are challenging to fit and statistical inference such as hypothesis testing remains difficult. We review the use (and misuse) of GLMMs in ecology and evolution, discuss estimation and inference and summarize 'best-practice' data analysis procedures for scientists facing this challenge.", "author" : [ { "dropping-particle" : "", "family" : "Bolker", "given" : "Benjamin M", "non-dropping-particle" : "", "parse-names" : false, "suffix" : "" }, { "dropping-particle" : "", "family" : "Brooks", "given" : "Mollie E", "non-dropping-particle" : "", "parse-names" : false, "suffix" : "" }, { "dropping-particle" : "", "family" : "Clark", "given" : "Connie J", "non-dropping-particle" : "", "parse-names" : false, "suffix" : "" }, { "dropping-particle" : "", "family" : "Geange", "given" : "Shane W", "non-dropping-particle" : "", "parse-names" : false, "suffix" : "" }, { "dropping-particle" : "", "family" : "Poulsen", "given" : "John R", "non-dropping-particle" : "", "parse-names" : false, "suffix" : "" }, { "dropping-particle" : "", "family" : "Stevens", "given" : "M Henry H", "non-dropping-particle" : "", "parse-names" : false, "suffix" : "" }, { "dropping-particle" : "", "family" : "White", "given" : "Jada-Simone S", "non-dropping-particle" : "", "parse-names" : false, "suffix" : "" } ], "chapter-number" : "127", "container-title" : "Trends in Ecology &amp; Evolution", "editor" : [ { "dropping-particle" : "", "family" : "Seidlhofer", "given" : "Barbara", "non-dropping-particle" : "", "parse-names" : false, "suffix" : "" } ], "id" : "ITEM-1", "issue" : "3", "issued" : { "date-parts" : [ [ "2009" ] ] }, "page" : "127-135", "publisher" : "Elsevier Ltd", "title" : "Generalized linear mixed models: a practical guide for ecology and evolution.", "type" : "article-journal", "volume" : "24" }, "uris" : [ "http://www.mendeley.com/documents/?uuid=4f9f07dc-e5b5-4aa9-be78-555b95539784" ] } ], "mendeley" : { "formattedCitation" : "(Bolker et al., 2009)", "plainTextFormattedCitation" : "(Bolker et al., 2009)", "previouslyFormattedCitation" : "(Bolker et al., 2009)"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(Bolker et al., 2009)</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from the lme4 package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"Bates", "given" : "D.", "non-dropping-particle" : "", "parse-names" : false, "suffix" : "" }, { "dropping-particle" : "", "family" : "Maechler", "given" : "M.", "non-dropping-particle" : "", "parse-names" : false, "suffix" : "" }, { "dropping-particle" : "", "family" : "Bolker", "given" : "Benjamin M.", "non-dropping-particle" : "", "parse-names" : false, "suffix" : "" }, { "dropping-particle" : "", "family" : "Walker", "given" : "S.", "non-dropping-particle" : "", "parse-names" : false, "suffix" : "" } ], "id" : "ITEM-1", "issued" : { "date-parts" : [ [ "2014" ] ] }, "title" : "lme4: Linear mixed-effects models using Eigen and S4. R package version 1.1-7", "type" : "article" }, "uris" : [ "http://www.mendeley.com/documents/?uuid=b5f1abf0-6b63-48ae-b8de-a42fa4e38289" ] } ], "mendeley" : { "formattedCitation" : "(Bates et al., 2014)", "plainTextFormattedCitation" : "(Bates et al., 2014)", "previouslyFormattedCitation" : "(Bates et al., 2014)"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(Bates et al., 2014)</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for all models. Except for comparing model fit, we used a frequentist, null</w:t>
      </w:r>
      <w:r w:rsidR="009E769E">
        <w:rPr>
          <w:rFonts w:ascii="Times New Roman" w:eastAsia="Cambria" w:hAnsi="Times New Roman" w:cs="Times New Roman"/>
          <w:sz w:val="24"/>
          <w:szCs w:val="24"/>
        </w:rPr>
        <w:t>-</w:t>
      </w:r>
      <w:r w:rsidRPr="00FF72F0">
        <w:rPr>
          <w:rFonts w:ascii="Times New Roman" w:eastAsia="Cambria" w:hAnsi="Times New Roman" w:cs="Times New Roman"/>
          <w:sz w:val="24"/>
          <w:szCs w:val="24"/>
        </w:rPr>
        <w:t>hypothesis significance</w:t>
      </w:r>
      <w:r w:rsidR="009E769E">
        <w:rPr>
          <w:rFonts w:ascii="Times New Roman" w:eastAsia="Cambria" w:hAnsi="Times New Roman" w:cs="Times New Roman"/>
          <w:sz w:val="24"/>
          <w:szCs w:val="24"/>
        </w:rPr>
        <w:t>-</w:t>
      </w:r>
      <w:r w:rsidRPr="00FF72F0">
        <w:rPr>
          <w:rFonts w:ascii="Times New Roman" w:eastAsia="Cambria" w:hAnsi="Times New Roman" w:cs="Times New Roman"/>
          <w:sz w:val="24"/>
          <w:szCs w:val="24"/>
        </w:rPr>
        <w:t>testing approach for all analyses (Mundry</w:t>
      </w:r>
      <w:r w:rsidR="009E769E">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2011).</w:t>
      </w:r>
    </w:p>
    <w:p w14:paraId="436D835F" w14:textId="789F6AD8"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We modeled the abundance of each of </w:t>
      </w:r>
      <w:r w:rsidR="006D14A8">
        <w:rPr>
          <w:rFonts w:ascii="Times New Roman" w:eastAsia="Cambria" w:hAnsi="Times New Roman" w:cs="Times New Roman"/>
          <w:sz w:val="24"/>
          <w:szCs w:val="24"/>
        </w:rPr>
        <w:t>the</w:t>
      </w:r>
      <w:r w:rsidRPr="00FF72F0">
        <w:rPr>
          <w:rFonts w:ascii="Times New Roman" w:eastAsia="Cambria" w:hAnsi="Times New Roman" w:cs="Times New Roman"/>
          <w:sz w:val="24"/>
          <w:szCs w:val="24"/>
        </w:rPr>
        <w:t xml:space="preserve"> </w:t>
      </w:r>
      <w:r w:rsidR="009E769E">
        <w:rPr>
          <w:rFonts w:ascii="Times New Roman" w:eastAsia="Cambria" w:hAnsi="Times New Roman" w:cs="Times New Roman"/>
          <w:sz w:val="24"/>
          <w:szCs w:val="24"/>
        </w:rPr>
        <w:t>5</w:t>
      </w:r>
      <w:r w:rsidR="009E769E"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focal species separately. Prior to running models, we used diagnostic tests </w:t>
      </w:r>
      <w:r w:rsidR="0055157A">
        <w:rPr>
          <w:rFonts w:ascii="Times New Roman" w:eastAsia="Cambria" w:hAnsi="Times New Roman" w:cs="Times New Roman"/>
          <w:sz w:val="24"/>
          <w:szCs w:val="24"/>
        </w:rPr>
        <w:t>including</w:t>
      </w:r>
      <w:r w:rsidRPr="00FF72F0">
        <w:rPr>
          <w:rFonts w:ascii="Times New Roman" w:eastAsia="Cambria" w:hAnsi="Times New Roman" w:cs="Times New Roman"/>
          <w:sz w:val="24"/>
          <w:szCs w:val="24"/>
        </w:rPr>
        <w:t xml:space="preserve"> q-q plots, residual</w:t>
      </w:r>
      <w:r w:rsidR="0055157A">
        <w:rPr>
          <w:rFonts w:ascii="Times New Roman" w:eastAsia="Cambria" w:hAnsi="Times New Roman" w:cs="Times New Roman"/>
          <w:sz w:val="24"/>
          <w:szCs w:val="24"/>
        </w:rPr>
        <w:t>-predictor plots</w:t>
      </w:r>
      <w:r w:rsidRPr="00FF72F0">
        <w:rPr>
          <w:rFonts w:ascii="Times New Roman" w:eastAsia="Cambria" w:hAnsi="Times New Roman" w:cs="Times New Roman"/>
          <w:sz w:val="24"/>
          <w:szCs w:val="24"/>
        </w:rPr>
        <w:t xml:space="preserve">, and the degrees of freedom/residual deviance ratio to determine the distribution family that best fit our data. We used </w:t>
      </w:r>
      <w:r w:rsidR="0055157A">
        <w:rPr>
          <w:rFonts w:ascii="Times New Roman" w:eastAsia="Cambria" w:hAnsi="Times New Roman" w:cs="Times New Roman"/>
          <w:sz w:val="24"/>
          <w:szCs w:val="24"/>
        </w:rPr>
        <w:t xml:space="preserve">a </w:t>
      </w:r>
      <w:r w:rsidRPr="00FF72F0">
        <w:rPr>
          <w:rFonts w:ascii="Times New Roman" w:eastAsia="Cambria" w:hAnsi="Times New Roman" w:cs="Times New Roman"/>
          <w:sz w:val="24"/>
          <w:szCs w:val="24"/>
        </w:rPr>
        <w:t xml:space="preserve">Poisson distribution for all models besides </w:t>
      </w:r>
      <w:r w:rsidR="0055157A">
        <w:rPr>
          <w:rFonts w:ascii="Times New Roman" w:eastAsia="Cambria" w:hAnsi="Times New Roman" w:cs="Times New Roman"/>
          <w:sz w:val="24"/>
          <w:szCs w:val="24"/>
        </w:rPr>
        <w:t xml:space="preserve">those for </w:t>
      </w:r>
      <w:r w:rsidR="008D1592">
        <w:rPr>
          <w:rFonts w:ascii="Times New Roman" w:eastAsia="Cambria" w:hAnsi="Times New Roman" w:cs="Times New Roman"/>
          <w:sz w:val="24"/>
          <w:szCs w:val="24"/>
        </w:rPr>
        <w:t>chestnut-collared longspurs and site-scale Savannah sparrow abundances</w:t>
      </w:r>
      <w:r w:rsidR="007361DE">
        <w:rPr>
          <w:rFonts w:ascii="Times New Roman" w:eastAsia="Cambria" w:hAnsi="Times New Roman" w:cs="Times New Roman"/>
          <w:sz w:val="24"/>
          <w:szCs w:val="24"/>
        </w:rPr>
        <w:t xml:space="preserve">. For the latter, we </w:t>
      </w:r>
      <w:r w:rsidR="007361DE" w:rsidRPr="00FF72F0">
        <w:rPr>
          <w:rFonts w:ascii="Times New Roman" w:eastAsia="Cambria" w:hAnsi="Times New Roman" w:cs="Times New Roman"/>
          <w:sz w:val="24"/>
          <w:szCs w:val="24"/>
        </w:rPr>
        <w:t>used a Guassian distribution</w:t>
      </w:r>
      <w:r w:rsidR="002101EA">
        <w:rPr>
          <w:rFonts w:ascii="Times New Roman" w:eastAsia="Cambria" w:hAnsi="Times New Roman" w:cs="Times New Roman"/>
          <w:sz w:val="24"/>
          <w:szCs w:val="24"/>
        </w:rPr>
        <w:t>. Data from chestnut-collared longspurs were too sparse to allow us to evaluate effects on their abundance; instead, we converted observations to</w:t>
      </w:r>
      <w:r w:rsidRPr="00FF72F0">
        <w:rPr>
          <w:rFonts w:ascii="Times New Roman" w:eastAsia="Cambria" w:hAnsi="Times New Roman" w:cs="Times New Roman"/>
          <w:sz w:val="24"/>
          <w:szCs w:val="24"/>
        </w:rPr>
        <w:t xml:space="preserve"> presence/absence data </w:t>
      </w:r>
      <w:r w:rsidR="002101EA">
        <w:rPr>
          <w:rFonts w:ascii="Times New Roman" w:eastAsia="Cambria" w:hAnsi="Times New Roman" w:cs="Times New Roman"/>
          <w:sz w:val="24"/>
          <w:szCs w:val="24"/>
        </w:rPr>
        <w:t xml:space="preserve">and analyzed occurrence </w:t>
      </w:r>
      <w:r w:rsidR="0055157A">
        <w:rPr>
          <w:rFonts w:ascii="Times New Roman" w:eastAsia="Cambria" w:hAnsi="Times New Roman" w:cs="Times New Roman"/>
          <w:sz w:val="24"/>
          <w:szCs w:val="24"/>
        </w:rPr>
        <w:t>using a binomial distributio</w:t>
      </w:r>
      <w:r w:rsidR="002101EA">
        <w:rPr>
          <w:rFonts w:ascii="Times New Roman" w:eastAsia="Cambria" w:hAnsi="Times New Roman" w:cs="Times New Roman"/>
          <w:sz w:val="24"/>
          <w:szCs w:val="24"/>
        </w:rPr>
        <w:t>n</w:t>
      </w:r>
      <w:r w:rsidRPr="00FF72F0">
        <w:rPr>
          <w:rFonts w:ascii="Times New Roman" w:eastAsia="Cambria" w:hAnsi="Times New Roman" w:cs="Times New Roman"/>
          <w:sz w:val="24"/>
          <w:szCs w:val="24"/>
        </w:rPr>
        <w:t xml:space="preserve">. We ran models at </w:t>
      </w:r>
      <w:r w:rsidR="0055157A">
        <w:rPr>
          <w:rFonts w:ascii="Times New Roman" w:eastAsia="Cambria" w:hAnsi="Times New Roman" w:cs="Times New Roman"/>
          <w:sz w:val="24"/>
          <w:szCs w:val="24"/>
        </w:rPr>
        <w:t>two spatial</w:t>
      </w:r>
      <w:r w:rsidR="0055157A"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scales for each question: </w:t>
      </w:r>
      <w:r w:rsidR="0055157A">
        <w:rPr>
          <w:rFonts w:ascii="Times New Roman" w:eastAsia="Cambria" w:hAnsi="Times New Roman" w:cs="Times New Roman"/>
          <w:sz w:val="24"/>
          <w:szCs w:val="24"/>
        </w:rPr>
        <w:t xml:space="preserve">the </w:t>
      </w:r>
      <w:r w:rsidRPr="00FF72F0">
        <w:rPr>
          <w:rFonts w:ascii="Times New Roman" w:eastAsia="Cambria" w:hAnsi="Times New Roman" w:cs="Times New Roman"/>
          <w:sz w:val="24"/>
          <w:szCs w:val="24"/>
        </w:rPr>
        <w:t>hectare</w:t>
      </w:r>
      <w:r w:rsidR="0055157A">
        <w:rPr>
          <w:rFonts w:ascii="Times New Roman" w:eastAsia="Cambria" w:hAnsi="Times New Roman" w:cs="Times New Roman"/>
          <w:sz w:val="24"/>
          <w:szCs w:val="24"/>
        </w:rPr>
        <w:t xml:space="preserve"> scale,</w:t>
      </w:r>
      <w:r w:rsidRPr="00FF72F0">
        <w:rPr>
          <w:rFonts w:ascii="Times New Roman" w:eastAsia="Cambria" w:hAnsi="Times New Roman" w:cs="Times New Roman"/>
          <w:sz w:val="24"/>
          <w:szCs w:val="24"/>
        </w:rPr>
        <w:t xml:space="preserve"> to evaluate local effects of distance to infrastructure on birds</w:t>
      </w:r>
      <w:r w:rsidR="0055157A">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and </w:t>
      </w:r>
      <w:r w:rsidR="0055157A">
        <w:rPr>
          <w:rFonts w:ascii="Times New Roman" w:eastAsia="Cambria" w:hAnsi="Times New Roman" w:cs="Times New Roman"/>
          <w:sz w:val="24"/>
          <w:szCs w:val="24"/>
        </w:rPr>
        <w:t xml:space="preserve">the </w:t>
      </w:r>
      <w:r w:rsidRPr="00FF72F0">
        <w:rPr>
          <w:rFonts w:ascii="Times New Roman" w:eastAsia="Cambria" w:hAnsi="Times New Roman" w:cs="Times New Roman"/>
          <w:sz w:val="24"/>
          <w:szCs w:val="24"/>
        </w:rPr>
        <w:t>site</w:t>
      </w:r>
      <w:r w:rsidR="0055157A">
        <w:rPr>
          <w:rFonts w:ascii="Times New Roman" w:eastAsia="Cambria" w:hAnsi="Times New Roman" w:cs="Times New Roman"/>
          <w:sz w:val="24"/>
          <w:szCs w:val="24"/>
        </w:rPr>
        <w:t xml:space="preserve"> scale,</w:t>
      </w:r>
      <w:r w:rsidRPr="00FF72F0">
        <w:rPr>
          <w:rFonts w:ascii="Times New Roman" w:eastAsia="Cambria" w:hAnsi="Times New Roman" w:cs="Times New Roman"/>
          <w:sz w:val="24"/>
          <w:szCs w:val="24"/>
        </w:rPr>
        <w:t xml:space="preserve"> to evaluate effects of the presence of infrastructure at the scale of the quarter</w:t>
      </w:r>
      <w:r w:rsidR="008D1592">
        <w:rPr>
          <w:rFonts w:ascii="Times New Roman" w:eastAsia="Cambria" w:hAnsi="Times New Roman" w:cs="Times New Roman"/>
          <w:sz w:val="24"/>
          <w:szCs w:val="24"/>
        </w:rPr>
        <w:t>-</w:t>
      </w:r>
      <w:r w:rsidRPr="00FF72F0">
        <w:rPr>
          <w:rFonts w:ascii="Times New Roman" w:eastAsia="Cambria" w:hAnsi="Times New Roman" w:cs="Times New Roman"/>
          <w:sz w:val="24"/>
          <w:szCs w:val="24"/>
        </w:rPr>
        <w:t>section</w:t>
      </w:r>
      <w:r w:rsidR="008D1592">
        <w:rPr>
          <w:rFonts w:ascii="Times New Roman" w:eastAsia="Cambria" w:hAnsi="Times New Roman" w:cs="Times New Roman"/>
          <w:sz w:val="24"/>
          <w:szCs w:val="24"/>
        </w:rPr>
        <w:t xml:space="preserve"> (a quarter of a square mile, approximately 64.7 ha)</w:t>
      </w:r>
      <w:r w:rsidRPr="00FF72F0">
        <w:rPr>
          <w:rFonts w:ascii="Times New Roman" w:eastAsia="Cambria" w:hAnsi="Times New Roman" w:cs="Times New Roman"/>
          <w:sz w:val="24"/>
          <w:szCs w:val="24"/>
        </w:rPr>
        <w:t xml:space="preserve">, which is the scale at which many management decisions are made. </w:t>
      </w:r>
    </w:p>
    <w:p w14:paraId="5B55B704" w14:textId="30EE303C" w:rsid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 In preliminary analyses, we found that log (distance) was a better fit (delta </w:t>
      </w:r>
      <w:r w:rsidR="008D1592">
        <w:rPr>
          <w:rFonts w:ascii="Times New Roman" w:eastAsia="Cambria" w:hAnsi="Times New Roman" w:cs="Times New Roman"/>
          <w:sz w:val="24"/>
          <w:szCs w:val="24"/>
        </w:rPr>
        <w:t>Akaike information criterion (</w:t>
      </w:r>
      <w:r w:rsidRPr="00FF72F0">
        <w:rPr>
          <w:rFonts w:ascii="Times New Roman" w:eastAsia="Cambria" w:hAnsi="Times New Roman" w:cs="Times New Roman"/>
          <w:sz w:val="24"/>
          <w:szCs w:val="24"/>
        </w:rPr>
        <w:t>AIC</w:t>
      </w:r>
      <w:r w:rsidR="008D1592">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Pr="000606C7">
        <w:rPr>
          <w:rFonts w:ascii="Times New Roman" w:eastAsia="Cambria" w:hAnsi="Times New Roman" w:cs="Times New Roman"/>
          <w:sz w:val="24"/>
          <w:szCs w:val="24"/>
          <w:u w:val="single"/>
        </w:rPr>
        <w:t>&gt;</w:t>
      </w:r>
      <w:r w:rsidRPr="00FF72F0">
        <w:rPr>
          <w:rFonts w:ascii="Times New Roman" w:eastAsia="Cambria" w:hAnsi="Times New Roman" w:cs="Times New Roman"/>
          <w:sz w:val="24"/>
          <w:szCs w:val="24"/>
        </w:rPr>
        <w:t xml:space="preserve"> 1.1</w:t>
      </w:r>
      <w:r w:rsidR="001E167D">
        <w:rPr>
          <w:rFonts w:ascii="Times New Roman" w:eastAsia="Cambria" w:hAnsi="Times New Roman" w:cs="Times New Roman"/>
          <w:sz w:val="24"/>
          <w:szCs w:val="24"/>
        </w:rPr>
        <w:t>, see Appendix A</w:t>
      </w:r>
      <w:r w:rsidRPr="00FF72F0">
        <w:rPr>
          <w:rFonts w:ascii="Times New Roman" w:eastAsia="Cambria" w:hAnsi="Times New Roman" w:cs="Times New Roman"/>
          <w:sz w:val="24"/>
          <w:szCs w:val="24"/>
        </w:rPr>
        <w:t xml:space="preserve">) than an arithmetic scale for distance; therefore, subsequent models used log (distance to infrastructure). Similarly, log (perch density) and log (road density) fit data better than non-logged measures (delta AIC </w:t>
      </w:r>
      <w:r w:rsidRPr="000606C7">
        <w:rPr>
          <w:rFonts w:ascii="Times New Roman" w:eastAsia="Cambria" w:hAnsi="Times New Roman" w:cs="Times New Roman"/>
          <w:sz w:val="24"/>
          <w:szCs w:val="24"/>
          <w:u w:val="single"/>
        </w:rPr>
        <w:t>&gt;</w:t>
      </w:r>
      <w:r w:rsidRPr="00FF72F0">
        <w:rPr>
          <w:rFonts w:ascii="Times New Roman" w:eastAsia="Cambria" w:hAnsi="Times New Roman" w:cs="Times New Roman"/>
          <w:sz w:val="24"/>
          <w:szCs w:val="24"/>
        </w:rPr>
        <w:t xml:space="preserve"> 0.7</w:t>
      </w:r>
      <w:r w:rsidR="001E167D">
        <w:rPr>
          <w:rFonts w:ascii="Times New Roman" w:eastAsia="Cambria" w:hAnsi="Times New Roman" w:cs="Times New Roman"/>
          <w:sz w:val="24"/>
          <w:szCs w:val="24"/>
        </w:rPr>
        <w:t>, see Appendix B</w:t>
      </w:r>
      <w:r w:rsidRPr="00FF72F0">
        <w:rPr>
          <w:rFonts w:ascii="Times New Roman" w:eastAsia="Cambria" w:hAnsi="Times New Roman" w:cs="Times New Roman"/>
          <w:sz w:val="24"/>
          <w:szCs w:val="24"/>
        </w:rPr>
        <w:t xml:space="preserve">). Preliminary modeling also revealed an outlier in site-scale exotic vegetation. There was no change in significance when we ran the models with and without the outlier, so for conciseness we only show models without this outlier. In preliminary analyses, we ran models both with and without vegetation variables, but </w:t>
      </w:r>
      <w:r w:rsidR="008D4D29">
        <w:rPr>
          <w:rFonts w:ascii="Times New Roman" w:eastAsia="Cambria" w:hAnsi="Times New Roman" w:cs="Times New Roman"/>
          <w:sz w:val="24"/>
          <w:szCs w:val="24"/>
        </w:rPr>
        <w:t xml:space="preserve">as </w:t>
      </w:r>
      <w:r w:rsidRPr="00FF72F0">
        <w:rPr>
          <w:rFonts w:ascii="Times New Roman" w:eastAsia="Cambria" w:hAnsi="Times New Roman" w:cs="Times New Roman"/>
          <w:sz w:val="24"/>
          <w:szCs w:val="24"/>
        </w:rPr>
        <w:t xml:space="preserve">there was no change in significance of the </w:t>
      </w:r>
      <w:r w:rsidR="008D4D29">
        <w:rPr>
          <w:rFonts w:ascii="Times New Roman" w:eastAsia="Cambria" w:hAnsi="Times New Roman" w:cs="Times New Roman"/>
          <w:sz w:val="24"/>
          <w:szCs w:val="24"/>
        </w:rPr>
        <w:t>oil infrastructure variables</w:t>
      </w:r>
      <w:r w:rsidR="008D1592">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we did not include the vegetation variables in our final models. If interaction terms were not significant, we removed them from the model and ran the model again, to reduce problems with collinearity (Quinn and Keough 2002). For site-scale models, we used the random </w:t>
      </w:r>
      <w:r w:rsidRPr="00FF72F0">
        <w:rPr>
          <w:rFonts w:ascii="Times New Roman" w:eastAsia="Cambria" w:hAnsi="Times New Roman" w:cs="Times New Roman"/>
          <w:sz w:val="24"/>
          <w:szCs w:val="24"/>
        </w:rPr>
        <w:lastRenderedPageBreak/>
        <w:t xml:space="preserve">variable site, and we used both site and hectare </w:t>
      </w:r>
      <w:r w:rsidR="004339DD">
        <w:rPr>
          <w:rFonts w:ascii="Times New Roman" w:eastAsia="Cambria" w:hAnsi="Times New Roman" w:cs="Times New Roman"/>
          <w:sz w:val="24"/>
          <w:szCs w:val="24"/>
        </w:rPr>
        <w:t xml:space="preserve">block </w:t>
      </w:r>
      <w:r w:rsidRPr="00FF72F0">
        <w:rPr>
          <w:rFonts w:ascii="Times New Roman" w:eastAsia="Cambria" w:hAnsi="Times New Roman" w:cs="Times New Roman"/>
          <w:sz w:val="24"/>
          <w:szCs w:val="24"/>
        </w:rPr>
        <w:t>as random variable</w:t>
      </w:r>
      <w:r w:rsidR="0055157A">
        <w:rPr>
          <w:rFonts w:ascii="Times New Roman" w:eastAsia="Cambria" w:hAnsi="Times New Roman" w:cs="Times New Roman"/>
          <w:sz w:val="24"/>
          <w:szCs w:val="24"/>
        </w:rPr>
        <w:t>s</w:t>
      </w:r>
      <w:r w:rsidRPr="00FF72F0">
        <w:rPr>
          <w:rFonts w:ascii="Times New Roman" w:eastAsia="Cambria" w:hAnsi="Times New Roman" w:cs="Times New Roman"/>
          <w:sz w:val="24"/>
          <w:szCs w:val="24"/>
        </w:rPr>
        <w:t xml:space="preserve"> for the hectare-scale models. We tested </w:t>
      </w:r>
      <w:r w:rsidR="0055157A">
        <w:rPr>
          <w:rFonts w:ascii="Times New Roman" w:eastAsia="Cambria" w:hAnsi="Times New Roman" w:cs="Times New Roman"/>
          <w:sz w:val="24"/>
          <w:szCs w:val="24"/>
        </w:rPr>
        <w:t>whether</w:t>
      </w:r>
      <w:r w:rsidR="0055157A"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including random variables resulted in a better fit by running models both with and without random variables and comparing their AIC scores. </w:t>
      </w:r>
    </w:p>
    <w:p w14:paraId="025AF6B0" w14:textId="77777777" w:rsidR="0055157A" w:rsidRPr="00FF72F0" w:rsidRDefault="0055157A" w:rsidP="00A24179">
      <w:pPr>
        <w:spacing w:after="0" w:line="240" w:lineRule="auto"/>
        <w:ind w:firstLine="720"/>
        <w:rPr>
          <w:rFonts w:ascii="Times New Roman" w:eastAsia="Cambria" w:hAnsi="Times New Roman" w:cs="Times New Roman"/>
          <w:i/>
          <w:sz w:val="24"/>
          <w:szCs w:val="24"/>
        </w:rPr>
      </w:pPr>
      <w:r>
        <w:rPr>
          <w:rFonts w:ascii="Times New Roman" w:eastAsia="Cambria" w:hAnsi="Times New Roman" w:cs="Times New Roman"/>
          <w:sz w:val="24"/>
          <w:szCs w:val="24"/>
        </w:rPr>
        <w:t>We grouped analy</w:t>
      </w:r>
      <w:r w:rsidR="00053B69">
        <w:rPr>
          <w:rFonts w:ascii="Times New Roman" w:eastAsia="Cambria" w:hAnsi="Times New Roman" w:cs="Times New Roman"/>
          <w:sz w:val="24"/>
          <w:szCs w:val="24"/>
        </w:rPr>
        <w:t>ses into categories to answer three types of question</w:t>
      </w:r>
      <w:r>
        <w:rPr>
          <w:rFonts w:ascii="Times New Roman" w:eastAsia="Cambria" w:hAnsi="Times New Roman" w:cs="Times New Roman"/>
          <w:sz w:val="24"/>
          <w:szCs w:val="24"/>
        </w:rPr>
        <w:t>:</w:t>
      </w:r>
    </w:p>
    <w:p w14:paraId="76B6766E" w14:textId="77777777" w:rsidR="00FF72F0" w:rsidRPr="00FF72F0" w:rsidRDefault="0055157A" w:rsidP="00A24179">
      <w:pPr>
        <w:spacing w:after="0" w:line="240" w:lineRule="auto"/>
        <w:rPr>
          <w:rFonts w:ascii="Times New Roman" w:eastAsia="Cambria" w:hAnsi="Times New Roman" w:cs="Times New Roman"/>
          <w:i/>
          <w:sz w:val="24"/>
          <w:szCs w:val="24"/>
        </w:rPr>
      </w:pPr>
      <w:r>
        <w:rPr>
          <w:rFonts w:ascii="Times New Roman" w:eastAsia="Cambria" w:hAnsi="Times New Roman" w:cs="Times New Roman"/>
          <w:i/>
          <w:sz w:val="24"/>
          <w:szCs w:val="24"/>
        </w:rPr>
        <w:t>Is</w:t>
      </w:r>
      <w:r w:rsidRPr="00FF72F0">
        <w:rPr>
          <w:rFonts w:ascii="Times New Roman" w:eastAsia="Cambria" w:hAnsi="Times New Roman" w:cs="Times New Roman"/>
          <w:i/>
          <w:sz w:val="24"/>
          <w:szCs w:val="24"/>
        </w:rPr>
        <w:t xml:space="preserve"> </w:t>
      </w:r>
      <w:r w:rsidR="00FF72F0" w:rsidRPr="00FF72F0">
        <w:rPr>
          <w:rFonts w:ascii="Times New Roman" w:eastAsia="Cambria" w:hAnsi="Times New Roman" w:cs="Times New Roman"/>
          <w:i/>
          <w:sz w:val="24"/>
          <w:szCs w:val="24"/>
        </w:rPr>
        <w:t xml:space="preserve">bird abundance </w:t>
      </w:r>
      <w:r>
        <w:rPr>
          <w:rFonts w:ascii="Times New Roman" w:eastAsia="Cambria" w:hAnsi="Times New Roman" w:cs="Times New Roman"/>
          <w:i/>
          <w:sz w:val="24"/>
          <w:szCs w:val="24"/>
        </w:rPr>
        <w:t>affected by the presence of</w:t>
      </w:r>
      <w:r w:rsidR="00FF72F0" w:rsidRPr="00FF72F0">
        <w:rPr>
          <w:rFonts w:ascii="Times New Roman" w:eastAsia="Cambria" w:hAnsi="Times New Roman" w:cs="Times New Roman"/>
          <w:i/>
          <w:sz w:val="24"/>
          <w:szCs w:val="24"/>
        </w:rPr>
        <w:t xml:space="preserve"> oil infrastructure?</w:t>
      </w:r>
    </w:p>
    <w:p w14:paraId="50EA5884" w14:textId="77777777"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To determine if the presence of oil well structures at the site scale influenced songbird abundance, we modeled abundance as a function of site type (oil well or control). To determine whether abundance of birds was different close to infrastructure, we modeled abundance as a function of site type, log (distance), and site type*log (distance).</w:t>
      </w:r>
    </w:p>
    <w:p w14:paraId="4952A8C7" w14:textId="3CBD29E4" w:rsidR="00FF72F0" w:rsidRPr="00FF72F0" w:rsidRDefault="0055157A" w:rsidP="00A24179">
      <w:pPr>
        <w:spacing w:after="0" w:line="240" w:lineRule="auto"/>
        <w:rPr>
          <w:rFonts w:ascii="Times New Roman" w:eastAsia="Cambria" w:hAnsi="Times New Roman" w:cs="Times New Roman"/>
          <w:sz w:val="24"/>
          <w:szCs w:val="24"/>
        </w:rPr>
      </w:pPr>
      <w:r>
        <w:rPr>
          <w:rFonts w:ascii="Times New Roman" w:eastAsia="Cambria" w:hAnsi="Times New Roman" w:cs="Times New Roman"/>
          <w:i/>
          <w:sz w:val="24"/>
          <w:szCs w:val="24"/>
        </w:rPr>
        <w:t xml:space="preserve">Do different types of infrastructure have different </w:t>
      </w:r>
      <w:r w:rsidR="00B05C37">
        <w:rPr>
          <w:rFonts w:ascii="Times New Roman" w:eastAsia="Cambria" w:hAnsi="Times New Roman" w:cs="Times New Roman"/>
          <w:i/>
          <w:sz w:val="24"/>
          <w:szCs w:val="24"/>
        </w:rPr>
        <w:t>effect</w:t>
      </w:r>
      <w:r>
        <w:rPr>
          <w:rFonts w:ascii="Times New Roman" w:eastAsia="Cambria" w:hAnsi="Times New Roman" w:cs="Times New Roman"/>
          <w:i/>
          <w:sz w:val="24"/>
          <w:szCs w:val="24"/>
        </w:rPr>
        <w:t>s</w:t>
      </w:r>
      <w:r w:rsidR="00FF72F0" w:rsidRPr="00FF72F0">
        <w:rPr>
          <w:rFonts w:ascii="Times New Roman" w:eastAsia="Cambria" w:hAnsi="Times New Roman" w:cs="Times New Roman"/>
          <w:i/>
          <w:sz w:val="24"/>
          <w:szCs w:val="24"/>
        </w:rPr>
        <w:t>?</w:t>
      </w:r>
    </w:p>
    <w:p w14:paraId="0321B88F" w14:textId="77777777"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To determine </w:t>
      </w:r>
      <w:r w:rsidR="0055157A">
        <w:rPr>
          <w:rFonts w:ascii="Times New Roman" w:eastAsia="Cambria" w:hAnsi="Times New Roman" w:cs="Times New Roman"/>
          <w:sz w:val="24"/>
          <w:szCs w:val="24"/>
        </w:rPr>
        <w:t>whether</w:t>
      </w:r>
      <w:r w:rsidR="0055157A"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different types of wells affected songbird abundance differently, we ran </w:t>
      </w:r>
      <w:r w:rsidR="0055157A">
        <w:rPr>
          <w:rFonts w:ascii="Times New Roman" w:eastAsia="Cambria" w:hAnsi="Times New Roman" w:cs="Times New Roman"/>
          <w:sz w:val="24"/>
          <w:szCs w:val="24"/>
        </w:rPr>
        <w:t>two</w:t>
      </w:r>
      <w:r w:rsidR="0055157A"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models at each scale. The first evaluated effects of power source on abundance, and included control sites and oil wells that were either generator-powered screw</w:t>
      </w:r>
      <w:r w:rsidR="0055157A">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pump</w:t>
      </w:r>
      <w:r w:rsidR="0055157A">
        <w:rPr>
          <w:rFonts w:ascii="Times New Roman" w:eastAsia="Cambria" w:hAnsi="Times New Roman" w:cs="Times New Roman"/>
          <w:sz w:val="24"/>
          <w:szCs w:val="24"/>
        </w:rPr>
        <w:t>s</w:t>
      </w:r>
      <w:r w:rsidRPr="00FF72F0">
        <w:rPr>
          <w:rFonts w:ascii="Times New Roman" w:eastAsia="Cambria" w:hAnsi="Times New Roman" w:cs="Times New Roman"/>
          <w:sz w:val="24"/>
          <w:szCs w:val="24"/>
        </w:rPr>
        <w:t xml:space="preserve"> or a grid-powered screw</w:t>
      </w:r>
      <w:r w:rsidR="0055157A">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pump</w:t>
      </w:r>
      <w:r w:rsidR="0055157A">
        <w:rPr>
          <w:rFonts w:ascii="Times New Roman" w:eastAsia="Cambria" w:hAnsi="Times New Roman" w:cs="Times New Roman"/>
          <w:sz w:val="24"/>
          <w:szCs w:val="24"/>
        </w:rPr>
        <w:t>s</w:t>
      </w:r>
      <w:r w:rsidRPr="00FF72F0">
        <w:rPr>
          <w:rFonts w:ascii="Times New Roman" w:eastAsia="Cambria" w:hAnsi="Times New Roman" w:cs="Times New Roman"/>
          <w:sz w:val="24"/>
          <w:szCs w:val="24"/>
        </w:rPr>
        <w:t xml:space="preserve">. Because we had only generator-powered pumpjacks, we did not include pumpjacks in this model. At the site scale, the model had one independent variable, power type, while power type, log (distance), and power type*log (distance) were included in the hectare-scale model. </w:t>
      </w:r>
    </w:p>
    <w:p w14:paraId="3FB1E665" w14:textId="77777777"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The second model compared abundance at different well types, and included control sites and oil wells that were either generator-powered screw</w:t>
      </w:r>
      <w:r w:rsidR="0055157A">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pumps or generator-powered pumpjacks. Because we did not sample at any grid-powered pumpjacks, grid-powered screw</w:t>
      </w:r>
      <w:r w:rsidR="0055157A">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pumps were not included in this model. The model for the site scale had one independent variable, well type, while the model at the hectare scale included well type, log (distance), and well type*log (distance).</w:t>
      </w:r>
    </w:p>
    <w:p w14:paraId="26E07D1F" w14:textId="77777777" w:rsidR="00FF72F0" w:rsidRPr="00FF72F0" w:rsidRDefault="00FF72F0" w:rsidP="00A24179">
      <w:pPr>
        <w:spacing w:after="0" w:line="240" w:lineRule="auto"/>
        <w:rPr>
          <w:rFonts w:ascii="Times New Roman" w:eastAsia="Cambria" w:hAnsi="Times New Roman" w:cs="Times New Roman"/>
          <w:sz w:val="24"/>
          <w:szCs w:val="24"/>
        </w:rPr>
      </w:pPr>
      <w:r w:rsidRPr="00FF72F0">
        <w:rPr>
          <w:rFonts w:ascii="Times New Roman" w:eastAsia="Cambria" w:hAnsi="Times New Roman" w:cs="Times New Roman"/>
          <w:i/>
          <w:sz w:val="24"/>
          <w:szCs w:val="24"/>
        </w:rPr>
        <w:t>Why does infrastructure affect abundance?</w:t>
      </w:r>
      <w:r w:rsidRPr="00FF72F0">
        <w:rPr>
          <w:rFonts w:ascii="Times New Roman" w:eastAsia="Cambria" w:hAnsi="Times New Roman" w:cs="Times New Roman"/>
          <w:sz w:val="24"/>
          <w:szCs w:val="24"/>
        </w:rPr>
        <w:t xml:space="preserve"> </w:t>
      </w:r>
    </w:p>
    <w:p w14:paraId="0D2CE33C" w14:textId="33BF27FD"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To determine if the presence of noise or activity influenced songbird abundance at the site scale, we compared abundance at control sites, sites with active oil wells, and sites with inactive oil wells. At the local scale, we modeled songbird abundance with the independent variables activity (on, off, or control), log (distance), and activity*log (distance)</w:t>
      </w:r>
      <w:r w:rsidR="004339DD">
        <w:rPr>
          <w:rFonts w:ascii="Times New Roman" w:eastAsia="Cambria" w:hAnsi="Times New Roman" w:cs="Times New Roman"/>
          <w:sz w:val="24"/>
          <w:szCs w:val="24"/>
        </w:rPr>
        <w:t>.</w:t>
      </w:r>
    </w:p>
    <w:p w14:paraId="0E162787" w14:textId="77777777"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To determine whether the abundance of exotic vegetation, perch density, or road density influenced abundance of birds, we used exotic cover, log (perch density), and log (road density) as independent variables in </w:t>
      </w:r>
      <w:r w:rsidR="00834100" w:rsidRPr="00FF72F0">
        <w:rPr>
          <w:rFonts w:ascii="Times New Roman" w:eastAsia="Cambria" w:hAnsi="Times New Roman" w:cs="Times New Roman"/>
          <w:sz w:val="24"/>
          <w:szCs w:val="24"/>
        </w:rPr>
        <w:t>site</w:t>
      </w:r>
      <w:r w:rsidR="00834100">
        <w:rPr>
          <w:rFonts w:ascii="Times New Roman" w:eastAsia="Cambria" w:hAnsi="Times New Roman" w:cs="Times New Roman"/>
          <w:sz w:val="24"/>
          <w:szCs w:val="24"/>
        </w:rPr>
        <w:t>-</w:t>
      </w:r>
      <w:r w:rsidRPr="00FF72F0">
        <w:rPr>
          <w:rFonts w:ascii="Times New Roman" w:eastAsia="Cambria" w:hAnsi="Times New Roman" w:cs="Times New Roman"/>
          <w:sz w:val="24"/>
          <w:szCs w:val="24"/>
        </w:rPr>
        <w:t>scale models. For the hectare scale, we used exotic cover within each 1-ha subsection of the transect, log (perch distance), and log (road distance) as independent variables.</w:t>
      </w:r>
    </w:p>
    <w:p w14:paraId="02F71866" w14:textId="77777777" w:rsidR="00FF72F0" w:rsidRPr="00FF72F0" w:rsidRDefault="006F6218" w:rsidP="00A24179">
      <w:pPr>
        <w:keepNext/>
        <w:keepLines/>
        <w:spacing w:before="200" w:after="0" w:line="240" w:lineRule="auto"/>
        <w:outlineLvl w:val="1"/>
        <w:rPr>
          <w:rFonts w:ascii="Times New Roman" w:eastAsia="MS Gothic" w:hAnsi="Times New Roman" w:cs="Times New Roman"/>
          <w:b/>
          <w:bCs/>
          <w:sz w:val="24"/>
          <w:szCs w:val="26"/>
        </w:rPr>
      </w:pPr>
      <w:bookmarkStart w:id="20" w:name="_Toc457468055"/>
      <w:r>
        <w:rPr>
          <w:rFonts w:ascii="Times New Roman" w:eastAsia="MS Gothic" w:hAnsi="Times New Roman" w:cs="Times New Roman"/>
          <w:b/>
          <w:bCs/>
          <w:sz w:val="24"/>
          <w:szCs w:val="26"/>
        </w:rPr>
        <w:t xml:space="preserve">3. </w:t>
      </w:r>
      <w:r w:rsidR="00FF72F0" w:rsidRPr="00FF72F0">
        <w:rPr>
          <w:rFonts w:ascii="Times New Roman" w:eastAsia="MS Gothic" w:hAnsi="Times New Roman" w:cs="Times New Roman"/>
          <w:b/>
          <w:bCs/>
          <w:sz w:val="24"/>
          <w:szCs w:val="26"/>
        </w:rPr>
        <w:t>Results</w:t>
      </w:r>
      <w:bookmarkEnd w:id="20"/>
      <w:r w:rsidR="00FF72F0" w:rsidRPr="00FF72F0">
        <w:rPr>
          <w:rFonts w:ascii="Times New Roman" w:eastAsia="MS Gothic" w:hAnsi="Times New Roman" w:cs="Times New Roman"/>
          <w:b/>
          <w:bCs/>
          <w:sz w:val="24"/>
          <w:szCs w:val="26"/>
        </w:rPr>
        <w:t xml:space="preserve"> </w:t>
      </w:r>
    </w:p>
    <w:p w14:paraId="5C6FB6ED" w14:textId="77777777" w:rsidR="00F4760F" w:rsidRPr="00FF72F0" w:rsidRDefault="00F4760F" w:rsidP="00A24179">
      <w:pPr>
        <w:spacing w:after="0" w:line="240" w:lineRule="auto"/>
        <w:rPr>
          <w:rFonts w:ascii="Times New Roman" w:eastAsia="Cambria" w:hAnsi="Times New Roman" w:cs="Times New Roman"/>
          <w:i/>
          <w:sz w:val="24"/>
          <w:szCs w:val="24"/>
        </w:rPr>
      </w:pPr>
      <w:r>
        <w:rPr>
          <w:rFonts w:ascii="Times New Roman" w:eastAsia="Cambria" w:hAnsi="Times New Roman" w:cs="Times New Roman"/>
          <w:i/>
          <w:sz w:val="24"/>
          <w:szCs w:val="24"/>
        </w:rPr>
        <w:t>Is</w:t>
      </w:r>
      <w:r w:rsidRPr="00FF72F0">
        <w:rPr>
          <w:rFonts w:ascii="Times New Roman" w:eastAsia="Cambria" w:hAnsi="Times New Roman" w:cs="Times New Roman"/>
          <w:i/>
          <w:sz w:val="24"/>
          <w:szCs w:val="24"/>
        </w:rPr>
        <w:t xml:space="preserve"> bird abundance </w:t>
      </w:r>
      <w:r>
        <w:rPr>
          <w:rFonts w:ascii="Times New Roman" w:eastAsia="Cambria" w:hAnsi="Times New Roman" w:cs="Times New Roman"/>
          <w:i/>
          <w:sz w:val="24"/>
          <w:szCs w:val="24"/>
        </w:rPr>
        <w:t>affected by the presence of</w:t>
      </w:r>
      <w:r w:rsidRPr="00FF72F0">
        <w:rPr>
          <w:rFonts w:ascii="Times New Roman" w:eastAsia="Cambria" w:hAnsi="Times New Roman" w:cs="Times New Roman"/>
          <w:i/>
          <w:sz w:val="24"/>
          <w:szCs w:val="24"/>
        </w:rPr>
        <w:t xml:space="preserve"> oil infrastructure?</w:t>
      </w:r>
    </w:p>
    <w:p w14:paraId="44C992F1" w14:textId="4538E411"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At the site scale, Sprague’s pipit and Baird’s sparrow abundances were nearly 2.5 and 3 times, respectively, greater at control sites compared with sites with oil infrastructure (Table 1; Fig</w:t>
      </w:r>
      <w:r w:rsidR="004339DD">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1</w:t>
      </w:r>
      <w:r w:rsidRPr="00FF72F0">
        <w:rPr>
          <w:rFonts w:ascii="Times New Roman" w:eastAsia="Cambria" w:hAnsi="Times New Roman" w:cs="Times New Roman"/>
          <w:sz w:val="24"/>
          <w:szCs w:val="24"/>
        </w:rPr>
        <w:t>i). Abundances of both species increased with distance to infrastructure. Sprague’s pipit density was 31% higher 400 m from the center point at sites with oil infrastructure (Fig</w:t>
      </w:r>
      <w:r w:rsidR="004339DD">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1</w:t>
      </w:r>
      <w:r w:rsidRPr="00FF72F0">
        <w:rPr>
          <w:rFonts w:ascii="Times New Roman" w:eastAsia="Cambria" w:hAnsi="Times New Roman" w:cs="Times New Roman"/>
          <w:sz w:val="24"/>
          <w:szCs w:val="24"/>
        </w:rPr>
        <w:t xml:space="preserve">ii) and Baird’ sparrow density </w:t>
      </w:r>
      <w:r w:rsidR="004339DD">
        <w:rPr>
          <w:rFonts w:ascii="Times New Roman" w:eastAsia="Cambria" w:hAnsi="Times New Roman" w:cs="Times New Roman"/>
          <w:sz w:val="24"/>
          <w:szCs w:val="24"/>
        </w:rPr>
        <w:t>more than doubled</w:t>
      </w:r>
      <w:r w:rsidRPr="00FF72F0">
        <w:rPr>
          <w:rFonts w:ascii="Times New Roman" w:eastAsia="Cambria" w:hAnsi="Times New Roman" w:cs="Times New Roman"/>
          <w:sz w:val="24"/>
          <w:szCs w:val="24"/>
        </w:rPr>
        <w:t xml:space="preserve"> 400 m from the center point at oil sites (Fig</w:t>
      </w:r>
      <w:r w:rsidR="004339DD">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1</w:t>
      </w:r>
      <w:r w:rsidRPr="00FF72F0">
        <w:rPr>
          <w:rFonts w:ascii="Times New Roman" w:eastAsia="Cambria" w:hAnsi="Times New Roman" w:cs="Times New Roman"/>
          <w:sz w:val="24"/>
          <w:szCs w:val="24"/>
        </w:rPr>
        <w:t>iii). The abundance</w:t>
      </w:r>
      <w:r w:rsidR="004339DD">
        <w:rPr>
          <w:rFonts w:ascii="Times New Roman" w:eastAsia="Cambria" w:hAnsi="Times New Roman" w:cs="Times New Roman"/>
          <w:sz w:val="24"/>
          <w:szCs w:val="24"/>
        </w:rPr>
        <w:t>s of the other species</w:t>
      </w:r>
      <w:r w:rsidRPr="00FF72F0">
        <w:rPr>
          <w:rFonts w:ascii="Times New Roman" w:eastAsia="Cambria" w:hAnsi="Times New Roman" w:cs="Times New Roman"/>
          <w:sz w:val="24"/>
          <w:szCs w:val="24"/>
        </w:rPr>
        <w:t xml:space="preserve"> did not show a response to the presence of oil wells</w:t>
      </w:r>
      <w:r w:rsidR="00EA73B8">
        <w:rPr>
          <w:rFonts w:ascii="Times New Roman" w:eastAsia="Cambria" w:hAnsi="Times New Roman" w:cs="Times New Roman"/>
          <w:sz w:val="24"/>
          <w:szCs w:val="24"/>
        </w:rPr>
        <w:t xml:space="preserve"> when types of wells were combined</w:t>
      </w:r>
      <w:r w:rsidRPr="00FF72F0">
        <w:rPr>
          <w:rFonts w:ascii="Times New Roman" w:eastAsia="Cambria" w:hAnsi="Times New Roman" w:cs="Times New Roman"/>
          <w:sz w:val="24"/>
          <w:szCs w:val="24"/>
        </w:rPr>
        <w:t>.</w:t>
      </w:r>
    </w:p>
    <w:p w14:paraId="0417072A" w14:textId="32923C44" w:rsidR="00F4760F" w:rsidRPr="00FF72F0" w:rsidRDefault="00F4760F" w:rsidP="00A24179">
      <w:pPr>
        <w:spacing w:after="0" w:line="240" w:lineRule="auto"/>
        <w:rPr>
          <w:rFonts w:ascii="Times New Roman" w:eastAsia="Cambria" w:hAnsi="Times New Roman" w:cs="Times New Roman"/>
          <w:sz w:val="24"/>
          <w:szCs w:val="24"/>
        </w:rPr>
      </w:pPr>
      <w:r>
        <w:rPr>
          <w:rFonts w:ascii="Times New Roman" w:eastAsia="Cambria" w:hAnsi="Times New Roman" w:cs="Times New Roman"/>
          <w:i/>
          <w:sz w:val="24"/>
          <w:szCs w:val="24"/>
        </w:rPr>
        <w:t xml:space="preserve">Do different types of infrastructure have different </w:t>
      </w:r>
      <w:r w:rsidR="00B05C37">
        <w:rPr>
          <w:rFonts w:ascii="Times New Roman" w:eastAsia="Cambria" w:hAnsi="Times New Roman" w:cs="Times New Roman"/>
          <w:i/>
          <w:sz w:val="24"/>
          <w:szCs w:val="24"/>
        </w:rPr>
        <w:t>effect</w:t>
      </w:r>
      <w:r>
        <w:rPr>
          <w:rFonts w:ascii="Times New Roman" w:eastAsia="Cambria" w:hAnsi="Times New Roman" w:cs="Times New Roman"/>
          <w:i/>
          <w:sz w:val="24"/>
          <w:szCs w:val="24"/>
        </w:rPr>
        <w:t>s</w:t>
      </w:r>
      <w:r w:rsidRPr="00FF72F0">
        <w:rPr>
          <w:rFonts w:ascii="Times New Roman" w:eastAsia="Cambria" w:hAnsi="Times New Roman" w:cs="Times New Roman"/>
          <w:i/>
          <w:sz w:val="24"/>
          <w:szCs w:val="24"/>
        </w:rPr>
        <w:t>?</w:t>
      </w:r>
    </w:p>
    <w:p w14:paraId="027A810C" w14:textId="000A71FB" w:rsidR="00FF72F0" w:rsidRPr="00FF72F0" w:rsidRDefault="00AA40EB" w:rsidP="006F6218">
      <w:pPr>
        <w:spacing w:after="0" w:line="240" w:lineRule="auto"/>
        <w:ind w:firstLine="720"/>
        <w:rPr>
          <w:rFonts w:ascii="Times New Roman" w:eastAsia="Cambria" w:hAnsi="Times New Roman" w:cs="Times New Roman"/>
          <w:sz w:val="24"/>
          <w:szCs w:val="24"/>
        </w:rPr>
      </w:pPr>
      <w:r>
        <w:rPr>
          <w:rFonts w:ascii="Times New Roman" w:eastAsia="Cambria" w:hAnsi="Times New Roman" w:cs="Times New Roman"/>
          <w:sz w:val="24"/>
          <w:szCs w:val="24"/>
        </w:rPr>
        <w:t xml:space="preserve">At the site scale, effects of pumpjacks and screw pumps were similar for most species, but several differences between each well type were evident at the local scale. </w:t>
      </w:r>
      <w:r w:rsidR="00FF72F0" w:rsidRPr="00FF72F0">
        <w:rPr>
          <w:rFonts w:ascii="Times New Roman" w:eastAsia="Cambria" w:hAnsi="Times New Roman" w:cs="Times New Roman"/>
          <w:sz w:val="24"/>
          <w:szCs w:val="24"/>
        </w:rPr>
        <w:t>Sprague’s pipits and Baird’s sparrows responded similarly to pumpjacks and screw</w:t>
      </w:r>
      <w:r w:rsidR="00EA73B8">
        <w:rPr>
          <w:rFonts w:ascii="Times New Roman" w:eastAsia="Cambria" w:hAnsi="Times New Roman" w:cs="Times New Roman"/>
          <w:sz w:val="24"/>
          <w:szCs w:val="24"/>
        </w:rPr>
        <w:t xml:space="preserve"> </w:t>
      </w:r>
      <w:r w:rsidR="00FF72F0" w:rsidRPr="00FF72F0">
        <w:rPr>
          <w:rFonts w:ascii="Times New Roman" w:eastAsia="Cambria" w:hAnsi="Times New Roman" w:cs="Times New Roman"/>
          <w:sz w:val="24"/>
          <w:szCs w:val="24"/>
        </w:rPr>
        <w:t>pumps (Fig</w:t>
      </w:r>
      <w:r w:rsidR="004339DD">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2</w:t>
      </w:r>
      <w:r w:rsidR="00FF72F0" w:rsidRPr="00FF72F0">
        <w:rPr>
          <w:rFonts w:ascii="Times New Roman" w:eastAsia="Cambria" w:hAnsi="Times New Roman" w:cs="Times New Roman"/>
          <w:sz w:val="24"/>
          <w:szCs w:val="24"/>
        </w:rPr>
        <w:t>i, Table 1)</w:t>
      </w:r>
      <w:r w:rsidR="00960271">
        <w:rPr>
          <w:rFonts w:ascii="Times New Roman" w:eastAsia="Cambria" w:hAnsi="Times New Roman" w:cs="Times New Roman"/>
          <w:sz w:val="24"/>
          <w:szCs w:val="24"/>
        </w:rPr>
        <w:t xml:space="preserve"> at the </w:t>
      </w:r>
      <w:r w:rsidR="00960271">
        <w:rPr>
          <w:rFonts w:ascii="Times New Roman" w:eastAsia="Cambria" w:hAnsi="Times New Roman" w:cs="Times New Roman"/>
          <w:sz w:val="24"/>
          <w:szCs w:val="24"/>
        </w:rPr>
        <w:lastRenderedPageBreak/>
        <w:t>site scale</w:t>
      </w:r>
      <w:r w:rsidR="00FF72F0" w:rsidRPr="00FF72F0">
        <w:rPr>
          <w:rFonts w:ascii="Times New Roman" w:eastAsia="Cambria" w:hAnsi="Times New Roman" w:cs="Times New Roman"/>
          <w:sz w:val="24"/>
          <w:szCs w:val="24"/>
        </w:rPr>
        <w:t xml:space="preserve">. However, western meadowlark abundance was over 40% greater at </w:t>
      </w:r>
      <w:r w:rsidR="00EA73B8">
        <w:rPr>
          <w:rFonts w:ascii="Times New Roman" w:eastAsia="Cambria" w:hAnsi="Times New Roman" w:cs="Times New Roman"/>
          <w:sz w:val="24"/>
          <w:szCs w:val="24"/>
        </w:rPr>
        <w:t>screw pump</w:t>
      </w:r>
      <w:r w:rsidR="00FF72F0" w:rsidRPr="00FF72F0">
        <w:rPr>
          <w:rFonts w:ascii="Times New Roman" w:eastAsia="Cambria" w:hAnsi="Times New Roman" w:cs="Times New Roman"/>
          <w:sz w:val="24"/>
          <w:szCs w:val="24"/>
        </w:rPr>
        <w:t xml:space="preserve"> sites compared to pumpjacks and control sites. At the hectare scale, Sprague’s pipit density increased by 51% </w:t>
      </w:r>
      <w:r w:rsidR="00EA73B8">
        <w:rPr>
          <w:rFonts w:ascii="Times New Roman" w:eastAsia="Cambria" w:hAnsi="Times New Roman" w:cs="Times New Roman"/>
          <w:sz w:val="24"/>
          <w:szCs w:val="24"/>
        </w:rPr>
        <w:t xml:space="preserve">when </w:t>
      </w:r>
      <w:r w:rsidR="00FF72F0" w:rsidRPr="00FF72F0">
        <w:rPr>
          <w:rFonts w:ascii="Times New Roman" w:eastAsia="Cambria" w:hAnsi="Times New Roman" w:cs="Times New Roman"/>
          <w:sz w:val="24"/>
          <w:szCs w:val="24"/>
        </w:rPr>
        <w:t>400 m away from pumpjacks, compared to abundances within 100</w:t>
      </w:r>
      <w:r w:rsidR="004339DD">
        <w:rPr>
          <w:rFonts w:ascii="Times New Roman" w:eastAsia="Cambria" w:hAnsi="Times New Roman" w:cs="Times New Roman"/>
          <w:sz w:val="24"/>
          <w:szCs w:val="24"/>
        </w:rPr>
        <w:t xml:space="preserve"> </w:t>
      </w:r>
      <w:r w:rsidR="00FF72F0" w:rsidRPr="00FF72F0">
        <w:rPr>
          <w:rFonts w:ascii="Times New Roman" w:eastAsia="Cambria" w:hAnsi="Times New Roman" w:cs="Times New Roman"/>
          <w:sz w:val="24"/>
          <w:szCs w:val="24"/>
        </w:rPr>
        <w:t>m of pumpjacks (Fig</w:t>
      </w:r>
      <w:r w:rsidR="004339DD">
        <w:rPr>
          <w:rFonts w:ascii="Times New Roman" w:eastAsia="Cambria" w:hAnsi="Times New Roman" w:cs="Times New Roman"/>
          <w:sz w:val="24"/>
          <w:szCs w:val="24"/>
        </w:rPr>
        <w:t>.</w:t>
      </w:r>
      <w:r w:rsidR="00FF72F0"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3</w:t>
      </w:r>
      <w:r w:rsidR="00FF72F0" w:rsidRPr="00FF72F0">
        <w:rPr>
          <w:rFonts w:ascii="Times New Roman" w:eastAsia="Cambria" w:hAnsi="Times New Roman" w:cs="Times New Roman"/>
          <w:sz w:val="24"/>
          <w:szCs w:val="24"/>
        </w:rPr>
        <w:t xml:space="preserve">i), while abundance remained low across all distances for </w:t>
      </w:r>
      <w:r w:rsidR="00EA73B8">
        <w:rPr>
          <w:rFonts w:ascii="Times New Roman" w:eastAsia="Cambria" w:hAnsi="Times New Roman" w:cs="Times New Roman"/>
          <w:sz w:val="24"/>
          <w:szCs w:val="24"/>
        </w:rPr>
        <w:t>screw pump</w:t>
      </w:r>
      <w:r w:rsidR="00FF72F0" w:rsidRPr="00FF72F0">
        <w:rPr>
          <w:rFonts w:ascii="Times New Roman" w:eastAsia="Cambria" w:hAnsi="Times New Roman" w:cs="Times New Roman"/>
          <w:sz w:val="24"/>
          <w:szCs w:val="24"/>
        </w:rPr>
        <w:t xml:space="preserve">s. Baird’s sparrow density increased by 2.2 times 400 m away from pumpjacks and by 1.6 times 400 m away from </w:t>
      </w:r>
      <w:r w:rsidR="00EA73B8">
        <w:rPr>
          <w:rFonts w:ascii="Times New Roman" w:eastAsia="Cambria" w:hAnsi="Times New Roman" w:cs="Times New Roman"/>
          <w:sz w:val="24"/>
          <w:szCs w:val="24"/>
        </w:rPr>
        <w:t>screw pump</w:t>
      </w:r>
      <w:r w:rsidR="00FF72F0" w:rsidRPr="00FF72F0">
        <w:rPr>
          <w:rFonts w:ascii="Times New Roman" w:eastAsia="Cambria" w:hAnsi="Times New Roman" w:cs="Times New Roman"/>
          <w:sz w:val="24"/>
          <w:szCs w:val="24"/>
        </w:rPr>
        <w:t>s (Fig</w:t>
      </w:r>
      <w:r w:rsidR="004339DD">
        <w:rPr>
          <w:rFonts w:ascii="Times New Roman" w:eastAsia="Cambria" w:hAnsi="Times New Roman" w:cs="Times New Roman"/>
          <w:sz w:val="24"/>
          <w:szCs w:val="24"/>
        </w:rPr>
        <w:t>.</w:t>
      </w:r>
      <w:r w:rsidR="00FF72F0"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3</w:t>
      </w:r>
      <w:r w:rsidR="00FF72F0" w:rsidRPr="00FF72F0">
        <w:rPr>
          <w:rFonts w:ascii="Times New Roman" w:eastAsia="Cambria" w:hAnsi="Times New Roman" w:cs="Times New Roman"/>
          <w:sz w:val="24"/>
          <w:szCs w:val="24"/>
        </w:rPr>
        <w:t xml:space="preserve">ii). In contrast, abundance of western meadowlark was higher close to </w:t>
      </w:r>
      <w:r w:rsidR="00EA73B8">
        <w:rPr>
          <w:rFonts w:ascii="Times New Roman" w:eastAsia="Cambria" w:hAnsi="Times New Roman" w:cs="Times New Roman"/>
          <w:sz w:val="24"/>
          <w:szCs w:val="24"/>
        </w:rPr>
        <w:t>screw pump</w:t>
      </w:r>
      <w:r w:rsidR="00FF72F0" w:rsidRPr="00FF72F0">
        <w:rPr>
          <w:rFonts w:ascii="Times New Roman" w:eastAsia="Cambria" w:hAnsi="Times New Roman" w:cs="Times New Roman"/>
          <w:sz w:val="24"/>
          <w:szCs w:val="24"/>
        </w:rPr>
        <w:t>s but not pumpjacks (Fig</w:t>
      </w:r>
      <w:r w:rsidR="004339DD">
        <w:rPr>
          <w:rFonts w:ascii="Times New Roman" w:eastAsia="Cambria" w:hAnsi="Times New Roman" w:cs="Times New Roman"/>
          <w:sz w:val="24"/>
          <w:szCs w:val="24"/>
        </w:rPr>
        <w:t>.</w:t>
      </w:r>
      <w:r w:rsidR="00FF72F0"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3</w:t>
      </w:r>
      <w:r w:rsidR="00FF72F0" w:rsidRPr="00FF72F0">
        <w:rPr>
          <w:rFonts w:ascii="Times New Roman" w:eastAsia="Cambria" w:hAnsi="Times New Roman" w:cs="Times New Roman"/>
          <w:sz w:val="24"/>
          <w:szCs w:val="24"/>
        </w:rPr>
        <w:t xml:space="preserve">iii). The probability of chestnut-collared longspur presence increased by 2.6 times </w:t>
      </w:r>
      <w:r>
        <w:rPr>
          <w:rFonts w:ascii="Times New Roman" w:eastAsia="Cambria" w:hAnsi="Times New Roman" w:cs="Times New Roman"/>
          <w:sz w:val="24"/>
          <w:szCs w:val="24"/>
        </w:rPr>
        <w:t>close to pumpjacks</w:t>
      </w:r>
      <w:r w:rsidR="00FF72F0" w:rsidRPr="00FF72F0">
        <w:rPr>
          <w:rFonts w:ascii="Times New Roman" w:eastAsia="Cambria" w:hAnsi="Times New Roman" w:cs="Times New Roman"/>
          <w:sz w:val="24"/>
          <w:szCs w:val="24"/>
        </w:rPr>
        <w:t xml:space="preserve">, although there was no effect of </w:t>
      </w:r>
      <w:r w:rsidR="00EA73B8">
        <w:rPr>
          <w:rFonts w:ascii="Times New Roman" w:eastAsia="Cambria" w:hAnsi="Times New Roman" w:cs="Times New Roman"/>
          <w:sz w:val="24"/>
          <w:szCs w:val="24"/>
        </w:rPr>
        <w:t>screw pump</w:t>
      </w:r>
      <w:r w:rsidR="00FF72F0" w:rsidRPr="00FF72F0">
        <w:rPr>
          <w:rFonts w:ascii="Times New Roman" w:eastAsia="Cambria" w:hAnsi="Times New Roman" w:cs="Times New Roman"/>
          <w:sz w:val="24"/>
          <w:szCs w:val="24"/>
        </w:rPr>
        <w:t>s (Fig</w:t>
      </w:r>
      <w:r w:rsidR="004339DD">
        <w:rPr>
          <w:rFonts w:ascii="Times New Roman" w:eastAsia="Cambria" w:hAnsi="Times New Roman" w:cs="Times New Roman"/>
          <w:sz w:val="24"/>
          <w:szCs w:val="24"/>
        </w:rPr>
        <w:t>.</w:t>
      </w:r>
      <w:r w:rsidR="008F5BB3">
        <w:rPr>
          <w:rFonts w:ascii="Times New Roman" w:eastAsia="Cambria" w:hAnsi="Times New Roman" w:cs="Times New Roman"/>
          <w:sz w:val="24"/>
          <w:szCs w:val="24"/>
        </w:rPr>
        <w:t>3</w:t>
      </w:r>
      <w:r w:rsidR="00FF72F0" w:rsidRPr="00FF72F0">
        <w:rPr>
          <w:rFonts w:ascii="Times New Roman" w:eastAsia="Cambria" w:hAnsi="Times New Roman" w:cs="Times New Roman"/>
          <w:sz w:val="24"/>
          <w:szCs w:val="24"/>
        </w:rPr>
        <w:t xml:space="preserve">iv). Savannah sparrows showed no change in abundance relative to either pumpjacks or </w:t>
      </w:r>
      <w:r w:rsidR="00EA73B8">
        <w:rPr>
          <w:rFonts w:ascii="Times New Roman" w:eastAsia="Cambria" w:hAnsi="Times New Roman" w:cs="Times New Roman"/>
          <w:sz w:val="24"/>
          <w:szCs w:val="24"/>
        </w:rPr>
        <w:t>screw pump</w:t>
      </w:r>
      <w:r w:rsidR="00FF72F0" w:rsidRPr="00FF72F0">
        <w:rPr>
          <w:rFonts w:ascii="Times New Roman" w:eastAsia="Cambria" w:hAnsi="Times New Roman" w:cs="Times New Roman"/>
          <w:sz w:val="24"/>
          <w:szCs w:val="24"/>
        </w:rPr>
        <w:t>s.</w:t>
      </w:r>
    </w:p>
    <w:p w14:paraId="30B551F9" w14:textId="2287ECB7" w:rsidR="00FF72F0" w:rsidRPr="00FF72F0" w:rsidRDefault="00B15C97" w:rsidP="00A24179">
      <w:pPr>
        <w:spacing w:after="0" w:line="240" w:lineRule="auto"/>
        <w:ind w:firstLine="720"/>
        <w:rPr>
          <w:rFonts w:ascii="Times New Roman" w:eastAsia="Cambria" w:hAnsi="Times New Roman" w:cs="Times New Roman"/>
          <w:sz w:val="24"/>
          <w:szCs w:val="24"/>
        </w:rPr>
      </w:pPr>
      <w:r>
        <w:rPr>
          <w:rFonts w:ascii="Times New Roman" w:eastAsia="Cambria" w:hAnsi="Times New Roman" w:cs="Times New Roman"/>
          <w:sz w:val="24"/>
          <w:szCs w:val="24"/>
        </w:rPr>
        <w:t>For most species, effects of grid-powered wells were greater than effects of generator-powered wells</w:t>
      </w:r>
      <w:r w:rsidR="00AA40EB">
        <w:rPr>
          <w:rFonts w:ascii="Times New Roman" w:eastAsia="Cambria" w:hAnsi="Times New Roman" w:cs="Times New Roman"/>
          <w:sz w:val="24"/>
          <w:szCs w:val="24"/>
        </w:rPr>
        <w:t xml:space="preserve">. </w:t>
      </w:r>
      <w:r w:rsidR="00FF72F0" w:rsidRPr="00FF72F0">
        <w:rPr>
          <w:rFonts w:ascii="Times New Roman" w:eastAsia="Cambria" w:hAnsi="Times New Roman" w:cs="Times New Roman"/>
          <w:sz w:val="24"/>
          <w:szCs w:val="24"/>
        </w:rPr>
        <w:t>Control sites had greater than 2 and 4 times more Sprague’s pipits and greater than 3 and 5 times more Baird’s sparrows than at generator- and grid-powered well sites, respectively (Fig</w:t>
      </w:r>
      <w:r w:rsidR="004339DD">
        <w:rPr>
          <w:rFonts w:ascii="Times New Roman" w:eastAsia="Cambria" w:hAnsi="Times New Roman" w:cs="Times New Roman"/>
          <w:sz w:val="24"/>
          <w:szCs w:val="24"/>
        </w:rPr>
        <w:t>.</w:t>
      </w:r>
      <w:r w:rsidR="00FF72F0"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2</w:t>
      </w:r>
      <w:r w:rsidR="00FF72F0" w:rsidRPr="00FF72F0">
        <w:rPr>
          <w:rFonts w:ascii="Times New Roman" w:eastAsia="Cambria" w:hAnsi="Times New Roman" w:cs="Times New Roman"/>
          <w:sz w:val="24"/>
          <w:szCs w:val="24"/>
        </w:rPr>
        <w:t>ii, Table 1). Sites with generator-powered wells had nearly 2 times more Sprague’s pipits and nearly 3 times more Baird’s sparrows than grid-powered wells. Western meadowlark abundance was 60% higher at generator-powered wells compared to grid-powered wells and control sites. Savannah sparrow abundance at grid-powered sites was 40% and 46% higher than at control sites and generator-powered wells. At the hectare scale, Baird’s sparrow density increased by 56% over 400 m from generator-powered wells and by 2.8 times from grid-powered wells (Fig</w:t>
      </w:r>
      <w:r w:rsidR="004339DD">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3</w:t>
      </w:r>
      <w:r w:rsidR="00FF72F0" w:rsidRPr="00FF72F0">
        <w:rPr>
          <w:rFonts w:ascii="Times New Roman" w:eastAsia="Cambria" w:hAnsi="Times New Roman" w:cs="Times New Roman"/>
          <w:sz w:val="24"/>
          <w:szCs w:val="24"/>
        </w:rPr>
        <w:t>v). Western meadowlark density was significantly higher near generator-powered but not grid-powered wells (Fig</w:t>
      </w:r>
      <w:r w:rsidR="004339DD">
        <w:rPr>
          <w:rFonts w:ascii="Times New Roman" w:eastAsia="Cambria" w:hAnsi="Times New Roman" w:cs="Times New Roman"/>
          <w:sz w:val="24"/>
          <w:szCs w:val="24"/>
        </w:rPr>
        <w:t>.</w:t>
      </w:r>
      <w:r w:rsidR="00FF72F0"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3</w:t>
      </w:r>
      <w:r w:rsidR="00FF72F0" w:rsidRPr="00FF72F0">
        <w:rPr>
          <w:rFonts w:ascii="Times New Roman" w:eastAsia="Cambria" w:hAnsi="Times New Roman" w:cs="Times New Roman"/>
          <w:sz w:val="24"/>
          <w:szCs w:val="24"/>
        </w:rPr>
        <w:t>vi). Chestnut-collared longspurs showed no change in abundance.</w:t>
      </w:r>
    </w:p>
    <w:p w14:paraId="3716822B" w14:textId="77777777" w:rsidR="00FF72F0" w:rsidRPr="00FF72F0" w:rsidRDefault="00FF72F0" w:rsidP="00A24179">
      <w:pPr>
        <w:spacing w:after="0" w:line="240" w:lineRule="auto"/>
        <w:rPr>
          <w:rFonts w:ascii="Times New Roman" w:eastAsia="Cambria" w:hAnsi="Times New Roman" w:cs="Times New Roman"/>
          <w:sz w:val="24"/>
          <w:szCs w:val="24"/>
        </w:rPr>
      </w:pPr>
      <w:r w:rsidRPr="00FF72F0">
        <w:rPr>
          <w:rFonts w:ascii="Times New Roman" w:eastAsia="Cambria" w:hAnsi="Times New Roman" w:cs="Times New Roman"/>
          <w:i/>
          <w:sz w:val="24"/>
          <w:szCs w:val="24"/>
        </w:rPr>
        <w:t>Why does infrastructure affect abundance?</w:t>
      </w:r>
      <w:r w:rsidRPr="00FF72F0">
        <w:rPr>
          <w:rFonts w:ascii="Times New Roman" w:eastAsia="Cambria" w:hAnsi="Times New Roman" w:cs="Times New Roman"/>
          <w:sz w:val="24"/>
          <w:szCs w:val="24"/>
        </w:rPr>
        <w:t xml:space="preserve"> </w:t>
      </w:r>
    </w:p>
    <w:p w14:paraId="758C8BC0" w14:textId="5390FEB9" w:rsidR="00443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There was no difference in abundance </w:t>
      </w:r>
      <w:r w:rsidR="004432F0">
        <w:rPr>
          <w:rFonts w:ascii="Times New Roman" w:eastAsia="Cambria" w:hAnsi="Times New Roman" w:cs="Times New Roman"/>
          <w:sz w:val="24"/>
          <w:szCs w:val="24"/>
        </w:rPr>
        <w:t>of any species</w:t>
      </w:r>
      <w:r w:rsidRPr="00FF72F0">
        <w:rPr>
          <w:rFonts w:ascii="Times New Roman" w:eastAsia="Cambria" w:hAnsi="Times New Roman" w:cs="Times New Roman"/>
          <w:sz w:val="24"/>
          <w:szCs w:val="24"/>
        </w:rPr>
        <w:t xml:space="preserve"> at sites with active compared with inactive wells, suggesting that noise is unlikely to explain the negative effects of wells we detected at the site scale (Fig</w:t>
      </w:r>
      <w:r w:rsidR="004339DD">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4</w:t>
      </w:r>
      <w:r w:rsidRPr="00FF72F0">
        <w:rPr>
          <w:rFonts w:ascii="Times New Roman" w:eastAsia="Cambria" w:hAnsi="Times New Roman" w:cs="Times New Roman"/>
          <w:sz w:val="24"/>
          <w:szCs w:val="24"/>
        </w:rPr>
        <w:t xml:space="preserve">i, Table 1). </w:t>
      </w:r>
    </w:p>
    <w:p w14:paraId="2BDA46AD" w14:textId="22E12B0B" w:rsidR="00FF72F0" w:rsidRP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Presence of perch sites and other linear disturbances</w:t>
      </w:r>
      <w:r w:rsidR="000E2188">
        <w:rPr>
          <w:rFonts w:ascii="Times New Roman" w:eastAsia="Cambria" w:hAnsi="Times New Roman" w:cs="Times New Roman"/>
          <w:sz w:val="24"/>
          <w:szCs w:val="24"/>
        </w:rPr>
        <w:t xml:space="preserve"> </w:t>
      </w:r>
      <w:r w:rsidR="007B4BD3">
        <w:rPr>
          <w:rFonts w:ascii="Times New Roman" w:eastAsia="Cambria" w:hAnsi="Times New Roman" w:cs="Times New Roman"/>
          <w:sz w:val="24"/>
          <w:szCs w:val="24"/>
        </w:rPr>
        <w:t>were correlated with abundances of</w:t>
      </w:r>
      <w:r w:rsidR="000E2188">
        <w:rPr>
          <w:rFonts w:ascii="Times New Roman" w:eastAsia="Cambria" w:hAnsi="Times New Roman" w:cs="Times New Roman"/>
          <w:sz w:val="24"/>
          <w:szCs w:val="24"/>
        </w:rPr>
        <w:t xml:space="preserve"> </w:t>
      </w:r>
      <w:r w:rsidR="0072674D">
        <w:rPr>
          <w:rFonts w:ascii="Times New Roman" w:eastAsia="Cambria" w:hAnsi="Times New Roman" w:cs="Times New Roman"/>
          <w:sz w:val="24"/>
          <w:szCs w:val="24"/>
        </w:rPr>
        <w:t>4 species</w:t>
      </w:r>
      <w:r w:rsidRPr="00FF72F0">
        <w:rPr>
          <w:rFonts w:ascii="Times New Roman" w:eastAsia="Cambria" w:hAnsi="Times New Roman" w:cs="Times New Roman"/>
          <w:sz w:val="24"/>
          <w:szCs w:val="24"/>
        </w:rPr>
        <w:t>. Total linear meters of perch was negatively correlated with Sprague’s pipit and Baird’s sparrow abundance at the site scale (Fig</w:t>
      </w:r>
      <w:r w:rsidR="004339DD">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5</w:t>
      </w:r>
      <w:r w:rsidRPr="00FF72F0">
        <w:rPr>
          <w:rFonts w:ascii="Times New Roman" w:eastAsia="Cambria" w:hAnsi="Times New Roman" w:cs="Times New Roman"/>
          <w:sz w:val="24"/>
          <w:szCs w:val="24"/>
        </w:rPr>
        <w:t>i, Table 1), consistent with our observation that abundance of both species was lower at grid-powered than generator-powered sites (Fig</w:t>
      </w:r>
      <w:r w:rsidR="004339DD">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2</w:t>
      </w:r>
      <w:r w:rsidRPr="00FF72F0">
        <w:rPr>
          <w:rFonts w:ascii="Times New Roman" w:eastAsia="Cambria" w:hAnsi="Times New Roman" w:cs="Times New Roman"/>
          <w:sz w:val="24"/>
          <w:szCs w:val="24"/>
        </w:rPr>
        <w:t>ii). Baird’s sparrow and chestnut-collared longspur density were both positively correlated with distance to the nearest perch (Fig</w:t>
      </w:r>
      <w:r w:rsidR="004339DD">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5</w:t>
      </w:r>
      <w:r w:rsidRPr="00FF72F0">
        <w:rPr>
          <w:rFonts w:ascii="Times New Roman" w:eastAsia="Cambria" w:hAnsi="Times New Roman" w:cs="Times New Roman"/>
          <w:sz w:val="24"/>
          <w:szCs w:val="24"/>
        </w:rPr>
        <w:t xml:space="preserve">ii); western meadowlark density was negatively correlated. Similarly, distance to the nearest road was positively correlated with </w:t>
      </w:r>
      <w:r w:rsidR="004432F0">
        <w:rPr>
          <w:rFonts w:ascii="Times New Roman" w:eastAsia="Cambria" w:hAnsi="Times New Roman" w:cs="Times New Roman"/>
          <w:sz w:val="24"/>
          <w:szCs w:val="24"/>
        </w:rPr>
        <w:t xml:space="preserve">Sprague’s </w:t>
      </w:r>
      <w:r w:rsidRPr="00FF72F0">
        <w:rPr>
          <w:rFonts w:ascii="Times New Roman" w:eastAsia="Cambria" w:hAnsi="Times New Roman" w:cs="Times New Roman"/>
          <w:sz w:val="24"/>
          <w:szCs w:val="24"/>
        </w:rPr>
        <w:t>pipit and Baird’s sparrow density (Fig</w:t>
      </w:r>
      <w:r w:rsidR="00E13D4F">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5</w:t>
      </w:r>
      <w:r w:rsidRPr="00FF72F0">
        <w:rPr>
          <w:rFonts w:ascii="Times New Roman" w:eastAsia="Cambria" w:hAnsi="Times New Roman" w:cs="Times New Roman"/>
          <w:sz w:val="24"/>
          <w:szCs w:val="24"/>
        </w:rPr>
        <w:t xml:space="preserve">iii), </w:t>
      </w:r>
      <w:r w:rsidR="00E13D4F">
        <w:rPr>
          <w:rFonts w:ascii="Times New Roman" w:eastAsia="Cambria" w:hAnsi="Times New Roman" w:cs="Times New Roman"/>
          <w:sz w:val="24"/>
          <w:szCs w:val="24"/>
        </w:rPr>
        <w:t>but</w:t>
      </w:r>
      <w:r w:rsidRPr="00FF72F0">
        <w:rPr>
          <w:rFonts w:ascii="Times New Roman" w:eastAsia="Cambria" w:hAnsi="Times New Roman" w:cs="Times New Roman"/>
          <w:sz w:val="24"/>
          <w:szCs w:val="24"/>
        </w:rPr>
        <w:t xml:space="preserve"> negatively correlated with chestnut-collared longspur density. </w:t>
      </w:r>
      <w:r w:rsidR="004432F0">
        <w:rPr>
          <w:rFonts w:ascii="Times New Roman" w:eastAsia="Cambria" w:hAnsi="Times New Roman" w:cs="Times New Roman"/>
          <w:sz w:val="24"/>
          <w:szCs w:val="24"/>
        </w:rPr>
        <w:t xml:space="preserve">Abundance of </w:t>
      </w:r>
      <w:r w:rsidRPr="00FF72F0">
        <w:rPr>
          <w:rFonts w:ascii="Times New Roman" w:eastAsia="Cambria" w:hAnsi="Times New Roman" w:cs="Times New Roman"/>
          <w:sz w:val="24"/>
          <w:szCs w:val="24"/>
        </w:rPr>
        <w:t xml:space="preserve">Savannah sparrows </w:t>
      </w:r>
      <w:r w:rsidR="004432F0">
        <w:rPr>
          <w:rFonts w:ascii="Times New Roman" w:eastAsia="Cambria" w:hAnsi="Times New Roman" w:cs="Times New Roman"/>
          <w:sz w:val="24"/>
          <w:szCs w:val="24"/>
        </w:rPr>
        <w:t>was</w:t>
      </w:r>
      <w:r w:rsidR="004432F0"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not correlated with availability of perches or roads; western meadowlarks were also not correlated with </w:t>
      </w:r>
      <w:r w:rsidR="004432F0">
        <w:rPr>
          <w:rFonts w:ascii="Times New Roman" w:eastAsia="Cambria" w:hAnsi="Times New Roman" w:cs="Times New Roman"/>
          <w:sz w:val="24"/>
          <w:szCs w:val="24"/>
        </w:rPr>
        <w:t>roads</w:t>
      </w:r>
      <w:r w:rsidRPr="00FF72F0">
        <w:rPr>
          <w:rFonts w:ascii="Times New Roman" w:eastAsia="Cambria" w:hAnsi="Times New Roman" w:cs="Times New Roman"/>
          <w:sz w:val="24"/>
          <w:szCs w:val="24"/>
        </w:rPr>
        <w:t>.</w:t>
      </w:r>
    </w:p>
    <w:p w14:paraId="6FD6337C" w14:textId="333D1758" w:rsidR="00FF72F0" w:rsidRDefault="00FF72F0" w:rsidP="00A24179">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Baird’s sparrow abundance was negatively correlated with percent cover of exotic vegetation within sites (</w:t>
      </w:r>
      <w:r w:rsidR="00E13D4F" w:rsidRPr="00FF72F0">
        <w:rPr>
          <w:rFonts w:ascii="Times New Roman" w:eastAsia="Cambria" w:hAnsi="Times New Roman" w:cs="Times New Roman"/>
          <w:sz w:val="24"/>
          <w:szCs w:val="24"/>
        </w:rPr>
        <w:t>Fi</w:t>
      </w:r>
      <w:r w:rsidR="00E13D4F">
        <w:rPr>
          <w:rFonts w:ascii="Times New Roman" w:eastAsia="Cambria" w:hAnsi="Times New Roman" w:cs="Times New Roman"/>
          <w:sz w:val="24"/>
          <w:szCs w:val="24"/>
        </w:rPr>
        <w:t>g.</w:t>
      </w:r>
      <w:r w:rsidR="00E13D4F" w:rsidRPr="00FF72F0">
        <w:rPr>
          <w:rFonts w:ascii="Times New Roman" w:eastAsia="Cambria" w:hAnsi="Times New Roman" w:cs="Times New Roman"/>
          <w:sz w:val="24"/>
          <w:szCs w:val="24"/>
        </w:rPr>
        <w:t xml:space="preserve"> </w:t>
      </w:r>
      <w:r w:rsidR="008F5BB3">
        <w:rPr>
          <w:rFonts w:ascii="Times New Roman" w:eastAsia="Cambria" w:hAnsi="Times New Roman" w:cs="Times New Roman"/>
          <w:sz w:val="24"/>
          <w:szCs w:val="24"/>
        </w:rPr>
        <w:t>5</w:t>
      </w:r>
      <w:r w:rsidRPr="00FF72F0">
        <w:rPr>
          <w:rFonts w:ascii="Times New Roman" w:eastAsia="Cambria" w:hAnsi="Times New Roman" w:cs="Times New Roman"/>
          <w:sz w:val="24"/>
          <w:szCs w:val="24"/>
        </w:rPr>
        <w:t xml:space="preserve">iv), whereas abundance of other species was independent of amount of exotic vegetation (Table 1). There was no effect of exotic vegetation on abundance or occurrence of birds at the hectare scale. </w:t>
      </w:r>
    </w:p>
    <w:p w14:paraId="078217AF" w14:textId="77777777" w:rsidR="006F6218" w:rsidRPr="00FF72F0" w:rsidRDefault="006F6218" w:rsidP="00A24179">
      <w:pPr>
        <w:spacing w:after="0" w:line="240" w:lineRule="auto"/>
        <w:ind w:firstLine="720"/>
        <w:rPr>
          <w:rFonts w:ascii="Times New Roman" w:eastAsia="Cambria" w:hAnsi="Times New Roman" w:cs="Times New Roman"/>
          <w:sz w:val="24"/>
          <w:szCs w:val="24"/>
        </w:rPr>
      </w:pPr>
    </w:p>
    <w:p w14:paraId="24D33CF6" w14:textId="4682A17E" w:rsidR="00C62D9B" w:rsidRPr="006F6218" w:rsidRDefault="006F6218" w:rsidP="000B2966">
      <w:pPr>
        <w:keepNext/>
        <w:keepLines/>
        <w:spacing w:after="0" w:line="240" w:lineRule="auto"/>
        <w:outlineLvl w:val="1"/>
        <w:rPr>
          <w:rFonts w:ascii="Times New Roman" w:eastAsia="MS Gothic" w:hAnsi="Times New Roman" w:cs="Times New Roman"/>
          <w:b/>
          <w:bCs/>
          <w:sz w:val="24"/>
          <w:szCs w:val="26"/>
        </w:rPr>
      </w:pPr>
      <w:bookmarkStart w:id="21" w:name="_Toc457468056"/>
      <w:r>
        <w:rPr>
          <w:rFonts w:ascii="Times New Roman" w:eastAsia="MS Gothic" w:hAnsi="Times New Roman" w:cs="Times New Roman"/>
          <w:b/>
          <w:bCs/>
          <w:sz w:val="24"/>
          <w:szCs w:val="26"/>
        </w:rPr>
        <w:t>4</w:t>
      </w:r>
      <w:r w:rsidR="00E13D4F">
        <w:rPr>
          <w:rFonts w:ascii="Times New Roman" w:eastAsia="MS Gothic" w:hAnsi="Times New Roman" w:cs="Times New Roman"/>
          <w:b/>
          <w:bCs/>
          <w:sz w:val="24"/>
          <w:szCs w:val="26"/>
        </w:rPr>
        <w:t>.</w:t>
      </w:r>
      <w:r>
        <w:rPr>
          <w:rFonts w:ascii="Times New Roman" w:eastAsia="MS Gothic" w:hAnsi="Times New Roman" w:cs="Times New Roman"/>
          <w:b/>
          <w:bCs/>
          <w:sz w:val="24"/>
          <w:szCs w:val="26"/>
        </w:rPr>
        <w:t xml:space="preserve"> </w:t>
      </w:r>
      <w:r w:rsidR="00FF72F0" w:rsidRPr="00FF72F0">
        <w:rPr>
          <w:rFonts w:ascii="Times New Roman" w:eastAsia="MS Gothic" w:hAnsi="Times New Roman" w:cs="Times New Roman"/>
          <w:b/>
          <w:bCs/>
          <w:sz w:val="24"/>
          <w:szCs w:val="26"/>
        </w:rPr>
        <w:t>Discussion</w:t>
      </w:r>
      <w:bookmarkStart w:id="22" w:name="_Toc297233602"/>
      <w:bookmarkEnd w:id="21"/>
    </w:p>
    <w:p w14:paraId="56D67F89" w14:textId="3F08B181" w:rsidR="00750F65" w:rsidRDefault="00750F65" w:rsidP="000B2966">
      <w:pPr>
        <w:spacing w:after="0" w:line="240" w:lineRule="auto"/>
        <w:rPr>
          <w:rFonts w:ascii="Times New Roman" w:eastAsia="Cambria" w:hAnsi="Times New Roman" w:cs="Times New Roman"/>
          <w:color w:val="000000"/>
          <w:sz w:val="24"/>
          <w:szCs w:val="24"/>
        </w:rPr>
      </w:pPr>
      <w:r>
        <w:rPr>
          <w:rFonts w:ascii="Times New Roman" w:eastAsia="Cambria" w:hAnsi="Times New Roman" w:cs="Times New Roman"/>
          <w:color w:val="000000"/>
          <w:sz w:val="24"/>
          <w:szCs w:val="24"/>
        </w:rPr>
        <w:tab/>
        <w:t xml:space="preserve">The mechanisms that explain effects of oil wells on grassland songbirds are not always intuitive. </w:t>
      </w:r>
      <w:r w:rsidR="00C653E2">
        <w:rPr>
          <w:rFonts w:ascii="Times New Roman" w:eastAsia="Cambria" w:hAnsi="Times New Roman" w:cs="Times New Roman"/>
          <w:color w:val="000000"/>
          <w:sz w:val="24"/>
          <w:szCs w:val="24"/>
        </w:rPr>
        <w:t xml:space="preserve">While many studies have emphasized the potential </w:t>
      </w:r>
      <w:r w:rsidR="00B05C37">
        <w:rPr>
          <w:rFonts w:ascii="Times New Roman" w:eastAsia="Cambria" w:hAnsi="Times New Roman" w:cs="Times New Roman"/>
          <w:color w:val="000000"/>
          <w:sz w:val="24"/>
          <w:szCs w:val="24"/>
        </w:rPr>
        <w:t xml:space="preserve">effects </w:t>
      </w:r>
      <w:r w:rsidR="00C653E2">
        <w:rPr>
          <w:rFonts w:ascii="Times New Roman" w:eastAsia="Cambria" w:hAnsi="Times New Roman" w:cs="Times New Roman"/>
          <w:color w:val="000000"/>
          <w:sz w:val="24"/>
          <w:szCs w:val="24"/>
        </w:rPr>
        <w:t>of anthropogenic noise (</w:t>
      </w:r>
      <w:r w:rsidR="00C15DA7">
        <w:rPr>
          <w:rFonts w:ascii="Times New Roman" w:eastAsia="Cambria" w:hAnsi="Times New Roman" w:cs="Times New Roman"/>
          <w:color w:val="000000"/>
          <w:sz w:val="24"/>
          <w:szCs w:val="24"/>
        </w:rPr>
        <w:t xml:space="preserve">e.g., </w:t>
      </w:r>
      <w:r w:rsidR="00A24179">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"DOI" : "10.1890/120183", "ISSN" : "1540-9295", "author" : [ { "dropping-particle" : "", "family" : "Francis", "given" : "Clinton D", "non-dropping-particle" : "", "parse-names" : false, "suffix" : "" }, { "dropping-particle" : "", "family" : "Barber", "given" : "Jesse R", "non-dropping-particle" : "", "parse-names" : false, "suffix" : "" } ], "container-title" : "Frontiers in Ecology and the Environment", "id" : "ITEM-1", "issue" : "6", "issued" : { "date-parts" : [ [ "2013", "8", "8" ] ] }, "page" : "305-313", "publisher" : "Ecological Society of America", "title" : "A framework for understanding noise impacts on wildlife: an urgent conservation priority", "type" : "article-journal", "volume" : "11" }, "uris" : [ "http://www.mendeley.com/documents/?uuid=9b22ca81-dff6-3c53-bb06-4368b5ba92d4" ] } ], "mendeley" : { "formattedCitation" : "(Francis and Barber, 2013)", "manualFormatting" : "Francis and Barber 2013)", "plainTextFormattedCitation" : "(Francis and Barber, 2013)", "previouslyFormattedCitation" : "(Francis and Barber, 2013)" }, "properties" : { "noteIndex" : 0 }, "schema" : "https://github.com/citation-style-language/schema/raw/master/csl-citation.json" }</w:instrText>
      </w:r>
      <w:r w:rsidR="00A24179">
        <w:rPr>
          <w:rFonts w:ascii="Times New Roman" w:eastAsia="Cambria" w:hAnsi="Times New Roman" w:cs="Times New Roman"/>
          <w:color w:val="000000"/>
          <w:sz w:val="24"/>
          <w:szCs w:val="24"/>
        </w:rPr>
        <w:fldChar w:fldCharType="separate"/>
      </w:r>
      <w:r w:rsidR="00A24179" w:rsidRPr="00A24179">
        <w:rPr>
          <w:rFonts w:ascii="Times New Roman" w:eastAsia="Cambria" w:hAnsi="Times New Roman" w:cs="Times New Roman"/>
          <w:noProof/>
          <w:color w:val="000000"/>
          <w:sz w:val="24"/>
          <w:szCs w:val="24"/>
        </w:rPr>
        <w:t>Francis and Barber</w:t>
      </w:r>
      <w:r w:rsidR="00E13D4F">
        <w:rPr>
          <w:rFonts w:ascii="Times New Roman" w:eastAsia="Cambria" w:hAnsi="Times New Roman" w:cs="Times New Roman"/>
          <w:noProof/>
          <w:color w:val="000000"/>
          <w:sz w:val="24"/>
          <w:szCs w:val="24"/>
        </w:rPr>
        <w:t>,</w:t>
      </w:r>
      <w:r w:rsidR="00A24179" w:rsidRPr="00A24179">
        <w:rPr>
          <w:rFonts w:ascii="Times New Roman" w:eastAsia="Cambria" w:hAnsi="Times New Roman" w:cs="Times New Roman"/>
          <w:noProof/>
          <w:color w:val="000000"/>
          <w:sz w:val="24"/>
          <w:szCs w:val="24"/>
        </w:rPr>
        <w:t xml:space="preserve"> 2013)</w:t>
      </w:r>
      <w:r w:rsidR="00A24179">
        <w:rPr>
          <w:rFonts w:ascii="Times New Roman" w:eastAsia="Cambria" w:hAnsi="Times New Roman" w:cs="Times New Roman"/>
          <w:color w:val="000000"/>
          <w:sz w:val="24"/>
          <w:szCs w:val="24"/>
        </w:rPr>
        <w:fldChar w:fldCharType="end"/>
      </w:r>
      <w:r w:rsidR="00E643BF">
        <w:rPr>
          <w:rFonts w:ascii="Times New Roman" w:eastAsia="Cambria" w:hAnsi="Times New Roman" w:cs="Times New Roman"/>
          <w:color w:val="000000"/>
          <w:sz w:val="24"/>
          <w:szCs w:val="24"/>
        </w:rPr>
        <w:t xml:space="preserve"> and </w:t>
      </w:r>
      <w:r w:rsidR="00C653E2">
        <w:rPr>
          <w:rFonts w:ascii="Times New Roman" w:eastAsia="Cambria" w:hAnsi="Times New Roman" w:cs="Times New Roman"/>
          <w:color w:val="000000"/>
          <w:sz w:val="24"/>
          <w:szCs w:val="24"/>
        </w:rPr>
        <w:t xml:space="preserve">traffic </w:t>
      </w:r>
      <w:r w:rsidR="00DF7940" w:rsidRPr="00FF72F0">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"author" : [ { "dropping-particle" : "", "family" : "Reijnen", "given" : "R.", "non-dropping-particle" : "", "parse-names" : false, "suffix" : "" }, { "dropping-particle" : "", "family" : "Foppen", "given" : "R.", "non-dropping-particle" : "", "parse-names" : false, "suffix" : "" }, { "dropping-particle" : "", "family" : "Meeuwsen", "given" : "H.", "non-dropping-particle" : "", "parse-names" : false, "suffix" : "" } ], "container-title" : "Biological Conservation", "id" : "ITEM-1", "issue" : "3", "issued" : { "date-parts" : [ [ "1996" ] ] }, "page" : "255-260", "title" : "The effects of traffic on the density of breeding birds in Dutch agricultural grasslands", "type" : "article-journal", "volume" : "75" }, "uris" : [ "http://www.mendeley.com/documents/?uuid=e7e54fd0-b1a8-4f73-8572-39cc1f62dbbc" ] } ], "mendeley" : { "formattedCitation" : "(Reijnen et al., 1996)", "manualFormatting" : "(e.g., Reijnen et al. 1996)", "plainTextFormattedCitation" : "(Reijnen et al., 1996)", "previouslyFormattedCitation" : "(Reijnen et al., 1996)" }, "properties" : { "noteIndex" : 0 }, "schema" : "https://github.com/citation-style-language/schema/raw/master/csl-citation.json" }</w:instrText>
      </w:r>
      <w:r w:rsidR="00DF7940" w:rsidRPr="00FF72F0">
        <w:rPr>
          <w:rFonts w:ascii="Times New Roman" w:eastAsia="Cambria" w:hAnsi="Times New Roman" w:cs="Times New Roman"/>
          <w:color w:val="000000"/>
          <w:sz w:val="24"/>
          <w:szCs w:val="24"/>
        </w:rPr>
        <w:fldChar w:fldCharType="separate"/>
      </w:r>
      <w:r w:rsidR="00E93EFF" w:rsidRPr="00E93EFF">
        <w:rPr>
          <w:rFonts w:ascii="Times New Roman" w:eastAsia="Cambria" w:hAnsi="Times New Roman" w:cs="Times New Roman"/>
          <w:noProof/>
          <w:color w:val="000000"/>
          <w:sz w:val="24"/>
          <w:szCs w:val="24"/>
        </w:rPr>
        <w:t>(</w:t>
      </w:r>
      <w:r w:rsidR="008F5BB3">
        <w:rPr>
          <w:rFonts w:ascii="Times New Roman" w:eastAsia="Cambria" w:hAnsi="Times New Roman" w:cs="Times New Roman"/>
          <w:noProof/>
          <w:color w:val="000000"/>
          <w:sz w:val="24"/>
          <w:szCs w:val="24"/>
        </w:rPr>
        <w:t xml:space="preserve">e.g., </w:t>
      </w:r>
      <w:r w:rsidR="00E93EFF" w:rsidRPr="00E93EFF">
        <w:rPr>
          <w:rFonts w:ascii="Times New Roman" w:eastAsia="Cambria" w:hAnsi="Times New Roman" w:cs="Times New Roman"/>
          <w:noProof/>
          <w:color w:val="000000"/>
          <w:sz w:val="24"/>
          <w:szCs w:val="24"/>
        </w:rPr>
        <w:t>Reijnen et al.</w:t>
      </w:r>
      <w:r w:rsidR="00E13D4F">
        <w:rPr>
          <w:rFonts w:ascii="Times New Roman" w:eastAsia="Cambria" w:hAnsi="Times New Roman" w:cs="Times New Roman"/>
          <w:noProof/>
          <w:color w:val="000000"/>
          <w:sz w:val="24"/>
          <w:szCs w:val="24"/>
        </w:rPr>
        <w:t>,</w:t>
      </w:r>
      <w:r w:rsidR="00E93EFF" w:rsidRPr="00E93EFF">
        <w:rPr>
          <w:rFonts w:ascii="Times New Roman" w:eastAsia="Cambria" w:hAnsi="Times New Roman" w:cs="Times New Roman"/>
          <w:noProof/>
          <w:color w:val="000000"/>
          <w:sz w:val="24"/>
          <w:szCs w:val="24"/>
        </w:rPr>
        <w:t xml:space="preserve"> 1996)</w:t>
      </w:r>
      <w:r w:rsidR="00DF7940" w:rsidRPr="00FF72F0">
        <w:rPr>
          <w:rFonts w:ascii="Times New Roman" w:eastAsia="Cambria" w:hAnsi="Times New Roman" w:cs="Times New Roman"/>
          <w:color w:val="000000"/>
          <w:sz w:val="24"/>
          <w:szCs w:val="24"/>
        </w:rPr>
        <w:fldChar w:fldCharType="end"/>
      </w:r>
      <w:r w:rsidR="00E643BF">
        <w:rPr>
          <w:rFonts w:ascii="Times New Roman" w:eastAsia="Cambria" w:hAnsi="Times New Roman" w:cs="Times New Roman"/>
          <w:color w:val="000000"/>
          <w:sz w:val="24"/>
          <w:szCs w:val="24"/>
        </w:rPr>
        <w:t xml:space="preserve"> </w:t>
      </w:r>
      <w:r w:rsidR="002351DC">
        <w:rPr>
          <w:rFonts w:ascii="Times New Roman" w:eastAsia="Cambria" w:hAnsi="Times New Roman" w:cs="Times New Roman"/>
          <w:color w:val="000000"/>
          <w:sz w:val="24"/>
          <w:szCs w:val="24"/>
        </w:rPr>
        <w:t xml:space="preserve">on birds, we found that none of these factors explained effects of oil wells on grassland songbirds. Further, the taller pumpjacks </w:t>
      </w:r>
      <w:r w:rsidR="002351DC">
        <w:rPr>
          <w:rFonts w:ascii="Times New Roman" w:eastAsia="Cambria" w:hAnsi="Times New Roman" w:cs="Times New Roman"/>
          <w:color w:val="000000"/>
          <w:sz w:val="24"/>
          <w:szCs w:val="24"/>
        </w:rPr>
        <w:lastRenderedPageBreak/>
        <w:t xml:space="preserve">did not have a greater </w:t>
      </w:r>
      <w:r w:rsidR="00B05C37">
        <w:rPr>
          <w:rFonts w:ascii="Times New Roman" w:eastAsia="Cambria" w:hAnsi="Times New Roman" w:cs="Times New Roman"/>
          <w:color w:val="000000"/>
          <w:sz w:val="24"/>
          <w:szCs w:val="24"/>
        </w:rPr>
        <w:t xml:space="preserve">effect </w:t>
      </w:r>
      <w:r w:rsidR="002351DC">
        <w:rPr>
          <w:rFonts w:ascii="Times New Roman" w:eastAsia="Cambria" w:hAnsi="Times New Roman" w:cs="Times New Roman"/>
          <w:color w:val="000000"/>
          <w:sz w:val="24"/>
          <w:szCs w:val="24"/>
        </w:rPr>
        <w:t xml:space="preserve">than screw pumps. Instead, effects of wells were caused by the physical footprint of infrastructure and </w:t>
      </w:r>
      <w:r w:rsidR="00DF7940">
        <w:rPr>
          <w:rFonts w:ascii="Times New Roman" w:eastAsia="Cambria" w:hAnsi="Times New Roman" w:cs="Times New Roman"/>
          <w:color w:val="000000"/>
          <w:sz w:val="24"/>
          <w:szCs w:val="24"/>
        </w:rPr>
        <w:t>were</w:t>
      </w:r>
      <w:r w:rsidR="002351DC">
        <w:rPr>
          <w:rFonts w:ascii="Times New Roman" w:eastAsia="Cambria" w:hAnsi="Times New Roman" w:cs="Times New Roman"/>
          <w:color w:val="000000"/>
          <w:sz w:val="24"/>
          <w:szCs w:val="24"/>
        </w:rPr>
        <w:t xml:space="preserve"> exacerbated by the presence of linear features such as perch sites and roads. Consistent with this result, we </w:t>
      </w:r>
      <w:r w:rsidR="00DF7940">
        <w:rPr>
          <w:rFonts w:ascii="Times New Roman" w:eastAsia="Cambria" w:hAnsi="Times New Roman" w:cs="Times New Roman"/>
          <w:color w:val="000000"/>
          <w:sz w:val="24"/>
          <w:szCs w:val="24"/>
        </w:rPr>
        <w:t>demonstrate elsewhere</w:t>
      </w:r>
      <w:r w:rsidR="002351DC">
        <w:rPr>
          <w:rFonts w:ascii="Times New Roman" w:eastAsia="Cambria" w:hAnsi="Times New Roman" w:cs="Times New Roman"/>
          <w:color w:val="000000"/>
          <w:sz w:val="24"/>
          <w:szCs w:val="24"/>
        </w:rPr>
        <w:t xml:space="preserve"> that effects of oil wells on nesting success of grassland songbirds are caused by the presence of infrastructure, not noise or traffic (Bernath-Plaisted and Koper</w:t>
      </w:r>
      <w:r w:rsidR="00E13D4F">
        <w:rPr>
          <w:rFonts w:ascii="Times New Roman" w:eastAsia="Cambria" w:hAnsi="Times New Roman" w:cs="Times New Roman"/>
          <w:color w:val="000000"/>
          <w:sz w:val="24"/>
          <w:szCs w:val="24"/>
        </w:rPr>
        <w:t>,</w:t>
      </w:r>
      <w:r w:rsidR="002351DC">
        <w:rPr>
          <w:rFonts w:ascii="Times New Roman" w:eastAsia="Cambria" w:hAnsi="Times New Roman" w:cs="Times New Roman"/>
          <w:color w:val="000000"/>
          <w:sz w:val="24"/>
          <w:szCs w:val="24"/>
        </w:rPr>
        <w:t xml:space="preserve"> 201</w:t>
      </w:r>
      <w:r w:rsidR="00924FEF">
        <w:rPr>
          <w:rFonts w:ascii="Times New Roman" w:eastAsia="Cambria" w:hAnsi="Times New Roman" w:cs="Times New Roman"/>
          <w:color w:val="000000"/>
          <w:sz w:val="24"/>
          <w:szCs w:val="24"/>
        </w:rPr>
        <w:t>6</w:t>
      </w:r>
      <w:r w:rsidR="002351DC">
        <w:rPr>
          <w:rFonts w:ascii="Times New Roman" w:eastAsia="Cambria" w:hAnsi="Times New Roman" w:cs="Times New Roman"/>
          <w:color w:val="000000"/>
          <w:sz w:val="24"/>
          <w:szCs w:val="24"/>
        </w:rPr>
        <w:t xml:space="preserve">). This has clear implications for conservation. Reducing noise and human activity around wells, or switching between pumpjacks and screw pumps, would be unlikely to benefit the grassland songbirds we studied. </w:t>
      </w:r>
      <w:r w:rsidR="00411AFB">
        <w:rPr>
          <w:rFonts w:ascii="Times New Roman" w:eastAsia="Cambria" w:hAnsi="Times New Roman" w:cs="Times New Roman"/>
          <w:color w:val="000000"/>
          <w:sz w:val="24"/>
          <w:szCs w:val="24"/>
        </w:rPr>
        <w:t xml:space="preserve">Instead, minimizing perch sites, the presence of above-ground infrastructure, and roads by clustering well heads on existing well pads is necessary to reduce </w:t>
      </w:r>
      <w:r w:rsidR="00B05C37">
        <w:rPr>
          <w:rFonts w:ascii="Times New Roman" w:eastAsia="Cambria" w:hAnsi="Times New Roman" w:cs="Times New Roman"/>
          <w:color w:val="000000"/>
          <w:sz w:val="24"/>
          <w:szCs w:val="24"/>
        </w:rPr>
        <w:t xml:space="preserve">effects </w:t>
      </w:r>
      <w:r w:rsidR="00411AFB">
        <w:rPr>
          <w:rFonts w:ascii="Times New Roman" w:eastAsia="Cambria" w:hAnsi="Times New Roman" w:cs="Times New Roman"/>
          <w:color w:val="000000"/>
          <w:sz w:val="24"/>
          <w:szCs w:val="24"/>
        </w:rPr>
        <w:t xml:space="preserve">of the oil industry. </w:t>
      </w:r>
    </w:p>
    <w:p w14:paraId="7DE78042" w14:textId="3318867B" w:rsidR="00750F65" w:rsidRDefault="00FF72F0" w:rsidP="000B2966">
      <w:pPr>
        <w:spacing w:after="0" w:line="240" w:lineRule="auto"/>
        <w:ind w:firstLine="720"/>
        <w:rPr>
          <w:rFonts w:ascii="Times New Roman" w:eastAsia="Cambria" w:hAnsi="Times New Roman" w:cs="Times New Roman"/>
          <w:color w:val="000000"/>
          <w:sz w:val="24"/>
          <w:szCs w:val="24"/>
        </w:rPr>
      </w:pPr>
      <w:r w:rsidRPr="00FF72F0">
        <w:rPr>
          <w:rFonts w:ascii="Times New Roman" w:eastAsia="Cambria" w:hAnsi="Times New Roman" w:cs="Times New Roman"/>
          <w:color w:val="000000"/>
          <w:sz w:val="24"/>
          <w:szCs w:val="24"/>
        </w:rPr>
        <w:t>While Sprague’s pipits and Baird’s sparrows</w:t>
      </w:r>
      <w:r w:rsidR="007B4BD3">
        <w:rPr>
          <w:rFonts w:ascii="Times New Roman" w:eastAsia="Cambria" w:hAnsi="Times New Roman" w:cs="Times New Roman"/>
          <w:color w:val="000000"/>
          <w:sz w:val="24"/>
          <w:szCs w:val="24"/>
        </w:rPr>
        <w:t xml:space="preserve"> were found at lower </w:t>
      </w:r>
      <w:r w:rsidR="00B35479">
        <w:rPr>
          <w:rFonts w:ascii="Times New Roman" w:eastAsia="Cambria" w:hAnsi="Times New Roman" w:cs="Times New Roman"/>
          <w:color w:val="000000"/>
          <w:sz w:val="24"/>
          <w:szCs w:val="24"/>
        </w:rPr>
        <w:t>abundances across well sites</w:t>
      </w:r>
      <w:r w:rsidR="00C62D9B">
        <w:rPr>
          <w:rFonts w:ascii="Times New Roman" w:eastAsia="Cambria" w:hAnsi="Times New Roman" w:cs="Times New Roman"/>
          <w:color w:val="000000"/>
          <w:sz w:val="24"/>
          <w:szCs w:val="24"/>
        </w:rPr>
        <w:t xml:space="preserve"> (see also Thompson et al.</w:t>
      </w:r>
      <w:r w:rsidR="00E13D4F">
        <w:rPr>
          <w:rFonts w:ascii="Times New Roman" w:eastAsia="Cambria" w:hAnsi="Times New Roman" w:cs="Times New Roman"/>
          <w:color w:val="000000"/>
          <w:sz w:val="24"/>
          <w:szCs w:val="24"/>
        </w:rPr>
        <w:t>,</w:t>
      </w:r>
      <w:r w:rsidR="00C62D9B">
        <w:rPr>
          <w:rFonts w:ascii="Times New Roman" w:eastAsia="Cambria" w:hAnsi="Times New Roman" w:cs="Times New Roman"/>
          <w:color w:val="000000"/>
          <w:sz w:val="24"/>
          <w:szCs w:val="24"/>
        </w:rPr>
        <w:t xml:space="preserve"> 2015)</w:t>
      </w:r>
      <w:r w:rsidRPr="00FF72F0">
        <w:rPr>
          <w:rFonts w:ascii="Times New Roman" w:eastAsia="Cambria" w:hAnsi="Times New Roman" w:cs="Times New Roman"/>
          <w:color w:val="000000"/>
          <w:sz w:val="24"/>
          <w:szCs w:val="24"/>
        </w:rPr>
        <w:t xml:space="preserve">, occurrence of chestnut-collared longspur, another grassland obligate, was independent of the presence of or distance to wells. </w:t>
      </w:r>
      <w:r w:rsidR="00C62D9B">
        <w:rPr>
          <w:rFonts w:ascii="Times New Roman" w:eastAsia="Cambria" w:hAnsi="Times New Roman" w:cs="Times New Roman"/>
          <w:color w:val="000000"/>
          <w:sz w:val="24"/>
          <w:szCs w:val="24"/>
        </w:rPr>
        <w:t xml:space="preserve">This result is inconsistent with those of </w:t>
      </w:r>
      <w:r w:rsidRPr="00FF72F0">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"DOI" : "10.1016/j.biocon.2015.08.040", "ISSN" : "00063207", "abstract" : "Oil development in the Bakken shale region has increased rapidly as a result of new technologies and strong demand for fossil fuel. This region also supports a particularly high density and diversity of grassland bird species, which are declining across North America. We examined grassland bird response to unconventional oil extraction sites (i.e. developed with hydraulic fracturing and horizontal drilling techniques) and associated roads in North Dakota. Our goal was to quantify the amount of habitat that was indirectly degraded by oil development, as evidenced by patterns of avoidance by birds. Grassland birds avoided areas within 150. m of roads (95% CI: 87-214. m), 267. m of single-bore well pads (95% CI: 157-378. m), and 150. m of multi-bore well pads (95% CI: 67-233. m). Individual species demonstrated variable tolerance of well pads. Clay-colored sparrows (Spizella pallida) were tolerant of oil-related infrastructure, whereas Sprague's pipit (Anthus spragueii) avoided areas within 350. m (95% CI: 215-485. m) of single-bore well pads. Given these density patterns around oil wells, the potential footprint of any individual oil well, and oil development across the region, is greatly multiplied for sensitive species. Efforts to reduce new road construction, concentrate wells along developed corridors, combine numerous wells on multi-bore pads rather than build many single-bore wells, and to place well pads near existing roads will serve to minimize loss of suitable habitat for birds. Quantifying environmental degradation caused by oil development is a critical step in understanding how to better mitigate harm to wildlife populations.", "author" : [ { "dropping-particle" : "", "family" : "Thompson", "given" : "Sarah J.", "non-dropping-particle" : "", "parse-names" : false, "suffix" : "" }, { "dropping-particle" : "", "family" : "Johnson", "given" : "Douglas H.", "non-dropping-particle" : "", "parse-names" : false, "suffix" : "" }, { "dropping-particle" : "", "family" : "Niemuth", "given" : "Neal D.", "non-dropping-particle" : "", "parse-names" : false, "suffix" : "" }, { "dropping-particle" : "", "family" : "Ribic", "given" : "Christine a.", "non-dropping-particle" : "", "parse-names" : false, "suffix" : "" } ], "container-title" : "Biological Conservation", "id" : "ITEM-1", "issued" : { "date-parts" : [ [ "2015" ] ] }, "page" : "82-90", "publisher" : "Elsevier B.V.", "title" : "Avoidance of unconventional oil wells and roads exacerbates habitat loss for grassland birds in the North American great plains", "type" : "article-journal", "volume" : "192" }, "uris" : [ "http://www.mendeley.com/documents/?uuid=d4da7e28-e856-43db-bc72-9b74d791be87" ] }, { "id" : "ITEM-2", "itemData" : { "author" : [ { "dropping-particle" : "", "family" : "Linnen", "given" : "Cory", "non-dropping-particle" : "", "parse-names" : false, "suffix" : "" } ], "id" : "ITEM-2", "issued" : { "date-parts" : [ [ "2008" ] ] }, "publisher-place" : "Saskatoon, Saskatchewan, Canada", "title" : "Effects of oil and gas development on grassland birds", "type" : "report" }, "uris" : [ "http://www.mendeley.com/documents/?uuid=0c8a0c29-3c05-4a73-9c23-5995b1747fa3" ] } ], "mendeley" : { "formattedCitation" : "(Linnen, 2008; Thompson et al., 2015)", "manualFormatting" : "Thompson et al. (2015)", "plainTextFormattedCitation" : "(Linnen, 2008; Thompson et al., 2015)", "previouslyFormattedCitation" : "(Linnen, 2008; Thompson et al., 2015)" }, "properties" : { "noteIndex" : 0 }, "schema" : "https://github.com/citation-style-language/schema/raw/master/csl-citation.json" }</w:instrText>
      </w:r>
      <w:r w:rsidRPr="00FF72F0">
        <w:rPr>
          <w:rFonts w:ascii="Times New Roman" w:eastAsia="Cambria" w:hAnsi="Times New Roman" w:cs="Times New Roman"/>
          <w:color w:val="000000"/>
          <w:sz w:val="24"/>
          <w:szCs w:val="24"/>
        </w:rPr>
        <w:fldChar w:fldCharType="separate"/>
      </w:r>
      <w:r w:rsidRPr="00FF72F0">
        <w:rPr>
          <w:rFonts w:ascii="Times New Roman" w:eastAsia="Cambria" w:hAnsi="Times New Roman" w:cs="Times New Roman"/>
          <w:noProof/>
          <w:color w:val="000000"/>
          <w:sz w:val="24"/>
          <w:szCs w:val="24"/>
        </w:rPr>
        <w:t xml:space="preserve">Thompson et al. </w:t>
      </w:r>
      <w:r w:rsidR="00C62D9B">
        <w:rPr>
          <w:rFonts w:ascii="Times New Roman" w:eastAsia="Cambria" w:hAnsi="Times New Roman" w:cs="Times New Roman"/>
          <w:noProof/>
          <w:color w:val="000000"/>
          <w:sz w:val="24"/>
          <w:szCs w:val="24"/>
        </w:rPr>
        <w:t>(</w:t>
      </w:r>
      <w:r w:rsidRPr="00FF72F0">
        <w:rPr>
          <w:rFonts w:ascii="Times New Roman" w:eastAsia="Cambria" w:hAnsi="Times New Roman" w:cs="Times New Roman"/>
          <w:noProof/>
          <w:color w:val="000000"/>
          <w:sz w:val="24"/>
          <w:szCs w:val="24"/>
        </w:rPr>
        <w:t>2015)</w:t>
      </w:r>
      <w:r w:rsidRPr="00FF72F0">
        <w:rPr>
          <w:rFonts w:ascii="Times New Roman" w:eastAsia="Cambria" w:hAnsi="Times New Roman" w:cs="Times New Roman"/>
          <w:color w:val="000000"/>
          <w:sz w:val="24"/>
          <w:szCs w:val="24"/>
        </w:rPr>
        <w:fldChar w:fldCharType="end"/>
      </w:r>
      <w:r w:rsidR="00C62D9B">
        <w:rPr>
          <w:rFonts w:ascii="Times New Roman" w:eastAsia="Cambria" w:hAnsi="Times New Roman" w:cs="Times New Roman"/>
          <w:color w:val="000000"/>
          <w:sz w:val="24"/>
          <w:szCs w:val="24"/>
        </w:rPr>
        <w:t>, who found negative effects of wells on both chestnut-collared longspurs</w:t>
      </w:r>
      <w:r w:rsidRPr="00FF72F0">
        <w:rPr>
          <w:rFonts w:ascii="Times New Roman" w:eastAsia="Cambria" w:hAnsi="Times New Roman" w:cs="Times New Roman"/>
          <w:color w:val="000000"/>
          <w:sz w:val="24"/>
          <w:szCs w:val="24"/>
        </w:rPr>
        <w:t xml:space="preserve"> and Savannah sparrows.</w:t>
      </w:r>
      <w:r w:rsidR="00C62D9B">
        <w:rPr>
          <w:rFonts w:ascii="Times New Roman" w:eastAsia="Cambria" w:hAnsi="Times New Roman" w:cs="Times New Roman"/>
          <w:color w:val="000000"/>
          <w:sz w:val="24"/>
          <w:szCs w:val="24"/>
        </w:rPr>
        <w:t xml:space="preserve"> This discrepancy might be because</w:t>
      </w:r>
      <w:r w:rsidRPr="00FF72F0">
        <w:rPr>
          <w:rFonts w:ascii="Times New Roman" w:eastAsia="Cambria" w:hAnsi="Times New Roman" w:cs="Times New Roman"/>
          <w:color w:val="000000"/>
          <w:sz w:val="24"/>
          <w:szCs w:val="24"/>
        </w:rPr>
        <w:t xml:space="preserve"> Thompson et al. (2015)</w:t>
      </w:r>
      <w:r w:rsidR="00C62D9B">
        <w:rPr>
          <w:rFonts w:ascii="Times New Roman" w:eastAsia="Cambria" w:hAnsi="Times New Roman" w:cs="Times New Roman"/>
          <w:color w:val="000000"/>
          <w:sz w:val="24"/>
          <w:szCs w:val="24"/>
        </w:rPr>
        <w:t xml:space="preserve"> studied un</w:t>
      </w:r>
      <w:r w:rsidRPr="00FF72F0">
        <w:rPr>
          <w:rFonts w:ascii="Times New Roman" w:eastAsia="Cambria" w:hAnsi="Times New Roman" w:cs="Times New Roman"/>
          <w:color w:val="000000"/>
          <w:sz w:val="24"/>
          <w:szCs w:val="24"/>
        </w:rPr>
        <w:t>conventional oil wells</w:t>
      </w:r>
      <w:r w:rsidR="00C62D9B">
        <w:rPr>
          <w:rFonts w:ascii="Times New Roman" w:eastAsia="Cambria" w:hAnsi="Times New Roman" w:cs="Times New Roman"/>
          <w:color w:val="000000"/>
          <w:sz w:val="24"/>
          <w:szCs w:val="24"/>
        </w:rPr>
        <w:t xml:space="preserve">, which </w:t>
      </w:r>
      <w:r w:rsidR="00DF7940">
        <w:rPr>
          <w:rFonts w:ascii="Times New Roman" w:eastAsia="Cambria" w:hAnsi="Times New Roman" w:cs="Times New Roman"/>
          <w:color w:val="000000"/>
          <w:sz w:val="24"/>
          <w:szCs w:val="24"/>
        </w:rPr>
        <w:t xml:space="preserve">often </w:t>
      </w:r>
      <w:r w:rsidR="00C62D9B">
        <w:rPr>
          <w:rFonts w:ascii="Times New Roman" w:eastAsia="Cambria" w:hAnsi="Times New Roman" w:cs="Times New Roman"/>
          <w:color w:val="000000"/>
          <w:sz w:val="24"/>
          <w:szCs w:val="24"/>
        </w:rPr>
        <w:t>have</w:t>
      </w:r>
      <w:r w:rsidRPr="00FF72F0">
        <w:rPr>
          <w:rFonts w:ascii="Times New Roman" w:eastAsia="Cambria" w:hAnsi="Times New Roman" w:cs="Times New Roman"/>
          <w:color w:val="000000"/>
          <w:sz w:val="24"/>
          <w:szCs w:val="24"/>
        </w:rPr>
        <w:t xml:space="preserve"> additional infrastructure such as natural gas flares</w:t>
      </w:r>
      <w:r w:rsidR="00DF7940">
        <w:rPr>
          <w:rFonts w:ascii="Times New Roman" w:eastAsia="Cambria" w:hAnsi="Times New Roman" w:cs="Times New Roman"/>
          <w:color w:val="000000"/>
          <w:sz w:val="24"/>
          <w:szCs w:val="24"/>
        </w:rPr>
        <w:t>,</w:t>
      </w:r>
      <w:r w:rsidR="00C62D9B">
        <w:rPr>
          <w:rFonts w:ascii="Times New Roman" w:eastAsia="Cambria" w:hAnsi="Times New Roman" w:cs="Times New Roman"/>
          <w:color w:val="000000"/>
          <w:sz w:val="24"/>
          <w:szCs w:val="24"/>
        </w:rPr>
        <w:t xml:space="preserve"> and</w:t>
      </w:r>
      <w:r w:rsidR="0095560F">
        <w:rPr>
          <w:rFonts w:ascii="Times New Roman" w:eastAsia="Cambria" w:hAnsi="Times New Roman" w:cs="Times New Roman"/>
          <w:color w:val="000000"/>
          <w:sz w:val="24"/>
          <w:szCs w:val="24"/>
        </w:rPr>
        <w:t xml:space="preserve"> also have</w:t>
      </w:r>
      <w:r w:rsidRPr="00FF72F0">
        <w:rPr>
          <w:rFonts w:ascii="Times New Roman" w:eastAsia="Cambria" w:hAnsi="Times New Roman" w:cs="Times New Roman"/>
          <w:color w:val="000000"/>
          <w:sz w:val="24"/>
          <w:szCs w:val="24"/>
        </w:rPr>
        <w:t xml:space="preserve"> a larger footprint. Ludlow et al. (2015) also found a negative effect of </w:t>
      </w:r>
      <w:r w:rsidR="00750F65">
        <w:rPr>
          <w:rFonts w:ascii="Times New Roman" w:eastAsia="Cambria" w:hAnsi="Times New Roman" w:cs="Times New Roman"/>
          <w:color w:val="000000"/>
          <w:sz w:val="24"/>
          <w:szCs w:val="24"/>
        </w:rPr>
        <w:t xml:space="preserve">natural gas and oil </w:t>
      </w:r>
      <w:r w:rsidRPr="00FF72F0">
        <w:rPr>
          <w:rFonts w:ascii="Times New Roman" w:eastAsia="Cambria" w:hAnsi="Times New Roman" w:cs="Times New Roman"/>
          <w:color w:val="000000"/>
          <w:sz w:val="24"/>
          <w:szCs w:val="24"/>
        </w:rPr>
        <w:t>wells on Sprague’s pipits and Baird’s sparrows, although they concluded that the lower abundances were due to the high presence of crested wheatgrass around the wells in their study area, rather than the presence of wells per se.</w:t>
      </w:r>
      <w:r w:rsidR="005C7F49">
        <w:rPr>
          <w:rFonts w:ascii="Times New Roman" w:eastAsia="Cambria" w:hAnsi="Times New Roman" w:cs="Times New Roman"/>
          <w:color w:val="000000"/>
          <w:sz w:val="24"/>
          <w:szCs w:val="24"/>
        </w:rPr>
        <w:t xml:space="preserve"> </w:t>
      </w:r>
      <w:r w:rsidRPr="00FF72F0">
        <w:rPr>
          <w:rFonts w:ascii="Times New Roman" w:eastAsia="Cambria" w:hAnsi="Times New Roman" w:cs="Times New Roman"/>
          <w:color w:val="000000"/>
          <w:sz w:val="24"/>
          <w:szCs w:val="24"/>
        </w:rPr>
        <w:t xml:space="preserve"> </w:t>
      </w:r>
    </w:p>
    <w:p w14:paraId="35306DD8" w14:textId="5DFB4DFF" w:rsidR="00FF72F0" w:rsidRPr="00FF72F0" w:rsidRDefault="00CD752B" w:rsidP="000B2966">
      <w:pPr>
        <w:spacing w:after="0" w:line="240" w:lineRule="auto"/>
        <w:ind w:firstLine="720"/>
        <w:rPr>
          <w:rFonts w:ascii="Times New Roman" w:eastAsia="Cambria" w:hAnsi="Times New Roman" w:cs="Times New Roman"/>
          <w:color w:val="000000"/>
          <w:sz w:val="24"/>
          <w:szCs w:val="24"/>
        </w:rPr>
      </w:pPr>
      <w:r>
        <w:rPr>
          <w:rFonts w:ascii="Times New Roman" w:eastAsia="Cambria" w:hAnsi="Times New Roman" w:cs="Times New Roman"/>
          <w:color w:val="000000"/>
          <w:sz w:val="24"/>
          <w:szCs w:val="24"/>
        </w:rPr>
        <w:t xml:space="preserve">The presence of </w:t>
      </w:r>
      <w:r w:rsidR="00FF72F0" w:rsidRPr="00FF72F0">
        <w:rPr>
          <w:rFonts w:ascii="Times New Roman" w:eastAsia="Cambria" w:hAnsi="Times New Roman" w:cs="Times New Roman"/>
          <w:color w:val="000000"/>
          <w:sz w:val="24"/>
          <w:szCs w:val="24"/>
        </w:rPr>
        <w:t>anthropogenic perch</w:t>
      </w:r>
      <w:r>
        <w:rPr>
          <w:rFonts w:ascii="Times New Roman" w:eastAsia="Cambria" w:hAnsi="Times New Roman" w:cs="Times New Roman"/>
          <w:color w:val="000000"/>
          <w:sz w:val="24"/>
          <w:szCs w:val="24"/>
        </w:rPr>
        <w:t xml:space="preserve"> sites </w:t>
      </w:r>
      <w:r w:rsidR="00B67032">
        <w:rPr>
          <w:rFonts w:ascii="Times New Roman" w:eastAsia="Cambria" w:hAnsi="Times New Roman" w:cs="Times New Roman"/>
          <w:color w:val="000000"/>
          <w:sz w:val="24"/>
          <w:szCs w:val="24"/>
        </w:rPr>
        <w:t>effected several species.</w:t>
      </w:r>
      <w:r w:rsidR="00FF72F0" w:rsidRPr="00FF72F0">
        <w:rPr>
          <w:rFonts w:ascii="Times New Roman" w:eastAsia="Cambria" w:hAnsi="Times New Roman" w:cs="Times New Roman"/>
          <w:color w:val="000000"/>
          <w:sz w:val="24"/>
          <w:szCs w:val="24"/>
        </w:rPr>
        <w:t xml:space="preserve"> This is consistent with previous studies that have shown that </w:t>
      </w:r>
      <w:r>
        <w:rPr>
          <w:rFonts w:ascii="Times New Roman" w:eastAsia="Cambria" w:hAnsi="Times New Roman" w:cs="Times New Roman"/>
          <w:color w:val="000000"/>
          <w:sz w:val="24"/>
          <w:szCs w:val="24"/>
        </w:rPr>
        <w:t>Baird’s sparrows and Sprague’s pipits</w:t>
      </w:r>
      <w:r w:rsidR="00FF72F0" w:rsidRPr="00FF72F0">
        <w:rPr>
          <w:rFonts w:ascii="Times New Roman" w:eastAsia="Cambria" w:hAnsi="Times New Roman" w:cs="Times New Roman"/>
          <w:color w:val="000000"/>
          <w:sz w:val="24"/>
          <w:szCs w:val="24"/>
        </w:rPr>
        <w:t xml:space="preserve"> </w:t>
      </w:r>
      <w:r>
        <w:rPr>
          <w:rFonts w:ascii="Times New Roman" w:eastAsia="Cambria" w:hAnsi="Times New Roman" w:cs="Times New Roman"/>
          <w:color w:val="000000"/>
          <w:sz w:val="24"/>
          <w:szCs w:val="24"/>
        </w:rPr>
        <w:t>are</w:t>
      </w:r>
      <w:r w:rsidR="00FF72F0" w:rsidRPr="00FF72F0">
        <w:rPr>
          <w:rFonts w:ascii="Times New Roman" w:eastAsia="Cambria" w:hAnsi="Times New Roman" w:cs="Times New Roman"/>
          <w:color w:val="000000"/>
          <w:sz w:val="24"/>
          <w:szCs w:val="24"/>
        </w:rPr>
        <w:t xml:space="preserve"> negatively affected by vertical structures</w:t>
      </w:r>
      <w:r w:rsidR="00FD4A10">
        <w:rPr>
          <w:rFonts w:ascii="Times New Roman" w:eastAsia="Cambria" w:hAnsi="Times New Roman" w:cs="Times New Roman"/>
          <w:color w:val="000000"/>
          <w:sz w:val="24"/>
          <w:szCs w:val="24"/>
        </w:rPr>
        <w:t xml:space="preserve"> emerging from the relatively planar prairie environment</w:t>
      </w:r>
      <w:r w:rsidR="00FF72F0" w:rsidRPr="00FF72F0">
        <w:rPr>
          <w:rFonts w:ascii="Times New Roman" w:eastAsia="Cambria" w:hAnsi="Times New Roman" w:cs="Times New Roman"/>
          <w:color w:val="000000"/>
          <w:sz w:val="24"/>
          <w:szCs w:val="24"/>
        </w:rPr>
        <w:t>, such as natural gas wells</w:t>
      </w:r>
      <w:r w:rsidR="009C7671">
        <w:rPr>
          <w:rFonts w:ascii="Times New Roman" w:eastAsia="Cambria" w:hAnsi="Times New Roman" w:cs="Times New Roman"/>
          <w:color w:val="000000"/>
          <w:sz w:val="24"/>
          <w:szCs w:val="24"/>
        </w:rPr>
        <w:t xml:space="preserve">, while Savannah sparrows </w:t>
      </w:r>
      <w:r w:rsidR="00B35479">
        <w:rPr>
          <w:rFonts w:ascii="Times New Roman" w:eastAsia="Cambria" w:hAnsi="Times New Roman" w:cs="Times New Roman"/>
          <w:color w:val="000000"/>
          <w:sz w:val="24"/>
          <w:szCs w:val="24"/>
        </w:rPr>
        <w:t xml:space="preserve">were more likely to use </w:t>
      </w:r>
      <w:r w:rsidR="009C7671">
        <w:rPr>
          <w:rFonts w:ascii="Times New Roman" w:eastAsia="Cambria" w:hAnsi="Times New Roman" w:cs="Times New Roman"/>
          <w:color w:val="000000"/>
          <w:sz w:val="24"/>
          <w:szCs w:val="24"/>
        </w:rPr>
        <w:t xml:space="preserve">sites with </w:t>
      </w:r>
      <w:r w:rsidR="00FD4A10">
        <w:rPr>
          <w:rFonts w:ascii="Times New Roman" w:eastAsia="Cambria" w:hAnsi="Times New Roman" w:cs="Times New Roman"/>
          <w:color w:val="000000"/>
          <w:sz w:val="24"/>
          <w:szCs w:val="24"/>
        </w:rPr>
        <w:t>more vertical structures</w:t>
      </w:r>
      <w:r w:rsidR="00FF72F0" w:rsidRPr="00FF72F0">
        <w:rPr>
          <w:rFonts w:ascii="Times New Roman" w:eastAsia="Cambria" w:hAnsi="Times New Roman" w:cs="Times New Roman"/>
          <w:color w:val="000000"/>
          <w:sz w:val="24"/>
          <w:szCs w:val="24"/>
        </w:rPr>
        <w:t xml:space="preserve"> (Dale et al.</w:t>
      </w:r>
      <w:r w:rsidR="00E13D4F">
        <w:rPr>
          <w:rFonts w:ascii="Times New Roman" w:eastAsia="Cambria" w:hAnsi="Times New Roman" w:cs="Times New Roman"/>
          <w:color w:val="000000"/>
          <w:sz w:val="24"/>
          <w:szCs w:val="24"/>
        </w:rPr>
        <w:t>,</w:t>
      </w:r>
      <w:r w:rsidR="00FF72F0" w:rsidRPr="00FF72F0">
        <w:rPr>
          <w:rFonts w:ascii="Times New Roman" w:eastAsia="Cambria" w:hAnsi="Times New Roman" w:cs="Times New Roman"/>
          <w:color w:val="000000"/>
          <w:sz w:val="24"/>
          <w:szCs w:val="24"/>
        </w:rPr>
        <w:t xml:space="preserve"> 2009</w:t>
      </w:r>
      <w:r w:rsidR="00E13D4F">
        <w:rPr>
          <w:rFonts w:ascii="Times New Roman" w:eastAsia="Cambria" w:hAnsi="Times New Roman" w:cs="Times New Roman"/>
          <w:color w:val="000000"/>
          <w:sz w:val="24"/>
          <w:szCs w:val="24"/>
        </w:rPr>
        <w:t>;</w:t>
      </w:r>
      <w:r w:rsidR="00FF72F0" w:rsidRPr="00FF72F0">
        <w:rPr>
          <w:rFonts w:ascii="Times New Roman" w:eastAsia="Cambria" w:hAnsi="Times New Roman" w:cs="Times New Roman"/>
          <w:color w:val="000000"/>
          <w:sz w:val="24"/>
          <w:szCs w:val="24"/>
        </w:rPr>
        <w:t xml:space="preserve"> Hamilton et al.</w:t>
      </w:r>
      <w:r w:rsidR="00E13D4F">
        <w:rPr>
          <w:rFonts w:ascii="Times New Roman" w:eastAsia="Cambria" w:hAnsi="Times New Roman" w:cs="Times New Roman"/>
          <w:color w:val="000000"/>
          <w:sz w:val="24"/>
          <w:szCs w:val="24"/>
        </w:rPr>
        <w:t>,</w:t>
      </w:r>
      <w:r w:rsidR="00FF72F0" w:rsidRPr="00FF72F0">
        <w:rPr>
          <w:rFonts w:ascii="Times New Roman" w:eastAsia="Cambria" w:hAnsi="Times New Roman" w:cs="Times New Roman"/>
          <w:color w:val="000000"/>
          <w:sz w:val="24"/>
          <w:szCs w:val="24"/>
        </w:rPr>
        <w:t xml:space="preserve"> 2011). Several studies have </w:t>
      </w:r>
      <w:r w:rsidR="00B13E47">
        <w:rPr>
          <w:rFonts w:ascii="Times New Roman" w:eastAsia="Cambria" w:hAnsi="Times New Roman" w:cs="Times New Roman"/>
          <w:color w:val="000000"/>
          <w:sz w:val="24"/>
          <w:szCs w:val="24"/>
        </w:rPr>
        <w:t xml:space="preserve">also </w:t>
      </w:r>
      <w:r w:rsidR="00FF72F0" w:rsidRPr="00FF72F0">
        <w:rPr>
          <w:rFonts w:ascii="Times New Roman" w:eastAsia="Cambria" w:hAnsi="Times New Roman" w:cs="Times New Roman"/>
          <w:color w:val="000000"/>
          <w:sz w:val="24"/>
          <w:szCs w:val="24"/>
        </w:rPr>
        <w:t xml:space="preserve">shown that grassland songbirds have lower abundances near woody vegetation </w:t>
      </w:r>
      <w:r w:rsidR="00FF72F0" w:rsidRPr="00FF72F0">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"URL" : "http://bna.birds.cornell.edu/bna/species/439", "accessed" : { "date-parts" : [ [ "2014", "1", "21" ] ] }, "author" : [ { "dropping-particle" : "", "family" : "Robbins", "given" : "M. B.", "non-dropping-particle" : "", "parse-names" : false, "suffix" : "" }, { "dropping-particle" : "", "family" : "Dale", "given" : "Brenda C.", "non-dropping-particle" : "", "parse-names" : false, "suffix" : "" } ], "container-title" : "The Birds of North America Online", "id" : "ITEM-1", "issued" : { "date-parts" : [ [ "1999" ] ] }, "page" : "A. Poole, Editor. Ithaca: Cornell Lab of Ornitholo", "title" : "Sprague's pipit (Anthus spragueii)", "type" : "webpage" }, "uris" : [ "http://www.mendeley.com/documents/?uuid=77af6961-9473-4d94-9f29-97c876950374" ] }, { "id" : "ITEM-2", "itemData" : { "DOI" : "10.2193/0091-7648(2004)032[0807:TASIIN]2.0.CO;2", "ISSN" : "0091-7648", "author" : [ { "dropping-particle" : "", "family" : "Grant", "given" : "Todd a.", "non-dropping-particle" : "", "parse-names" : false, "suffix" : "" }, { "dropping-particle" : "", "family" : "Madden", "given" : "Elizabeth", "non-dropping-particle" : "", "parse-names" : false, "suffix" : "" }, { "dropping-particle" : "", "family" : "Berkey", "given" : "Gordon B.", "non-dropping-particle" : "", "parse-names" : false, "suffix" : "" } ], "container-title" : "Wildlife Society Bulletin", "id" : "ITEM-2", "issue" : "3", "issued" : { "date-parts" : [ [ "2004", "9" ] ] }, "page" : "807-818", "title" : "Tree and shrub invasion in northern mixed-grass prairie: implications for breeding grassland birds", "type" : "article-journal", "volume" : "32" }, "uris" : [ "http://www.mendeley.com/documents/?uuid=282379bc-dd8d-4da2-9d02-7c5041399fe2" ] }, { "id" : "ITEM-3", "itemData" : { "author" : [ { "dropping-particle" : "", "family" : "Davis", "given" : "Stephen K", "non-dropping-particle" : "", "parse-names" : false, "suffix" : "" } ], "container-title" : "The Auk", "id" : "ITEM-3", "issue" : "4", "issued" : { "date-parts" : [ [ "2004" ] ] }, "page" : "1130-1145", "title" : "Area sensitivity in grassland passerinces : effects of patch size, patch shape, and vegetation structure on bird abundance and occurrence in southern Saskatchewan", "type" : "article-journal", "volume" : "121" }, "uris" : [ "http://www.mendeley.com/documents/?uuid=31c9740e-587b-4d52-896e-ef9138f251c2" ] }, { "id" : "ITEM-4", "itemData" : { "abstract" : "In North America, grassland bird abundances have declined, likely as a result of loss and degradation of prairie habitat. Given the expense and limited opportunity to procure new grasslands, managers are increasingly focusing on ways to improve existing habitat for grassland birds, using techniques such as tree removal. To examine the potential for tree removal to benefit grassland birds, we conducted 446 point counts on 35 grassland habitat patches in the highly fragmented landscape of west-central Minnesota during 2009\u20132011. We modeled density of four grassland bird species in relation to habitat composition at multiple scales, focusing on covariates that described grass, woody vegetation (trees and large shrubs), or combinations of grass and woody vegetation. The best-supported models for all four grassland bird species incorporated variables measured at multiple scales, including local features such as grass height, litter depth, and local tree abundance, as well as landscape-level measures of grass and tree cover. Savannah Sparrows (Passerculus sandwichensis), Sedge Wrens (Cistothorus platensis), and Bobolinks (Dolichonyx oryzivorus) responded consistently and negatively to woody vegetation, but response to litter depth, grass height, and grassland extent were mixed among species. Our results suggest that reducing shrub and tree cover is more likely to increase the density of grassland birds than are attempts to improve grass quality or quantity. In particular, tree removal is more likely to increase density of Savannah Sparrows and Sedge Wrens than any reasonable changes in grass quality or quantity. Yet tree removal may not result in increased abundance of grassland birds if habitat composition is not considered at multiple scales. Managers will need to either manage at large scales (80\u2013300 ha) or focus their efforts on removing trees in landscapes that contain some grasslands but few nearby wooded areas.", "author" : [ { "dropping-particle" : "", "family" : "Thompson", "given" : "Sarah J.", "non-dropping-particle" : "", "parse-names" : false, "suffix" : "" }, { "dropping-particle" : "", "family" : "Arnols", "given" : "Todd A.", "non-dropping-particle" : "", "parse-names" : false, "suffix" : "" }, { "dropping-particle" : "", "family" : "Amundson", "given" : "Courtney L.", "non-dropping-particle" : "", "parse-names" : false, "suffix" : "" } ], "container-title" : "The Condor", "id" : "ITEM-4", "issue" : "3", "issued" : { "date-parts" : [ [ "2014" ] ] }, "page" : "303-315", "title" : "A multiscale assessment of tree avoidance by prairie birds.", "type" : "article-journal", "volume" : "116" }, "uris" : [ "http://www.mendeley.com/documents/?uuid=3bb9ecab-c293-4740-b93e-5294806bf3c0" ] } ], "mendeley" : { "formattedCitation" : "(Davis, 2004; Grant et al., 2004; Robbins and Dale, 1999; Thompson et al., 2014)", "plainTextFormattedCitation" : "(Davis, 2004; Grant et al., 2004; Robbins and Dale, 1999; Thompson et al., 2014)", "previouslyFormattedCitation" : "(Davis, 2004; Grant et al., 2004; Robbins and Dale, 1999; Thompson et al., 2014)" }, "properties" : { "noteIndex" : 0 }, "schema" : "https://github.com/citation-style-language/schema/raw/master/csl-citation.json" }</w:instrText>
      </w:r>
      <w:r w:rsidR="00FF72F0" w:rsidRPr="00FF72F0">
        <w:rPr>
          <w:rFonts w:ascii="Times New Roman" w:eastAsia="Cambria" w:hAnsi="Times New Roman" w:cs="Times New Roman"/>
          <w:color w:val="000000"/>
          <w:sz w:val="24"/>
          <w:szCs w:val="24"/>
        </w:rPr>
        <w:fldChar w:fldCharType="separate"/>
      </w:r>
      <w:r w:rsidR="00FF53CF" w:rsidRPr="00FF53CF">
        <w:rPr>
          <w:rFonts w:ascii="Times New Roman" w:eastAsia="Cambria" w:hAnsi="Times New Roman" w:cs="Times New Roman"/>
          <w:noProof/>
          <w:color w:val="000000"/>
          <w:sz w:val="24"/>
          <w:szCs w:val="24"/>
        </w:rPr>
        <w:t>(</w:t>
      </w:r>
      <w:r w:rsidR="00E13D4F" w:rsidRPr="00FF53CF">
        <w:rPr>
          <w:rFonts w:ascii="Times New Roman" w:eastAsia="Cambria" w:hAnsi="Times New Roman" w:cs="Times New Roman"/>
          <w:noProof/>
          <w:color w:val="000000"/>
          <w:sz w:val="24"/>
          <w:szCs w:val="24"/>
        </w:rPr>
        <w:t>Robbins and Dale, 1999;</w:t>
      </w:r>
      <w:r w:rsidR="00E13D4F">
        <w:rPr>
          <w:rFonts w:ascii="Times New Roman" w:eastAsia="Cambria" w:hAnsi="Times New Roman" w:cs="Times New Roman"/>
          <w:noProof/>
          <w:color w:val="000000"/>
          <w:sz w:val="24"/>
          <w:szCs w:val="24"/>
        </w:rPr>
        <w:t xml:space="preserve"> </w:t>
      </w:r>
      <w:r w:rsidR="00FF53CF" w:rsidRPr="00FF53CF">
        <w:rPr>
          <w:rFonts w:ascii="Times New Roman" w:eastAsia="Cambria" w:hAnsi="Times New Roman" w:cs="Times New Roman"/>
          <w:noProof/>
          <w:color w:val="000000"/>
          <w:sz w:val="24"/>
          <w:szCs w:val="24"/>
        </w:rPr>
        <w:t>Davis, 2004; Grant et al., 2004; Thompson et al., 2014)</w:t>
      </w:r>
      <w:r w:rsidR="00FF72F0" w:rsidRPr="00FF72F0">
        <w:rPr>
          <w:rFonts w:ascii="Times New Roman" w:eastAsia="Cambria" w:hAnsi="Times New Roman" w:cs="Times New Roman"/>
          <w:color w:val="000000"/>
          <w:sz w:val="24"/>
          <w:szCs w:val="24"/>
        </w:rPr>
        <w:fldChar w:fldCharType="end"/>
      </w:r>
      <w:r w:rsidR="00FD4A10">
        <w:rPr>
          <w:rFonts w:ascii="Times New Roman" w:eastAsia="Cambria" w:hAnsi="Times New Roman" w:cs="Times New Roman"/>
          <w:color w:val="000000"/>
          <w:sz w:val="24"/>
          <w:szCs w:val="24"/>
        </w:rPr>
        <w:t>. O</w:t>
      </w:r>
      <w:r w:rsidR="00FF72F0" w:rsidRPr="00FF72F0">
        <w:rPr>
          <w:rFonts w:ascii="Times New Roman" w:eastAsia="Cambria" w:hAnsi="Times New Roman" w:cs="Times New Roman"/>
          <w:color w:val="000000"/>
          <w:sz w:val="24"/>
          <w:szCs w:val="24"/>
        </w:rPr>
        <w:t xml:space="preserve">ur results suggest </w:t>
      </w:r>
      <w:r w:rsidR="00FD4A10">
        <w:rPr>
          <w:rFonts w:ascii="Times New Roman" w:eastAsia="Cambria" w:hAnsi="Times New Roman" w:cs="Times New Roman"/>
          <w:color w:val="000000"/>
          <w:sz w:val="24"/>
          <w:szCs w:val="24"/>
        </w:rPr>
        <w:t xml:space="preserve">many </w:t>
      </w:r>
      <w:r w:rsidR="00B13E47">
        <w:rPr>
          <w:rFonts w:ascii="Times New Roman" w:eastAsia="Cambria" w:hAnsi="Times New Roman" w:cs="Times New Roman"/>
          <w:color w:val="000000"/>
          <w:sz w:val="24"/>
          <w:szCs w:val="24"/>
        </w:rPr>
        <w:t>grassland songbirds</w:t>
      </w:r>
      <w:r w:rsidR="00B13E47" w:rsidRPr="00FF72F0">
        <w:rPr>
          <w:rFonts w:ascii="Times New Roman" w:eastAsia="Cambria" w:hAnsi="Times New Roman" w:cs="Times New Roman"/>
          <w:color w:val="000000"/>
          <w:sz w:val="24"/>
          <w:szCs w:val="24"/>
        </w:rPr>
        <w:t xml:space="preserve"> </w:t>
      </w:r>
      <w:r w:rsidR="00FF72F0" w:rsidRPr="00FF72F0">
        <w:rPr>
          <w:rFonts w:ascii="Times New Roman" w:eastAsia="Cambria" w:hAnsi="Times New Roman" w:cs="Times New Roman"/>
          <w:color w:val="000000"/>
          <w:sz w:val="24"/>
          <w:szCs w:val="24"/>
        </w:rPr>
        <w:t xml:space="preserve">may </w:t>
      </w:r>
      <w:r w:rsidR="00FD4A10">
        <w:rPr>
          <w:rFonts w:ascii="Times New Roman" w:eastAsia="Cambria" w:hAnsi="Times New Roman" w:cs="Times New Roman"/>
          <w:color w:val="000000"/>
          <w:sz w:val="24"/>
          <w:szCs w:val="24"/>
        </w:rPr>
        <w:t xml:space="preserve">avoid sites with </w:t>
      </w:r>
      <w:r w:rsidR="00FF72F0" w:rsidRPr="00FF72F0">
        <w:rPr>
          <w:rFonts w:ascii="Times New Roman" w:eastAsia="Cambria" w:hAnsi="Times New Roman" w:cs="Times New Roman"/>
          <w:color w:val="000000"/>
          <w:sz w:val="24"/>
          <w:szCs w:val="24"/>
        </w:rPr>
        <w:t>vertical anthropogenic structures</w:t>
      </w:r>
      <w:r w:rsidR="00FD4A10">
        <w:rPr>
          <w:rFonts w:ascii="Times New Roman" w:eastAsia="Cambria" w:hAnsi="Times New Roman" w:cs="Times New Roman"/>
          <w:color w:val="000000"/>
          <w:sz w:val="24"/>
          <w:szCs w:val="24"/>
        </w:rPr>
        <w:t xml:space="preserve"> in the same manner in which they avoid natural vertical structures, perhaps</w:t>
      </w:r>
      <w:r w:rsidR="00DF7940">
        <w:rPr>
          <w:rFonts w:ascii="Times New Roman" w:eastAsia="Cambria" w:hAnsi="Times New Roman" w:cs="Times New Roman"/>
          <w:color w:val="000000"/>
          <w:sz w:val="24"/>
          <w:szCs w:val="24"/>
        </w:rPr>
        <w:t xml:space="preserve"> to</w:t>
      </w:r>
      <w:r w:rsidR="00FF72F0" w:rsidRPr="00FF72F0">
        <w:rPr>
          <w:rFonts w:ascii="Times New Roman" w:eastAsia="Cambria" w:hAnsi="Times New Roman" w:cs="Times New Roman"/>
          <w:color w:val="000000"/>
          <w:sz w:val="24"/>
          <w:szCs w:val="24"/>
        </w:rPr>
        <w:t xml:space="preserve"> avoid areas of increased predation risk </w:t>
      </w:r>
      <w:r w:rsidR="00FF72F0" w:rsidRPr="00FF72F0">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"author" : [ { "dropping-particle" : "", "family" : "Grant", "given" : "Todd A.", "non-dropping-particle" : "", "parse-names" : false, "suffix" : "" }, { "dropping-particle" : "", "family" : "Madden", "given" : "Elizabeth M.", "non-dropping-particle" : "", "parse-names" : false, "suffix" : "" }, { "dropping-particle" : "", "family" : "Shaffer", "given" : "Terry L.", "non-dropping-particle" : "", "parse-names" : false, "suffix" : "" }, { "dropping-particle" : "", "family" : "Pietz", "given" : "Pamela J.", "non-dropping-particle" : "", "parse-names" : false, "suffix" : "" }, { "dropping-particle" : "", "family" : "Berkey", "given" : "Gordon B.", "non-dropping-particle" : "", "parse-names" : false, "suffix" : "" }, { "dropping-particle" : "", "family" : "Kadrmas", "given" : "Neil J.", "non-dropping-particle" : "", "parse-names" : false, "suffix" : "" } ], "container-title" : "Journal of Wildlife Management", "id" : "ITEM-1", "issue" : "3", "issued" : { "date-parts" : [ [ "2006" ] ] }, "page" : "691-701", "title" : "Nest survival of clay-colored and vesper sparrows in relation to woodland edge in mixed-grass prairies", "type" : "article-journal", "volume" : "70" }, "uris" : [ "http://www.mendeley.com/documents/?uuid=8afb6312-9023-4572-b697-040b85299971" ] }, { "id" : "ITEM-2", "itemData" : { "author" : [ { "dropping-particle" : "", "family" : "Klug", "given" : "Page E.", "non-dropping-particle" : "", "parse-names" : false, "suffix" : "" }, { "dropping-particle" : "", "family" : "Jackrel", "given" : "Sara L.", "non-dropping-particle" : "", "parse-names" : false, "suffix" : "" }, { "dropping-particle" : "", "family" : "With", "given" : "Kimberly A.", "non-dropping-particle" : "", "parse-names" : false, "suffix" : "" } ], "container-title" : "Oecologia", "id" : "ITEM-2", "issue" : "3", "issued" : { "date-parts" : [ [ "2010" ] ] }, "page" : "801-813", "title" : "Linking snake habitat use to nest predation in grassland birds: the dangers of shrub cover", "type" : "article-journal", "volume" : "162" }, "uris" : [ "http://www.mendeley.com/documents/?uuid=a733321f-cfb6-4ed1-962c-a6505287a5bd" ] } ], "mendeley" : { "formattedCitation" : "(Grant et al., 2006; Klug et al., 2010)", "plainTextFormattedCitation" : "(Grant et al., 2006; Klug et al., 2010)", "previouslyFormattedCitation" : "(Grant et al., 2006; Klug et al., 2010)" }, "properties" : { "noteIndex" : 0 }, "schema" : "https://github.com/citation-style-language/schema/raw/master/csl-citation.json" }</w:instrText>
      </w:r>
      <w:r w:rsidR="00FF72F0" w:rsidRPr="00FF72F0">
        <w:rPr>
          <w:rFonts w:ascii="Times New Roman" w:eastAsia="Cambria" w:hAnsi="Times New Roman" w:cs="Times New Roman"/>
          <w:color w:val="000000"/>
          <w:sz w:val="24"/>
          <w:szCs w:val="24"/>
        </w:rPr>
        <w:fldChar w:fldCharType="separate"/>
      </w:r>
      <w:r w:rsidR="00FF53CF" w:rsidRPr="00FF53CF">
        <w:rPr>
          <w:rFonts w:ascii="Times New Roman" w:eastAsia="Cambria" w:hAnsi="Times New Roman" w:cs="Times New Roman"/>
          <w:noProof/>
          <w:color w:val="000000"/>
          <w:sz w:val="24"/>
          <w:szCs w:val="24"/>
        </w:rPr>
        <w:t>(Grant et al., 2006; Klug et al., 2010)</w:t>
      </w:r>
      <w:r w:rsidR="00FF72F0" w:rsidRPr="00FF72F0">
        <w:rPr>
          <w:rFonts w:ascii="Times New Roman" w:eastAsia="Cambria" w:hAnsi="Times New Roman" w:cs="Times New Roman"/>
          <w:color w:val="000000"/>
          <w:sz w:val="24"/>
          <w:szCs w:val="24"/>
        </w:rPr>
        <w:fldChar w:fldCharType="end"/>
      </w:r>
      <w:r w:rsidR="00FF72F0" w:rsidRPr="00FF72F0">
        <w:rPr>
          <w:rFonts w:ascii="Times New Roman" w:eastAsia="Cambria" w:hAnsi="Times New Roman" w:cs="Times New Roman"/>
          <w:color w:val="000000"/>
          <w:sz w:val="24"/>
          <w:szCs w:val="24"/>
        </w:rPr>
        <w:t xml:space="preserve"> or </w:t>
      </w:r>
      <w:r w:rsidR="00B13E47">
        <w:rPr>
          <w:rFonts w:ascii="Times New Roman" w:eastAsia="Cambria" w:hAnsi="Times New Roman" w:cs="Times New Roman"/>
          <w:color w:val="000000"/>
          <w:sz w:val="24"/>
          <w:szCs w:val="24"/>
        </w:rPr>
        <w:t>brood</w:t>
      </w:r>
      <w:r w:rsidR="00B13E47" w:rsidRPr="00FF72F0">
        <w:rPr>
          <w:rFonts w:ascii="Times New Roman" w:eastAsia="Cambria" w:hAnsi="Times New Roman" w:cs="Times New Roman"/>
          <w:color w:val="000000"/>
          <w:sz w:val="24"/>
          <w:szCs w:val="24"/>
        </w:rPr>
        <w:t xml:space="preserve"> </w:t>
      </w:r>
      <w:r w:rsidR="00FF72F0" w:rsidRPr="00FF72F0">
        <w:rPr>
          <w:rFonts w:ascii="Times New Roman" w:eastAsia="Cambria" w:hAnsi="Times New Roman" w:cs="Times New Roman"/>
          <w:color w:val="000000"/>
          <w:sz w:val="24"/>
          <w:szCs w:val="24"/>
        </w:rPr>
        <w:t xml:space="preserve">parasitism </w:t>
      </w:r>
      <w:r w:rsidR="00FF72F0" w:rsidRPr="00FF72F0">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"author" : [ { "dropping-particle" : "", "family" : "Clotfelter", "given" : "E. D.", "non-dropping-particle" : "", "parse-names" : false, "suffix" : "" } ], "container-title" : "Animal Behavior", "id" : "ITEM-1", "issued" : { "date-parts" : [ [ "1998" ] ] }, "page" : "1181-1189", "title" : "What cues do brown-headed cowbirds use to locate red-winged blackbird host nests?", "type" : "article-journal", "volume" : "55" }, "uris" : [ "http://www.mendeley.com/documents/?uuid=30c6e683-95c6-43b0-829b-9d8ed7ba1002" ] }, { "id" : "ITEM-2", "itemData" : { "author" : [ { "dropping-particle" : "", "family" : "Saunders", "given" : "C. A.", "non-dropping-particle" : "", "parse-names" : false, "suffix" : "" }, { "dropping-particle" : "", "family" : "Acrease", "given" : "P.", "non-dropping-particle" : "", "parse-names" : false, "suffix" : "" }, { "dropping-particle" : "", "family" : "O'Connor", "given" : "K. D.", "non-dropping-particle" : "", "parse-names" : false, "suffix" : "" } ], "container-title" : "Wilson Bulletin", "id" : "ITEM-2", "issued" : { "date-parts" : [ [ "2003" ] ] }, "page" : "24-28", "title" : "Nest site characterisitics in the song sparrow and parasitism by brown-headed cowbirds.", "type" : "article-journal", "volume" : "115" }, "uris" : [ "http://www.mendeley.com/documents/?uuid=642f36bd-e3fd-4eba-8a48-839364997c82" ] } ], "mendeley" : { "formattedCitation" : "(Clotfelter, 1998; Saunders et al., 2003)", "plainTextFormattedCitation" : "(Clotfelter, 1998; Saunders et al., 2003)", "previouslyFormattedCitation" : "(Clotfelter, 1998; Saunders et al., 2003)" }, "properties" : { "noteIndex" : 0 }, "schema" : "https://github.com/citation-style-language/schema/raw/master/csl-citation.json" }</w:instrText>
      </w:r>
      <w:r w:rsidR="00FF72F0" w:rsidRPr="00FF72F0">
        <w:rPr>
          <w:rFonts w:ascii="Times New Roman" w:eastAsia="Cambria" w:hAnsi="Times New Roman" w:cs="Times New Roman"/>
          <w:color w:val="000000"/>
          <w:sz w:val="24"/>
          <w:szCs w:val="24"/>
        </w:rPr>
        <w:fldChar w:fldCharType="separate"/>
      </w:r>
      <w:r w:rsidR="00FF53CF" w:rsidRPr="00FF53CF">
        <w:rPr>
          <w:rFonts w:ascii="Times New Roman" w:eastAsia="Cambria" w:hAnsi="Times New Roman" w:cs="Times New Roman"/>
          <w:noProof/>
          <w:color w:val="000000"/>
          <w:sz w:val="24"/>
          <w:szCs w:val="24"/>
        </w:rPr>
        <w:t>(Clotfelter, 1998; Saunders et al., 2003)</w:t>
      </w:r>
      <w:r w:rsidR="00FF72F0" w:rsidRPr="00FF72F0">
        <w:rPr>
          <w:rFonts w:ascii="Times New Roman" w:eastAsia="Cambria" w:hAnsi="Times New Roman" w:cs="Times New Roman"/>
          <w:color w:val="000000"/>
          <w:sz w:val="24"/>
          <w:szCs w:val="24"/>
        </w:rPr>
        <w:fldChar w:fldCharType="end"/>
      </w:r>
      <w:r w:rsidR="00FF72F0" w:rsidRPr="00FF72F0">
        <w:rPr>
          <w:rFonts w:ascii="Times New Roman" w:eastAsia="Cambria" w:hAnsi="Times New Roman" w:cs="Times New Roman"/>
          <w:color w:val="000000"/>
          <w:sz w:val="24"/>
          <w:szCs w:val="24"/>
        </w:rPr>
        <w:t xml:space="preserve">. </w:t>
      </w:r>
      <w:r w:rsidR="00B13E47">
        <w:rPr>
          <w:rFonts w:ascii="Times New Roman" w:eastAsia="Cambria" w:hAnsi="Times New Roman" w:cs="Times New Roman"/>
          <w:color w:val="000000"/>
          <w:sz w:val="24"/>
          <w:szCs w:val="24"/>
        </w:rPr>
        <w:t xml:space="preserve">Indeed, grassland songbird nesting success in our study area was lower at oil well sites with more perches </w:t>
      </w:r>
      <w:r w:rsidR="00924FEF">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"DOI" : "10.1016/j.biocon.2016.11.002", "author" : [ { "dropping-particle" : "", "family" : "Bernath-Plaisted", "given" : "Jacy", "non-dropping-particle" : "", "parse-names" : false, "suffix" : "" }, { "dropping-particle" : "", "family" : "Koper", "given" : "Nicola", "non-dropping-particle" : "", "parse-names" : false, "suffix" : "" } ], "container-title" : "Biological Conservation", "id" : "ITEM-1", "issued" : { "date-parts" : [ [ "2016", "12" ] ] }, "page" : "434-441", "title" : "Physical footprint of oil and gas infrastructure, not anthropogenic noise, reduces nesting success of some grassland songbirds", "type" : "article-journal", "volume" : "204" }, "uris" : [ "http://www.mendeley.com/documents/?uuid=fa1c3668-7404-3900-9673-17ea496b4898" ] } ], "mendeley" : { "formattedCitation" : "(Bernath-Plaisted and Koper, 2016)", "plainTextFormattedCitation" : "(Bernath-Plaisted and Koper, 2016)", "previouslyFormattedCitation" : "(Bernath-Plaisted and Koper, 2016)" }, "properties" : { "noteIndex" : 0 }, "schema" : "https://github.com/citation-style-language/schema/raw/master/csl-citation.json" }</w:instrText>
      </w:r>
      <w:r w:rsidR="00924FEF">
        <w:rPr>
          <w:rFonts w:ascii="Times New Roman" w:eastAsia="Cambria" w:hAnsi="Times New Roman" w:cs="Times New Roman"/>
          <w:color w:val="000000"/>
          <w:sz w:val="24"/>
          <w:szCs w:val="24"/>
        </w:rPr>
        <w:fldChar w:fldCharType="separate"/>
      </w:r>
      <w:r w:rsidR="00FF53CF" w:rsidRPr="00FF53CF">
        <w:rPr>
          <w:rFonts w:ascii="Times New Roman" w:eastAsia="Cambria" w:hAnsi="Times New Roman" w:cs="Times New Roman"/>
          <w:noProof/>
          <w:color w:val="000000"/>
          <w:sz w:val="24"/>
          <w:szCs w:val="24"/>
        </w:rPr>
        <w:t>(Bernath-Plaisted and Koper, 2016)</w:t>
      </w:r>
      <w:r w:rsidR="00924FEF">
        <w:rPr>
          <w:rFonts w:ascii="Times New Roman" w:eastAsia="Cambria" w:hAnsi="Times New Roman" w:cs="Times New Roman"/>
          <w:color w:val="000000"/>
          <w:sz w:val="24"/>
          <w:szCs w:val="24"/>
        </w:rPr>
        <w:fldChar w:fldCharType="end"/>
      </w:r>
      <w:r w:rsidR="00B13E47">
        <w:rPr>
          <w:rFonts w:ascii="Times New Roman" w:eastAsia="Cambria" w:hAnsi="Times New Roman" w:cs="Times New Roman"/>
          <w:color w:val="000000"/>
          <w:sz w:val="24"/>
          <w:szCs w:val="24"/>
        </w:rPr>
        <w:t xml:space="preserve">. Similarly, </w:t>
      </w:r>
      <w:r w:rsidR="00924FEF">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"DOI" : "10.1002/jwmg.21210", "ISSN" : "0022541X", "author" : [ { "dropping-particle" : "", "family" : "Rodgers", "given" : "Jennifer Anne", "non-dropping-particle" : "", "parse-names" : false, "suffix" : "" }, { "dropping-particle" : "", "family" : "Koper", "given" : "Nicola", "non-dropping-particle" : "", "parse-names" : false, "suffix" : "" } ], "container-title" : "The Journal of Wildlife Management", "id" : "ITEM-1", "issue" : "3", "issued" : { "date-parts" : [ [ "2017", "4", "1" ] ] }, "page" : "406-416", "title" : "Shallow gas development and grassland songbirds: The importance of perches", "type" : "article-journal", "volume" : "81" }, "uris" : [ "http://www.mendeley.com/documents/?uuid=60c1463a-7d1c-347d-aedb-580fe280a647" ] } ], "mendeley" : { "formattedCitation" : "(Rodgers and Koper, 2017)", "manualFormatting" : "Rodgers and Koper (2017)", "plainTextFormattedCitation" : "(Rodgers and Koper, 2017)", "previouslyFormattedCitation" : "(Rodgers and Koper, 2017)" }, "properties" : { "noteIndex" : 0 }, "schema" : "https://github.com/citation-style-language/schema/raw/master/csl-citation.json" }</w:instrText>
      </w:r>
      <w:r w:rsidR="00924FEF">
        <w:rPr>
          <w:rFonts w:ascii="Times New Roman" w:eastAsia="Cambria" w:hAnsi="Times New Roman" w:cs="Times New Roman"/>
          <w:color w:val="000000"/>
          <w:sz w:val="24"/>
          <w:szCs w:val="24"/>
        </w:rPr>
        <w:fldChar w:fldCharType="separate"/>
      </w:r>
      <w:r w:rsidR="00924FEF" w:rsidRPr="00924FEF">
        <w:rPr>
          <w:rFonts w:ascii="Times New Roman" w:eastAsia="Cambria" w:hAnsi="Times New Roman" w:cs="Times New Roman"/>
          <w:noProof/>
          <w:color w:val="000000"/>
          <w:sz w:val="24"/>
          <w:szCs w:val="24"/>
        </w:rPr>
        <w:t xml:space="preserve">Rodgers and Koper </w:t>
      </w:r>
      <w:r w:rsidR="00924FEF">
        <w:rPr>
          <w:rFonts w:ascii="Times New Roman" w:eastAsia="Cambria" w:hAnsi="Times New Roman" w:cs="Times New Roman"/>
          <w:noProof/>
          <w:color w:val="000000"/>
          <w:sz w:val="24"/>
          <w:szCs w:val="24"/>
        </w:rPr>
        <w:t>(</w:t>
      </w:r>
      <w:r w:rsidR="00924FEF" w:rsidRPr="00924FEF">
        <w:rPr>
          <w:rFonts w:ascii="Times New Roman" w:eastAsia="Cambria" w:hAnsi="Times New Roman" w:cs="Times New Roman"/>
          <w:noProof/>
          <w:color w:val="000000"/>
          <w:sz w:val="24"/>
          <w:szCs w:val="24"/>
        </w:rPr>
        <w:t>2017)</w:t>
      </w:r>
      <w:r w:rsidR="00924FEF">
        <w:rPr>
          <w:rFonts w:ascii="Times New Roman" w:eastAsia="Cambria" w:hAnsi="Times New Roman" w:cs="Times New Roman"/>
          <w:color w:val="000000"/>
          <w:sz w:val="24"/>
          <w:szCs w:val="24"/>
        </w:rPr>
        <w:fldChar w:fldCharType="end"/>
      </w:r>
      <w:r w:rsidR="00B13E47">
        <w:rPr>
          <w:rFonts w:ascii="Times New Roman" w:eastAsia="Cambria" w:hAnsi="Times New Roman" w:cs="Times New Roman"/>
          <w:color w:val="000000"/>
          <w:sz w:val="24"/>
          <w:szCs w:val="24"/>
        </w:rPr>
        <w:t xml:space="preserve"> attributed many effects of conventional shallow gas wells to their </w:t>
      </w:r>
      <w:r w:rsidR="00FD4A10">
        <w:rPr>
          <w:rFonts w:ascii="Times New Roman" w:eastAsia="Cambria" w:hAnsi="Times New Roman" w:cs="Times New Roman"/>
          <w:color w:val="000000"/>
          <w:sz w:val="24"/>
          <w:szCs w:val="24"/>
        </w:rPr>
        <w:t xml:space="preserve">potential </w:t>
      </w:r>
      <w:r w:rsidR="00B13E47">
        <w:rPr>
          <w:rFonts w:ascii="Times New Roman" w:eastAsia="Cambria" w:hAnsi="Times New Roman" w:cs="Times New Roman"/>
          <w:color w:val="000000"/>
          <w:sz w:val="24"/>
          <w:szCs w:val="24"/>
        </w:rPr>
        <w:t xml:space="preserve">function as anthropogenic perch sites. </w:t>
      </w:r>
      <w:r w:rsidR="00FD4A10">
        <w:rPr>
          <w:rFonts w:ascii="Times New Roman" w:eastAsia="Cambria" w:hAnsi="Times New Roman" w:cs="Times New Roman"/>
          <w:color w:val="000000"/>
          <w:sz w:val="24"/>
          <w:szCs w:val="24"/>
        </w:rPr>
        <w:t>Our results</w:t>
      </w:r>
      <w:r w:rsidR="00B13E47">
        <w:rPr>
          <w:rFonts w:ascii="Times New Roman" w:eastAsia="Cambria" w:hAnsi="Times New Roman" w:cs="Times New Roman"/>
          <w:color w:val="000000"/>
          <w:sz w:val="24"/>
          <w:szCs w:val="24"/>
        </w:rPr>
        <w:t xml:space="preserve"> suggest that the patterns we observed were probably caused by the presence of perch sites rather than avoidance of tall structures</w:t>
      </w:r>
      <w:r w:rsidR="00FD4A10">
        <w:rPr>
          <w:rFonts w:ascii="Times New Roman" w:eastAsia="Cambria" w:hAnsi="Times New Roman" w:cs="Times New Roman"/>
          <w:color w:val="000000"/>
          <w:sz w:val="24"/>
          <w:szCs w:val="24"/>
        </w:rPr>
        <w:t>,</w:t>
      </w:r>
      <w:r w:rsidR="00B13E47">
        <w:rPr>
          <w:rFonts w:ascii="Times New Roman" w:eastAsia="Cambria" w:hAnsi="Times New Roman" w:cs="Times New Roman"/>
          <w:color w:val="000000"/>
          <w:sz w:val="24"/>
          <w:szCs w:val="24"/>
        </w:rPr>
        <w:t xml:space="preserve"> because we found no evidence that the much taller pumpjacks were avoided more than screw pumps.</w:t>
      </w:r>
      <w:r w:rsidR="00FD4A10">
        <w:rPr>
          <w:rFonts w:ascii="Times New Roman" w:eastAsia="Cambria" w:hAnsi="Times New Roman" w:cs="Times New Roman"/>
          <w:color w:val="000000"/>
          <w:sz w:val="24"/>
          <w:szCs w:val="24"/>
        </w:rPr>
        <w:t xml:space="preserve"> Regardless, it is of some concern that Savannah sparrow nesting success was lower at sites with grid-powered wells</w:t>
      </w:r>
      <w:r w:rsidR="002660C2">
        <w:rPr>
          <w:rFonts w:ascii="Times New Roman" w:eastAsia="Cambria" w:hAnsi="Times New Roman" w:cs="Times New Roman"/>
          <w:color w:val="000000"/>
          <w:sz w:val="24"/>
          <w:szCs w:val="24"/>
        </w:rPr>
        <w:t xml:space="preserve"> in the same study area</w:t>
      </w:r>
      <w:r w:rsidR="00FD4A10">
        <w:rPr>
          <w:rFonts w:ascii="Times New Roman" w:eastAsia="Cambria" w:hAnsi="Times New Roman" w:cs="Times New Roman"/>
          <w:color w:val="000000"/>
          <w:sz w:val="24"/>
          <w:szCs w:val="24"/>
        </w:rPr>
        <w:t xml:space="preserve"> (Bernath-Plaisted and Koper</w:t>
      </w:r>
      <w:r w:rsidR="00E13D4F">
        <w:rPr>
          <w:rFonts w:ascii="Times New Roman" w:eastAsia="Cambria" w:hAnsi="Times New Roman" w:cs="Times New Roman"/>
          <w:color w:val="000000"/>
          <w:sz w:val="24"/>
          <w:szCs w:val="24"/>
        </w:rPr>
        <w:t>,</w:t>
      </w:r>
      <w:r w:rsidR="00FD4A10">
        <w:rPr>
          <w:rFonts w:ascii="Times New Roman" w:eastAsia="Cambria" w:hAnsi="Times New Roman" w:cs="Times New Roman"/>
          <w:color w:val="000000"/>
          <w:sz w:val="24"/>
          <w:szCs w:val="24"/>
        </w:rPr>
        <w:t xml:space="preserve"> 201</w:t>
      </w:r>
      <w:r w:rsidR="00924FEF">
        <w:rPr>
          <w:rFonts w:ascii="Times New Roman" w:eastAsia="Cambria" w:hAnsi="Times New Roman" w:cs="Times New Roman"/>
          <w:color w:val="000000"/>
          <w:sz w:val="24"/>
          <w:szCs w:val="24"/>
        </w:rPr>
        <w:t>6</w:t>
      </w:r>
      <w:r w:rsidR="00FD4A10">
        <w:rPr>
          <w:rFonts w:ascii="Times New Roman" w:eastAsia="Cambria" w:hAnsi="Times New Roman" w:cs="Times New Roman"/>
          <w:color w:val="000000"/>
          <w:sz w:val="24"/>
          <w:szCs w:val="24"/>
        </w:rPr>
        <w:t xml:space="preserve">), to which they were attracted, as this </w:t>
      </w:r>
      <w:r w:rsidR="00FD4A10" w:rsidRPr="00FF72F0">
        <w:rPr>
          <w:rFonts w:ascii="Times New Roman" w:eastAsia="Cambria" w:hAnsi="Times New Roman" w:cs="Times New Roman"/>
          <w:color w:val="000000"/>
          <w:sz w:val="24"/>
          <w:szCs w:val="24"/>
        </w:rPr>
        <w:t xml:space="preserve">may result in </w:t>
      </w:r>
      <w:r w:rsidR="00FD4A10">
        <w:rPr>
          <w:rFonts w:ascii="Times New Roman" w:eastAsia="Cambria" w:hAnsi="Times New Roman" w:cs="Times New Roman"/>
          <w:color w:val="000000"/>
          <w:sz w:val="24"/>
          <w:szCs w:val="24"/>
        </w:rPr>
        <w:t xml:space="preserve">an </w:t>
      </w:r>
      <w:r w:rsidR="00FD4A10" w:rsidRPr="00FF72F0">
        <w:rPr>
          <w:rFonts w:ascii="Times New Roman" w:eastAsia="Cambria" w:hAnsi="Times New Roman" w:cs="Times New Roman"/>
          <w:color w:val="000000"/>
          <w:sz w:val="24"/>
          <w:szCs w:val="24"/>
        </w:rPr>
        <w:t xml:space="preserve">ecological trap for </w:t>
      </w:r>
      <w:r w:rsidR="00FD4A10">
        <w:rPr>
          <w:rFonts w:ascii="Times New Roman" w:eastAsia="Cambria" w:hAnsi="Times New Roman" w:cs="Times New Roman"/>
          <w:color w:val="000000"/>
          <w:sz w:val="24"/>
          <w:szCs w:val="24"/>
        </w:rPr>
        <w:t>this species</w:t>
      </w:r>
      <w:r w:rsidR="00FD4A10" w:rsidRPr="00FF72F0">
        <w:rPr>
          <w:rFonts w:ascii="Times New Roman" w:eastAsia="Cambria" w:hAnsi="Times New Roman" w:cs="Times New Roman"/>
          <w:color w:val="000000"/>
          <w:sz w:val="24"/>
          <w:szCs w:val="24"/>
        </w:rPr>
        <w:t xml:space="preserve"> </w:t>
      </w:r>
      <w:r w:rsidR="00FD4A10" w:rsidRPr="00FF72F0">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"author" : [ { "dropping-particle" : "", "family" : "Battin", "given" : "James", "non-dropping-particle" : "", "parse-names" : false, "suffix" : "" } ], "container-title" : "Conservation Biology", "id" : "ITEM-1", "issue" : "6", "issued" : { "date-parts" : [ [ "2004" ] ] }, "page" : "1482-1491", "title" : "When good animals love bad habitats: ecological traps and the conservation of animal populations", "type" : "article-journal", "volume" : "18" }, "uris" : [ "http://www.mendeley.com/documents/?uuid=d6ad0ced-cb5e-4f73-98ef-0f0410fb7ad9" ] } ], "mendeley" : { "formattedCitation" : "(Battin, 2004)", "plainTextFormattedCitation" : "(Battin, 2004)", "previouslyFormattedCitation" : "(Battin, 2004)" }, "properties" : { "noteIndex" : 0 }, "schema" : "https://github.com/citation-style-language/schema/raw/master/csl-citation.json" }</w:instrText>
      </w:r>
      <w:r w:rsidR="00FD4A10" w:rsidRPr="00FF72F0">
        <w:rPr>
          <w:rFonts w:ascii="Times New Roman" w:eastAsia="Cambria" w:hAnsi="Times New Roman" w:cs="Times New Roman"/>
          <w:color w:val="000000"/>
          <w:sz w:val="24"/>
          <w:szCs w:val="24"/>
        </w:rPr>
        <w:fldChar w:fldCharType="separate"/>
      </w:r>
      <w:r w:rsidR="00FF53CF" w:rsidRPr="00FF53CF">
        <w:rPr>
          <w:rFonts w:ascii="Times New Roman" w:eastAsia="Cambria" w:hAnsi="Times New Roman" w:cs="Times New Roman"/>
          <w:noProof/>
          <w:color w:val="000000"/>
          <w:sz w:val="24"/>
          <w:szCs w:val="24"/>
        </w:rPr>
        <w:t>(Battin, 2004)</w:t>
      </w:r>
      <w:r w:rsidR="00FD4A10" w:rsidRPr="00FF72F0">
        <w:rPr>
          <w:rFonts w:ascii="Times New Roman" w:eastAsia="Cambria" w:hAnsi="Times New Roman" w:cs="Times New Roman"/>
          <w:color w:val="000000"/>
          <w:sz w:val="24"/>
          <w:szCs w:val="24"/>
        </w:rPr>
        <w:fldChar w:fldCharType="end"/>
      </w:r>
      <w:r w:rsidR="00FD4A10" w:rsidRPr="00FF72F0">
        <w:rPr>
          <w:rFonts w:ascii="Times New Roman" w:eastAsia="Cambria" w:hAnsi="Times New Roman" w:cs="Times New Roman"/>
          <w:color w:val="000000"/>
          <w:sz w:val="24"/>
          <w:szCs w:val="24"/>
        </w:rPr>
        <w:t>.</w:t>
      </w:r>
    </w:p>
    <w:p w14:paraId="1DF2D9B4" w14:textId="0E2E219A" w:rsidR="00FF72F0" w:rsidRDefault="00FD4A10" w:rsidP="000B2966">
      <w:pPr>
        <w:spacing w:after="0" w:line="240" w:lineRule="auto"/>
        <w:ind w:firstLine="720"/>
        <w:rPr>
          <w:rFonts w:ascii="Times New Roman" w:eastAsia="Cambria" w:hAnsi="Times New Roman" w:cs="Times New Roman"/>
          <w:color w:val="000000"/>
          <w:sz w:val="24"/>
          <w:szCs w:val="24"/>
        </w:rPr>
      </w:pPr>
      <w:r>
        <w:rPr>
          <w:rFonts w:ascii="Times New Roman" w:eastAsia="Cambria" w:hAnsi="Times New Roman" w:cs="Times New Roman"/>
          <w:color w:val="000000"/>
          <w:sz w:val="24"/>
          <w:szCs w:val="24"/>
        </w:rPr>
        <w:t>Roads also contributed to some effects of wells</w:t>
      </w:r>
      <w:r w:rsidR="00FF72F0" w:rsidRPr="00FF72F0">
        <w:rPr>
          <w:rFonts w:ascii="Times New Roman" w:eastAsia="Cambria" w:hAnsi="Times New Roman" w:cs="Times New Roman"/>
          <w:color w:val="000000"/>
          <w:sz w:val="24"/>
          <w:szCs w:val="24"/>
        </w:rPr>
        <w:t>.</w:t>
      </w:r>
      <w:r>
        <w:rPr>
          <w:rFonts w:ascii="Times New Roman" w:eastAsia="Cambria" w:hAnsi="Times New Roman" w:cs="Times New Roman"/>
          <w:color w:val="000000"/>
          <w:sz w:val="24"/>
          <w:szCs w:val="24"/>
        </w:rPr>
        <w:t xml:space="preserve"> C</w:t>
      </w:r>
      <w:r w:rsidR="00FF72F0" w:rsidRPr="00FF72F0">
        <w:rPr>
          <w:rFonts w:ascii="Times New Roman" w:eastAsia="Cambria" w:hAnsi="Times New Roman" w:cs="Times New Roman"/>
          <w:color w:val="000000"/>
          <w:sz w:val="24"/>
          <w:szCs w:val="24"/>
        </w:rPr>
        <w:t xml:space="preserve">hestnut-collared longspur occurrence increased closer to roads, which might be due </w:t>
      </w:r>
      <w:r w:rsidR="00DF7940">
        <w:rPr>
          <w:rFonts w:ascii="Times New Roman" w:eastAsia="Cambria" w:hAnsi="Times New Roman" w:cs="Times New Roman"/>
          <w:color w:val="000000"/>
          <w:sz w:val="24"/>
          <w:szCs w:val="24"/>
        </w:rPr>
        <w:t>the</w:t>
      </w:r>
      <w:r w:rsidR="00DF7940" w:rsidRPr="00FF72F0">
        <w:rPr>
          <w:rFonts w:ascii="Times New Roman" w:eastAsia="Cambria" w:hAnsi="Times New Roman" w:cs="Times New Roman"/>
          <w:color w:val="000000"/>
          <w:sz w:val="24"/>
          <w:szCs w:val="24"/>
        </w:rPr>
        <w:t xml:space="preserve"> </w:t>
      </w:r>
      <w:r w:rsidR="00FF72F0" w:rsidRPr="00FF72F0">
        <w:rPr>
          <w:rFonts w:ascii="Times New Roman" w:eastAsia="Cambria" w:hAnsi="Times New Roman" w:cs="Times New Roman"/>
          <w:color w:val="000000"/>
          <w:sz w:val="24"/>
          <w:szCs w:val="24"/>
        </w:rPr>
        <w:t>preference</w:t>
      </w:r>
      <w:r w:rsidR="00DF7940">
        <w:rPr>
          <w:rFonts w:ascii="Times New Roman" w:eastAsia="Cambria" w:hAnsi="Times New Roman" w:cs="Times New Roman"/>
          <w:color w:val="000000"/>
          <w:sz w:val="24"/>
          <w:szCs w:val="24"/>
        </w:rPr>
        <w:t xml:space="preserve"> by this species</w:t>
      </w:r>
      <w:r w:rsidR="00FF72F0" w:rsidRPr="00FF72F0">
        <w:rPr>
          <w:rFonts w:ascii="Times New Roman" w:eastAsia="Cambria" w:hAnsi="Times New Roman" w:cs="Times New Roman"/>
          <w:color w:val="000000"/>
          <w:sz w:val="24"/>
          <w:szCs w:val="24"/>
        </w:rPr>
        <w:t xml:space="preserve"> for shorter, sparser vegetation </w:t>
      </w:r>
      <w:r w:rsidR="00FF72F0" w:rsidRPr="00FF72F0">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"author" : [ { "dropping-particle" : "", "family" : "Hill", "given" : "D. P.", "non-dropping-particle" : "", "parse-names" : false, "suffix" : "" }, { "dropping-particle" : "", "family" : "Gould", "given" : "L. K.", "non-dropping-particle" : "", "parse-names" : false, "suffix" : "" } ], "container-title" : "The Birds of North America Online", "editor" : [ { "dropping-particle" : "", "family" : "Poole", "given" : "A.", "non-dropping-particle" : "", "parse-names" : false, "suffix" : "" } ], "id" : "ITEM-1", "issued" : { "date-parts" : [ [ "1997" ] ] }, "publisher" : "Ithaca: Cornell Lab of Ornithology", "title" : "Chestnut-collared longspur", "type" : "chapter" }, "uris" : [ "http://www.mendeley.com/documents/?uuid=be9dd985-ccba-4687-89ac-762b11588e68" ] }, { "id" : "ITEM-2", "itemData" : { "author" : [ { "dropping-particle" : "", "family" : "Davis", "given" : "Stephen K", "non-dropping-particle" : "", "parse-names" : false, "suffix" : "" } ], "container-title" : "The Condor", "id" : "ITEM-2", "issue" : "3", "issued" : { "date-parts" : [ [ "2005" ] ] }, "page" : "605-616", "title" : "Nest-site selection patterns and the influence of vegetation on nest survival of mixed-grass prairie passerines", "type" : "article-journal", "volume" : "107" }, "uris" : [ "http://www.mendeley.com/documents/?uuid=66760856-b48e-47cf-b2d8-3a0dd0196444" ] } ], "mendeley" : { "formattedCitation" : "(Davis, 2005; Hill and Gould, 1997)", "plainTextFormattedCitation" : "(Davis, 2005; Hill and Gould, 1997)", "previouslyFormattedCitation" : "(Davis, 2005; Hill and Gould, 1997)" }, "properties" : { "noteIndex" : 0 }, "schema" : "https://github.com/citation-style-language/schema/raw/master/csl-citation.json" }</w:instrText>
      </w:r>
      <w:r w:rsidR="00FF72F0" w:rsidRPr="00FF72F0">
        <w:rPr>
          <w:rFonts w:ascii="Times New Roman" w:eastAsia="Cambria" w:hAnsi="Times New Roman" w:cs="Times New Roman"/>
          <w:color w:val="000000"/>
          <w:sz w:val="24"/>
          <w:szCs w:val="24"/>
        </w:rPr>
        <w:fldChar w:fldCharType="separate"/>
      </w:r>
      <w:r w:rsidR="00FF53CF" w:rsidRPr="00FF53CF">
        <w:rPr>
          <w:rFonts w:ascii="Times New Roman" w:eastAsia="Cambria" w:hAnsi="Times New Roman" w:cs="Times New Roman"/>
          <w:noProof/>
          <w:color w:val="000000"/>
          <w:sz w:val="24"/>
          <w:szCs w:val="24"/>
        </w:rPr>
        <w:t>(Hill and Gould, 1997</w:t>
      </w:r>
      <w:r w:rsidR="00E13D4F">
        <w:rPr>
          <w:rFonts w:ascii="Times New Roman" w:eastAsia="Cambria" w:hAnsi="Times New Roman" w:cs="Times New Roman"/>
          <w:noProof/>
          <w:color w:val="000000"/>
          <w:sz w:val="24"/>
          <w:szCs w:val="24"/>
        </w:rPr>
        <w:t>;</w:t>
      </w:r>
      <w:r w:rsidR="00E13D4F" w:rsidRPr="00E13D4F">
        <w:rPr>
          <w:rFonts w:ascii="Times New Roman" w:eastAsia="Cambria" w:hAnsi="Times New Roman" w:cs="Times New Roman"/>
          <w:noProof/>
          <w:color w:val="000000"/>
          <w:sz w:val="24"/>
          <w:szCs w:val="24"/>
        </w:rPr>
        <w:t xml:space="preserve"> </w:t>
      </w:r>
      <w:r w:rsidR="00E13D4F" w:rsidRPr="00FF53CF">
        <w:rPr>
          <w:rFonts w:ascii="Times New Roman" w:eastAsia="Cambria" w:hAnsi="Times New Roman" w:cs="Times New Roman"/>
          <w:noProof/>
          <w:color w:val="000000"/>
          <w:sz w:val="24"/>
          <w:szCs w:val="24"/>
        </w:rPr>
        <w:t>Davis, 2005</w:t>
      </w:r>
      <w:r w:rsidR="00FF53CF" w:rsidRPr="00FF53CF">
        <w:rPr>
          <w:rFonts w:ascii="Times New Roman" w:eastAsia="Cambria" w:hAnsi="Times New Roman" w:cs="Times New Roman"/>
          <w:noProof/>
          <w:color w:val="000000"/>
          <w:sz w:val="24"/>
          <w:szCs w:val="24"/>
        </w:rPr>
        <w:t>)</w:t>
      </w:r>
      <w:r w:rsidR="00FF72F0" w:rsidRPr="00FF72F0">
        <w:rPr>
          <w:rFonts w:ascii="Times New Roman" w:eastAsia="Cambria" w:hAnsi="Times New Roman" w:cs="Times New Roman"/>
          <w:color w:val="000000"/>
          <w:sz w:val="24"/>
          <w:szCs w:val="24"/>
        </w:rPr>
        <w:fldChar w:fldCharType="end"/>
      </w:r>
      <w:r w:rsidR="00FF72F0" w:rsidRPr="00FF72F0">
        <w:rPr>
          <w:rFonts w:ascii="Times New Roman" w:eastAsia="Cambria" w:hAnsi="Times New Roman" w:cs="Times New Roman"/>
          <w:color w:val="000000"/>
          <w:sz w:val="24"/>
          <w:szCs w:val="24"/>
        </w:rPr>
        <w:t>. Conversely, Sprague’s pipit and Baird’s sparrow abundances both decreased closer to roads; this is consistent with previous studies (Sutter et al.</w:t>
      </w:r>
      <w:r w:rsidR="00E13D4F">
        <w:rPr>
          <w:rFonts w:ascii="Times New Roman" w:eastAsia="Cambria" w:hAnsi="Times New Roman" w:cs="Times New Roman"/>
          <w:color w:val="000000"/>
          <w:sz w:val="24"/>
          <w:szCs w:val="24"/>
        </w:rPr>
        <w:t>,</w:t>
      </w:r>
      <w:r w:rsidR="00FF72F0" w:rsidRPr="00FF72F0">
        <w:rPr>
          <w:rFonts w:ascii="Times New Roman" w:eastAsia="Cambria" w:hAnsi="Times New Roman" w:cs="Times New Roman"/>
          <w:color w:val="000000"/>
          <w:sz w:val="24"/>
          <w:szCs w:val="24"/>
        </w:rPr>
        <w:t xml:space="preserve"> 2000</w:t>
      </w:r>
      <w:r w:rsidR="00E13D4F">
        <w:rPr>
          <w:rFonts w:ascii="Times New Roman" w:eastAsia="Cambria" w:hAnsi="Times New Roman" w:cs="Times New Roman"/>
          <w:color w:val="000000"/>
          <w:sz w:val="24"/>
          <w:szCs w:val="24"/>
        </w:rPr>
        <w:t>;</w:t>
      </w:r>
      <w:r w:rsidR="00FF72F0" w:rsidRPr="00FF72F0">
        <w:rPr>
          <w:rFonts w:ascii="Times New Roman" w:eastAsia="Cambria" w:hAnsi="Times New Roman" w:cs="Times New Roman"/>
          <w:color w:val="000000"/>
          <w:sz w:val="24"/>
          <w:szCs w:val="24"/>
        </w:rPr>
        <w:t xml:space="preserve"> Koper and Schmiegelow</w:t>
      </w:r>
      <w:r w:rsidR="00E13D4F">
        <w:rPr>
          <w:rFonts w:ascii="Times New Roman" w:eastAsia="Cambria" w:hAnsi="Times New Roman" w:cs="Times New Roman"/>
          <w:color w:val="000000"/>
          <w:sz w:val="24"/>
          <w:szCs w:val="24"/>
        </w:rPr>
        <w:t>,</w:t>
      </w:r>
      <w:r w:rsidR="00FF72F0" w:rsidRPr="00FF72F0">
        <w:rPr>
          <w:rFonts w:ascii="Times New Roman" w:eastAsia="Cambria" w:hAnsi="Times New Roman" w:cs="Times New Roman"/>
          <w:color w:val="000000"/>
          <w:sz w:val="24"/>
          <w:szCs w:val="24"/>
        </w:rPr>
        <w:t xml:space="preserve"> 2006</w:t>
      </w:r>
      <w:r w:rsidR="00785242">
        <w:rPr>
          <w:rFonts w:ascii="Times New Roman" w:eastAsia="Cambria" w:hAnsi="Times New Roman" w:cs="Times New Roman"/>
          <w:color w:val="000000"/>
          <w:sz w:val="24"/>
          <w:szCs w:val="24"/>
        </w:rPr>
        <w:t xml:space="preserve">, but see </w:t>
      </w:r>
      <w:r w:rsidR="00FF72F0" w:rsidRPr="00FF72F0">
        <w:rPr>
          <w:rFonts w:ascii="Times New Roman" w:eastAsia="Cambria" w:hAnsi="Times New Roman" w:cs="Times New Roman"/>
          <w:color w:val="000000"/>
          <w:sz w:val="24"/>
          <w:szCs w:val="24"/>
        </w:rPr>
        <w:t>Sliwinski and Koper</w:t>
      </w:r>
      <w:r w:rsidR="00E13D4F">
        <w:rPr>
          <w:rFonts w:ascii="Times New Roman" w:eastAsia="Cambria" w:hAnsi="Times New Roman" w:cs="Times New Roman"/>
          <w:color w:val="000000"/>
          <w:sz w:val="24"/>
          <w:szCs w:val="24"/>
        </w:rPr>
        <w:t>,</w:t>
      </w:r>
      <w:r w:rsidR="00FF72F0" w:rsidRPr="00FF72F0">
        <w:rPr>
          <w:rFonts w:ascii="Times New Roman" w:eastAsia="Cambria" w:hAnsi="Times New Roman" w:cs="Times New Roman"/>
          <w:color w:val="000000"/>
          <w:sz w:val="24"/>
          <w:szCs w:val="24"/>
        </w:rPr>
        <w:t xml:space="preserve"> 2012). Traffic along roads may discourage songbirds from using roadside habitat </w:t>
      </w:r>
      <w:r w:rsidR="00FF72F0" w:rsidRPr="00FF72F0">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"author" : [ { "dropping-particle" : "", "family" : "Reijnen", "given" : "R.", "non-dropping-particle" : "", "parse-names" : false, "suffix" : "" }, { "dropping-particle" : "", "family" : "Foppen", "given" : "R.", "non-dropping-particle" : "", "parse-names" : false, "suffix" : "" }, { "dropping-particle" : "", "family" : "Meeuwsen", "given" : "H.", "non-dropping-particle" : "", "parse-names" : false, "suffix" : "" } ], "container-title" : "Biological Conservation", "id" : "ITEM-1", "issue" : "3", "issued" : { "date-parts" : [ [ "1996" ] ] }, "page" : "255-260", "title" : "The effects of traffic on the density of breeding birds in Dutch agricultural grasslands", "type" : "article-journal", "volume" : "75" }, "uris" : [ "http://www.mendeley.com/documents/?uuid=e7e54fd0-b1a8-4f73-8572-39cc1f62dbbc" ] } ], "mendeley" : { "formattedCitation" : "(Reijnen et al., 1996)", "plainTextFormattedCitation" : "(Reijnen et al., 1996)", "previouslyFormattedCitation" : "(Reijnen et al., 1996)" }, "properties" : { "noteIndex" : 0 }, "schema" : "https://github.com/citation-style-language/schema/raw/master/csl-citation.json" }</w:instrText>
      </w:r>
      <w:r w:rsidR="00FF72F0" w:rsidRPr="00FF72F0">
        <w:rPr>
          <w:rFonts w:ascii="Times New Roman" w:eastAsia="Cambria" w:hAnsi="Times New Roman" w:cs="Times New Roman"/>
          <w:color w:val="000000"/>
          <w:sz w:val="24"/>
          <w:szCs w:val="24"/>
        </w:rPr>
        <w:fldChar w:fldCharType="separate"/>
      </w:r>
      <w:r w:rsidR="00FF53CF" w:rsidRPr="00FF53CF">
        <w:rPr>
          <w:rFonts w:ascii="Times New Roman" w:eastAsia="Cambria" w:hAnsi="Times New Roman" w:cs="Times New Roman"/>
          <w:noProof/>
          <w:color w:val="000000"/>
          <w:sz w:val="24"/>
          <w:szCs w:val="24"/>
        </w:rPr>
        <w:t>(Reijnen et al., 1996)</w:t>
      </w:r>
      <w:r w:rsidR="00FF72F0" w:rsidRPr="00FF72F0">
        <w:rPr>
          <w:rFonts w:ascii="Times New Roman" w:eastAsia="Cambria" w:hAnsi="Times New Roman" w:cs="Times New Roman"/>
          <w:color w:val="000000"/>
          <w:sz w:val="24"/>
          <w:szCs w:val="24"/>
        </w:rPr>
        <w:fldChar w:fldCharType="end"/>
      </w:r>
      <w:r w:rsidR="00FF72F0" w:rsidRPr="00FF72F0">
        <w:rPr>
          <w:rFonts w:ascii="Times New Roman" w:eastAsia="Cambria" w:hAnsi="Times New Roman" w:cs="Times New Roman"/>
          <w:color w:val="000000"/>
          <w:sz w:val="24"/>
          <w:szCs w:val="24"/>
        </w:rPr>
        <w:t xml:space="preserve">; increased mortality along roads may also explain this trend </w:t>
      </w:r>
      <w:r w:rsidR="00FF72F0" w:rsidRPr="00FF72F0">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"author" : [ { "dropping-particle" : "", "family" : "Trombulak", "given" : "Stephen C", "non-dropping-particle" : "", "parse-names" : false, "suffix" : "" }, { "dropping-particle" : "", "family" : "Frissell", "given" : "Christopher A", "non-dropping-particle" : "", "parse-names" : false, "suffix" : "" } ], "container-title" : "Conservation Biology", "id" : "ITEM-1", "issue" : "1", "issued" : { "date-parts" : [ [ "2000" ] ] }, "page" : "18-30", "title" : "Review of ecological effects of roads on terrestrial and aquatic communities", "type" : "article-journal", "volume" : "14" }, "uris" : [ "http://www.mendeley.com/documents/?uuid=015050bb-dd41-4f06-a386-edcf6e956687" ] }, { "id" : "ITEM-2", "itemData" : { "DOI" : "10.1016/S0006-3207(02)00127-1", "ISSN" : "00063207", "author" : [ { "dropping-particle" : "", "family" : "Clevenger", "given" : "Anthony P", "non-dropping-particle" : "", "parse-names" : false, "suffix" : "" }, { "dropping-particle" : "", "family" : "Chruszcz", "given" : "Bryan", "non-dropping-particle" : "", "parse-names" : false, "suffix" : "" }, { "dropping-particle" : "", "family" : "Gunson", "given" : "Kari E", "non-dropping-particle" : "", "parse-names" : false, "suffix" : "" } ], "container-title" : "Biological Conservation", "id" : "ITEM-2", "issue" : "1", "issued" : { "date-parts" : [ [ "2003", "1" ] ] }, "page" : "15-26", "title" : "Spatial patterns and factors influencing small vertebrate fauna road-kill aggregations", "type" : "article-journal", "volume" : "109" }, "uris" : [ "http://www.mendeley.com/documents/?uuid=4ce69f08-b1fb-410f-8ab7-3c9013c78771" ] }, { "id" : "ITEM-3", "itemData" : { "author" : [ { "dropping-particle" : "", "family" : "Lloyd", "given" : "John D", "non-dropping-particle" : "", "parse-names" : false, "suffix" : "" }, { "dropping-particle" : "", "family" : "Slater", "given" : "Gary L", "non-dropping-particle" : "", "parse-names" : false, "suffix" : "" }, { "dropping-particle" : "", "family" : "Snow", "given" : "Skip", "non-dropping-particle" : "", "parse-names" : false, "suffix" : "" } ], "container-title" : "The Journal of Wildlife Management", "id" : "ITEM-3", "issue" : "6", "issued" : { "date-parts" : [ [ "2009" ] ] }, "page" : "955-964", "title" : "Demography of reintroduced eastern bluebirds and brown-headed nuthatches", "type" : "article-journal", "volume" : "73" }, "uris" : [ "http://www.mendeley.com/documents/?uuid=e63537cd-62d0-49d3-852f-4ca8ac9ed03e" ] } ], "mendeley" : { "formattedCitation" : "(Clevenger et al., 2003; Lloyd et al., 2009; Trombulak and Frissell, 2000)", "plainTextFormattedCitation" : "(Clevenger et al., 2003; Lloyd et al., 2009; Trombulak and Frissell, 2000)", "previouslyFormattedCitation" : "(Clevenger et al., 2003; Lloyd et al., 2009; Trombulak and Frissell, 2000)" }, "properties" : { "noteIndex" : 0 }, "schema" : "https://github.com/citation-style-language/schema/raw/master/csl-citation.json" }</w:instrText>
      </w:r>
      <w:r w:rsidR="00FF72F0" w:rsidRPr="00FF72F0">
        <w:rPr>
          <w:rFonts w:ascii="Times New Roman" w:eastAsia="Cambria" w:hAnsi="Times New Roman" w:cs="Times New Roman"/>
          <w:color w:val="000000"/>
          <w:sz w:val="24"/>
          <w:szCs w:val="24"/>
        </w:rPr>
        <w:fldChar w:fldCharType="separate"/>
      </w:r>
      <w:r w:rsidR="00FF53CF" w:rsidRPr="00FF53CF">
        <w:rPr>
          <w:rFonts w:ascii="Times New Roman" w:eastAsia="Cambria" w:hAnsi="Times New Roman" w:cs="Times New Roman"/>
          <w:noProof/>
          <w:color w:val="000000"/>
          <w:sz w:val="24"/>
          <w:szCs w:val="24"/>
        </w:rPr>
        <w:t>(</w:t>
      </w:r>
      <w:r w:rsidR="00E13D4F" w:rsidRPr="00FF53CF">
        <w:rPr>
          <w:rFonts w:ascii="Times New Roman" w:eastAsia="Cambria" w:hAnsi="Times New Roman" w:cs="Times New Roman"/>
          <w:noProof/>
          <w:color w:val="000000"/>
          <w:sz w:val="24"/>
          <w:szCs w:val="24"/>
        </w:rPr>
        <w:t>Trombulak and Frissell, 2000</w:t>
      </w:r>
      <w:r w:rsidR="00E13D4F">
        <w:rPr>
          <w:rFonts w:ascii="Times New Roman" w:eastAsia="Cambria" w:hAnsi="Times New Roman" w:cs="Times New Roman"/>
          <w:noProof/>
          <w:color w:val="000000"/>
          <w:sz w:val="24"/>
          <w:szCs w:val="24"/>
        </w:rPr>
        <w:t xml:space="preserve">; </w:t>
      </w:r>
      <w:r w:rsidR="00FF53CF" w:rsidRPr="00FF53CF">
        <w:rPr>
          <w:rFonts w:ascii="Times New Roman" w:eastAsia="Cambria" w:hAnsi="Times New Roman" w:cs="Times New Roman"/>
          <w:noProof/>
          <w:color w:val="000000"/>
          <w:sz w:val="24"/>
          <w:szCs w:val="24"/>
        </w:rPr>
        <w:t>Clevenger et al., 2003; Lloyd et al., 2009</w:t>
      </w:r>
      <w:r w:rsidR="00E13D4F">
        <w:rPr>
          <w:rFonts w:ascii="Times New Roman" w:eastAsia="Cambria" w:hAnsi="Times New Roman" w:cs="Times New Roman"/>
          <w:noProof/>
          <w:color w:val="000000"/>
          <w:sz w:val="24"/>
          <w:szCs w:val="24"/>
        </w:rPr>
        <w:t>)</w:t>
      </w:r>
      <w:r w:rsidR="00FF53CF" w:rsidRPr="00FF53CF">
        <w:rPr>
          <w:rFonts w:ascii="Times New Roman" w:eastAsia="Cambria" w:hAnsi="Times New Roman" w:cs="Times New Roman"/>
          <w:noProof/>
          <w:color w:val="000000"/>
          <w:sz w:val="24"/>
          <w:szCs w:val="24"/>
        </w:rPr>
        <w:t xml:space="preserve"> </w:t>
      </w:r>
      <w:r w:rsidR="00FF72F0" w:rsidRPr="00FF72F0">
        <w:rPr>
          <w:rFonts w:ascii="Times New Roman" w:eastAsia="Cambria" w:hAnsi="Times New Roman" w:cs="Times New Roman"/>
          <w:color w:val="000000"/>
          <w:sz w:val="24"/>
          <w:szCs w:val="24"/>
        </w:rPr>
        <w:fldChar w:fldCharType="end"/>
      </w:r>
      <w:r w:rsidR="00FF72F0" w:rsidRPr="00FF72F0">
        <w:rPr>
          <w:rFonts w:ascii="Times New Roman" w:eastAsia="Cambria" w:hAnsi="Times New Roman" w:cs="Times New Roman"/>
          <w:color w:val="000000"/>
          <w:sz w:val="24"/>
          <w:szCs w:val="24"/>
        </w:rPr>
        <w:t>.</w:t>
      </w:r>
      <w:r w:rsidR="00785242">
        <w:rPr>
          <w:rFonts w:ascii="Times New Roman" w:eastAsia="Cambria" w:hAnsi="Times New Roman" w:cs="Times New Roman"/>
          <w:color w:val="000000"/>
          <w:sz w:val="24"/>
          <w:szCs w:val="24"/>
        </w:rPr>
        <w:t xml:space="preserve"> The presence of exotic vegetation also played little role in explaining </w:t>
      </w:r>
      <w:r w:rsidR="00785242">
        <w:rPr>
          <w:rFonts w:ascii="Times New Roman" w:eastAsia="Cambria" w:hAnsi="Times New Roman" w:cs="Times New Roman"/>
          <w:color w:val="000000"/>
          <w:sz w:val="24"/>
          <w:szCs w:val="24"/>
        </w:rPr>
        <w:lastRenderedPageBreak/>
        <w:t xml:space="preserve">distributions of our five focal species, perhaps because exotic vegetation was rare in our sites. It may have a greater </w:t>
      </w:r>
      <w:r w:rsidR="00B05C37">
        <w:rPr>
          <w:rFonts w:ascii="Times New Roman" w:eastAsia="Cambria" w:hAnsi="Times New Roman" w:cs="Times New Roman"/>
          <w:color w:val="000000"/>
          <w:sz w:val="24"/>
          <w:szCs w:val="24"/>
        </w:rPr>
        <w:t xml:space="preserve">effect </w:t>
      </w:r>
      <w:r w:rsidR="00785242">
        <w:rPr>
          <w:rFonts w:ascii="Times New Roman" w:eastAsia="Cambria" w:hAnsi="Times New Roman" w:cs="Times New Roman"/>
          <w:color w:val="000000"/>
          <w:sz w:val="24"/>
          <w:szCs w:val="24"/>
        </w:rPr>
        <w:t>where its abundance is more extensive (Ludlow et al.</w:t>
      </w:r>
      <w:r w:rsidR="00E13D4F">
        <w:rPr>
          <w:rFonts w:ascii="Times New Roman" w:eastAsia="Cambria" w:hAnsi="Times New Roman" w:cs="Times New Roman"/>
          <w:color w:val="000000"/>
          <w:sz w:val="24"/>
          <w:szCs w:val="24"/>
        </w:rPr>
        <w:t>,</w:t>
      </w:r>
      <w:r w:rsidR="00785242">
        <w:rPr>
          <w:rFonts w:ascii="Times New Roman" w:eastAsia="Cambria" w:hAnsi="Times New Roman" w:cs="Times New Roman"/>
          <w:color w:val="000000"/>
          <w:sz w:val="24"/>
          <w:szCs w:val="24"/>
        </w:rPr>
        <w:t xml:space="preserve"> 2015).</w:t>
      </w:r>
    </w:p>
    <w:p w14:paraId="7E353E59" w14:textId="05D5B964" w:rsidR="002E3111" w:rsidRPr="00FF72F0" w:rsidRDefault="00C15DA7" w:rsidP="002E3111">
      <w:pPr>
        <w:spacing w:after="0" w:line="240" w:lineRule="auto"/>
        <w:ind w:firstLine="720"/>
        <w:rPr>
          <w:rFonts w:ascii="Times New Roman" w:eastAsia="Cambria" w:hAnsi="Times New Roman" w:cs="Times New Roman"/>
          <w:sz w:val="24"/>
          <w:szCs w:val="24"/>
        </w:rPr>
      </w:pPr>
      <w:r>
        <w:rPr>
          <w:rFonts w:ascii="Times New Roman" w:eastAsia="Cambria" w:hAnsi="Times New Roman" w:cs="Times New Roman"/>
          <w:color w:val="000000"/>
          <w:sz w:val="24"/>
          <w:szCs w:val="24"/>
        </w:rPr>
        <w:t xml:space="preserve">Many ecologists have pointed out the ecological </w:t>
      </w:r>
      <w:r w:rsidR="00B05C37">
        <w:rPr>
          <w:rFonts w:ascii="Times New Roman" w:eastAsia="Cambria" w:hAnsi="Times New Roman" w:cs="Times New Roman"/>
          <w:color w:val="000000"/>
          <w:sz w:val="24"/>
          <w:szCs w:val="24"/>
        </w:rPr>
        <w:t xml:space="preserve">effects </w:t>
      </w:r>
      <w:r>
        <w:rPr>
          <w:rFonts w:ascii="Times New Roman" w:eastAsia="Cambria" w:hAnsi="Times New Roman" w:cs="Times New Roman"/>
          <w:color w:val="000000"/>
          <w:sz w:val="24"/>
          <w:szCs w:val="24"/>
        </w:rPr>
        <w:t xml:space="preserve">of anthropogenic noise (e.g., </w:t>
      </w:r>
      <w:r w:rsidR="00AB0C24">
        <w:rPr>
          <w:rFonts w:ascii="Times New Roman" w:eastAsia="Cambria" w:hAnsi="Times New Roman" w:cs="Times New Roman"/>
          <w:color w:val="000000"/>
          <w:sz w:val="24"/>
          <w:szCs w:val="24"/>
        </w:rPr>
        <w:t>Francis and Barber</w:t>
      </w:r>
      <w:r w:rsidR="00E13D4F">
        <w:rPr>
          <w:rFonts w:ascii="Times New Roman" w:eastAsia="Cambria" w:hAnsi="Times New Roman" w:cs="Times New Roman"/>
          <w:color w:val="000000"/>
          <w:sz w:val="24"/>
          <w:szCs w:val="24"/>
        </w:rPr>
        <w:t>,</w:t>
      </w:r>
      <w:r w:rsidR="00AB0C24">
        <w:rPr>
          <w:rFonts w:ascii="Times New Roman" w:eastAsia="Cambria" w:hAnsi="Times New Roman" w:cs="Times New Roman"/>
          <w:color w:val="000000"/>
          <w:sz w:val="24"/>
          <w:szCs w:val="24"/>
        </w:rPr>
        <w:t xml:space="preserve"> 2013</w:t>
      </w:r>
      <w:r>
        <w:rPr>
          <w:rFonts w:ascii="Times New Roman" w:eastAsia="Cambria" w:hAnsi="Times New Roman" w:cs="Times New Roman"/>
          <w:color w:val="000000"/>
          <w:sz w:val="24"/>
          <w:szCs w:val="24"/>
        </w:rPr>
        <w:t>), and thus it may seem s</w:t>
      </w:r>
      <w:r w:rsidR="00785242" w:rsidRPr="00FF72F0">
        <w:rPr>
          <w:rFonts w:ascii="Times New Roman" w:eastAsia="Cambria" w:hAnsi="Times New Roman" w:cs="Times New Roman"/>
          <w:color w:val="000000"/>
          <w:sz w:val="24"/>
          <w:szCs w:val="24"/>
        </w:rPr>
        <w:t>urprising</w:t>
      </w:r>
      <w:r>
        <w:rPr>
          <w:rFonts w:ascii="Times New Roman" w:eastAsia="Cambria" w:hAnsi="Times New Roman" w:cs="Times New Roman"/>
          <w:color w:val="000000"/>
          <w:sz w:val="24"/>
          <w:szCs w:val="24"/>
        </w:rPr>
        <w:t xml:space="preserve"> that</w:t>
      </w:r>
      <w:r w:rsidR="00785242" w:rsidRPr="00FF72F0">
        <w:rPr>
          <w:rFonts w:ascii="Times New Roman" w:eastAsia="Cambria" w:hAnsi="Times New Roman" w:cs="Times New Roman"/>
          <w:color w:val="000000"/>
          <w:sz w:val="24"/>
          <w:szCs w:val="24"/>
        </w:rPr>
        <w:t xml:space="preserve"> noise and human activity </w:t>
      </w:r>
      <w:r>
        <w:rPr>
          <w:rFonts w:ascii="Times New Roman" w:eastAsia="Cambria" w:hAnsi="Times New Roman" w:cs="Times New Roman"/>
          <w:color w:val="000000"/>
          <w:sz w:val="24"/>
          <w:szCs w:val="24"/>
        </w:rPr>
        <w:t>did not increase</w:t>
      </w:r>
      <w:r w:rsidR="00785242" w:rsidRPr="00FF72F0">
        <w:rPr>
          <w:rFonts w:ascii="Times New Roman" w:eastAsia="Cambria" w:hAnsi="Times New Roman" w:cs="Times New Roman"/>
          <w:color w:val="000000"/>
          <w:sz w:val="24"/>
          <w:szCs w:val="24"/>
        </w:rPr>
        <w:t xml:space="preserve"> well avoidance by Sprague’s pipits and Baird’s sparrows. </w:t>
      </w:r>
      <w:r w:rsidR="008A654E">
        <w:rPr>
          <w:rFonts w:ascii="Times New Roman" w:eastAsia="Cambria" w:hAnsi="Times New Roman" w:cs="Times New Roman"/>
          <w:color w:val="000000"/>
          <w:sz w:val="24"/>
          <w:szCs w:val="24"/>
        </w:rPr>
        <w:t xml:space="preserve">While noise can clearly </w:t>
      </w:r>
      <w:r w:rsidR="00B05C37">
        <w:rPr>
          <w:rFonts w:ascii="Times New Roman" w:eastAsia="Cambria" w:hAnsi="Times New Roman" w:cs="Times New Roman"/>
          <w:color w:val="000000"/>
          <w:sz w:val="24"/>
          <w:szCs w:val="24"/>
        </w:rPr>
        <w:t xml:space="preserve">affect </w:t>
      </w:r>
      <w:r w:rsidR="001471B0">
        <w:rPr>
          <w:rFonts w:ascii="Times New Roman" w:eastAsia="Cambria" w:hAnsi="Times New Roman" w:cs="Times New Roman"/>
          <w:color w:val="000000"/>
          <w:sz w:val="24"/>
          <w:szCs w:val="24"/>
        </w:rPr>
        <w:t>a variety of avian behavio</w:t>
      </w:r>
      <w:r w:rsidR="008A654E">
        <w:rPr>
          <w:rFonts w:ascii="Times New Roman" w:eastAsia="Cambria" w:hAnsi="Times New Roman" w:cs="Times New Roman"/>
          <w:color w:val="000000"/>
          <w:sz w:val="24"/>
          <w:szCs w:val="24"/>
        </w:rPr>
        <w:t>rs (</w:t>
      </w:r>
      <w:r w:rsidR="00AB0C24">
        <w:rPr>
          <w:rFonts w:ascii="Times New Roman" w:eastAsia="Cambria" w:hAnsi="Times New Roman" w:cs="Times New Roman"/>
          <w:color w:val="000000"/>
          <w:sz w:val="24"/>
          <w:szCs w:val="24"/>
        </w:rPr>
        <w:t xml:space="preserve">e.g., </w:t>
      </w:r>
      <w:r w:rsidR="000A17D3">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"abstract" : "Anthropogenic noise, now common to many landscapes, can impair acoustic communication for many species, yet some birds compensate for masking by noise by altering their songs. The phylogenetic distribution of these noise-dependent signal adjustments is uncertain, and it is not known whether closely related species respond similarly to noise. Here, we investigated the influence of noise on habitat occupancy rates and vocal frequency in two congeneric vireos with similar song features. Noise exposure did not influence occupancy rates for either species, yet song features of both changed, albeit in different ways. With increases in noise levels, plumbeous vireos (Vireo plumbeus) sang shorter songs with higher minimum frequencies. By contrast, grey vireos (Vireo vicinior) sang longer songs with higher maximum frequencies. These findings support the notion that vocal plasticity may help some species occupy noisy areas, but because there were no commonalities among the signal changes exhibited by these closely related birds, it may be difficult to predict how diverse species may modify their signals in an increasingly noisy world.", "author" : [ { "dropping-particle" : "", "family" : "Francis", "given" : "Clinton D", "non-dropping-particle" : "", "parse-names" : false, "suffix" : "" }, { "dropping-particle" : "", "family" : "Ortega", "given" : "Catherine P", "non-dropping-particle" : "", "parse-names" : false, "suffix" : "" }, { "dropping-particle" : "", "family" : "Cruz", "given" : "Alexander", "non-dropping-particle" : "", "parse-names" : false, "suffix" : "" } ], "container-title" : "Biology Letters", "id" : "ITEM-1", "issued" : { "date-parts" : [ [ "2011", "5", "25" ] ] }, "title" : "Different behavioural responses to anthropogenic noise by two closely related passerine birds", "type" : "article-journal" }, "uris" : [ "http://www.mendeley.com/documents/?uuid=331c022a-d0b9-47c1-b6c1-ab8630ee6609" ] } ], "mendeley" : { "formattedCitation" : "(Francis et al., 2011)", "manualFormatting" : "Francis et al. 2011", "plainTextFormattedCitation" : "(Francis et al., 2011)", "previouslyFormattedCitation" : "(Francis et al., 2011)" }, "properties" : { "noteIndex" : 0 }, "schema" : "https://github.com/citation-style-language/schema/raw/master/csl-citation.json" }</w:instrText>
      </w:r>
      <w:r w:rsidR="000A17D3">
        <w:rPr>
          <w:rFonts w:ascii="Times New Roman" w:eastAsia="Cambria" w:hAnsi="Times New Roman" w:cs="Times New Roman"/>
          <w:color w:val="000000"/>
          <w:sz w:val="24"/>
          <w:szCs w:val="24"/>
        </w:rPr>
        <w:fldChar w:fldCharType="separate"/>
      </w:r>
      <w:r w:rsidR="000A17D3" w:rsidRPr="000A17D3">
        <w:rPr>
          <w:rFonts w:ascii="Times New Roman" w:eastAsia="Cambria" w:hAnsi="Times New Roman" w:cs="Times New Roman"/>
          <w:noProof/>
          <w:color w:val="000000"/>
          <w:sz w:val="24"/>
          <w:szCs w:val="24"/>
        </w:rPr>
        <w:t>Francis et al.</w:t>
      </w:r>
      <w:r w:rsidR="00E13D4F">
        <w:rPr>
          <w:rFonts w:ascii="Times New Roman" w:eastAsia="Cambria" w:hAnsi="Times New Roman" w:cs="Times New Roman"/>
          <w:noProof/>
          <w:color w:val="000000"/>
          <w:sz w:val="24"/>
          <w:szCs w:val="24"/>
        </w:rPr>
        <w:t>,</w:t>
      </w:r>
      <w:r w:rsidR="000A17D3" w:rsidRPr="000A17D3">
        <w:rPr>
          <w:rFonts w:ascii="Times New Roman" w:eastAsia="Cambria" w:hAnsi="Times New Roman" w:cs="Times New Roman"/>
          <w:noProof/>
          <w:color w:val="000000"/>
          <w:sz w:val="24"/>
          <w:szCs w:val="24"/>
        </w:rPr>
        <w:t xml:space="preserve"> 2011</w:t>
      </w:r>
      <w:r w:rsidR="000A17D3">
        <w:rPr>
          <w:rFonts w:ascii="Times New Roman" w:eastAsia="Cambria" w:hAnsi="Times New Roman" w:cs="Times New Roman"/>
          <w:color w:val="000000"/>
          <w:sz w:val="24"/>
          <w:szCs w:val="24"/>
        </w:rPr>
        <w:fldChar w:fldCharType="end"/>
      </w:r>
      <w:r w:rsidR="00E13D4F">
        <w:rPr>
          <w:rFonts w:ascii="Times New Roman" w:eastAsia="Cambria" w:hAnsi="Times New Roman" w:cs="Times New Roman"/>
          <w:color w:val="000000"/>
          <w:sz w:val="24"/>
          <w:szCs w:val="24"/>
        </w:rPr>
        <w:t>;</w:t>
      </w:r>
      <w:r w:rsidR="00F509D8">
        <w:rPr>
          <w:rFonts w:ascii="Times New Roman" w:eastAsia="Cambria" w:hAnsi="Times New Roman" w:cs="Times New Roman"/>
          <w:color w:val="000000"/>
          <w:sz w:val="24"/>
          <w:szCs w:val="24"/>
        </w:rPr>
        <w:t xml:space="preserve"> </w:t>
      </w:r>
      <w:r w:rsidR="000A17D3">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"DOI" : "10.1073/pnas.1504710112", "ISSN" : "1091-6490", "PMID" : "26324924", "abstract" : "Decades of research demonstrate that roads impact wildlife and suggest traffic noise as a primary cause of population declines near roads. We created a \"phantom road\" using an array of speakers to apply traffic noise to a roadless landscape, directly testing the effect of noise alone on an entire songbird community during autumn migration. Thirty-one percent of the bird community avoided the phantom road. For individuals that stayed despite the noise, overall body condition decreased by a full SD and some species showed a change in ability to gain body condition when exposed to traffic noise during migratory stopover. We conducted complementary laboratory experiments that implicate foraging-vigilance behavior as one mechanism driving this pattern. Our results suggest that noise degrades habitat that is otherwise suitable, and that the presence of a species does not indicate the absence of an impact.", "author" : [ { "dropping-particle" : "", "family" : "Ware", "given" : "Heidi E", "non-dropping-particle" : "", "parse-names" : false, "suffix" : "" }, { "dropping-particle" : "", "family" : "McClure", "given" : "Christopher J W", "non-dropping-particle" : "", "parse-names" : false, "suffix" : "" }, { "dropping-particle" : "", "family" : "Carlisle", "given" : "Jay D", "non-dropping-particle" : "", "parse-names" : false, "suffix" : "" }, { "dropping-particle" : "", "family" : "Barber", "given" : "Jesse R", "non-dropping-particle" : "", "parse-names" : false, "suffix" : "" } ], "container-title" : "Proceedings of the National Academy of Sciences of the United States of America", "id" : "ITEM-1", "issue" : "39", "issued" : { "date-parts" : [ [ "2015", "9", "29" ] ] }, "page" : "12105-9", "publisher" : "National Academy of Sciences", "title" : "A phantom road experiment reveals traffic noise is an invisible source of habitat degradation.", "type" : "article-journal", "volume" : "112" }, "uris" : [ "http://www.mendeley.com/documents/?uuid=a754dcf1-3a0b-3114-8e02-a398d251fc40" ] } ], "mendeley" : { "formattedCitation" : "(Ware et al., 2015)", "manualFormatting" : "Ware et al. 2015)", "plainTextFormattedCitation" : "(Ware et al., 2015)", "previouslyFormattedCitation" : "(Ware et al., 2015)" }, "properties" : { "noteIndex" : 0 }, "schema" : "https://github.com/citation-style-language/schema/raw/master/csl-citation.json" }</w:instrText>
      </w:r>
      <w:r w:rsidR="000A17D3">
        <w:rPr>
          <w:rFonts w:ascii="Times New Roman" w:eastAsia="Cambria" w:hAnsi="Times New Roman" w:cs="Times New Roman"/>
          <w:color w:val="000000"/>
          <w:sz w:val="24"/>
          <w:szCs w:val="24"/>
        </w:rPr>
        <w:fldChar w:fldCharType="separate"/>
      </w:r>
      <w:r w:rsidR="000A17D3" w:rsidRPr="000A17D3">
        <w:rPr>
          <w:rFonts w:ascii="Times New Roman" w:eastAsia="Cambria" w:hAnsi="Times New Roman" w:cs="Times New Roman"/>
          <w:noProof/>
          <w:color w:val="000000"/>
          <w:sz w:val="24"/>
          <w:szCs w:val="24"/>
        </w:rPr>
        <w:t>Ware et al.</w:t>
      </w:r>
      <w:r w:rsidR="00E13D4F">
        <w:rPr>
          <w:rFonts w:ascii="Times New Roman" w:eastAsia="Cambria" w:hAnsi="Times New Roman" w:cs="Times New Roman"/>
          <w:noProof/>
          <w:color w:val="000000"/>
          <w:sz w:val="24"/>
          <w:szCs w:val="24"/>
        </w:rPr>
        <w:t>,</w:t>
      </w:r>
      <w:r w:rsidR="000A17D3" w:rsidRPr="000A17D3">
        <w:rPr>
          <w:rFonts w:ascii="Times New Roman" w:eastAsia="Cambria" w:hAnsi="Times New Roman" w:cs="Times New Roman"/>
          <w:noProof/>
          <w:color w:val="000000"/>
          <w:sz w:val="24"/>
          <w:szCs w:val="24"/>
        </w:rPr>
        <w:t xml:space="preserve"> 2015)</w:t>
      </w:r>
      <w:r w:rsidR="000A17D3">
        <w:rPr>
          <w:rFonts w:ascii="Times New Roman" w:eastAsia="Cambria" w:hAnsi="Times New Roman" w:cs="Times New Roman"/>
          <w:color w:val="000000"/>
          <w:sz w:val="24"/>
          <w:szCs w:val="24"/>
        </w:rPr>
        <w:fldChar w:fldCharType="end"/>
      </w:r>
      <w:r w:rsidR="008A654E">
        <w:rPr>
          <w:rFonts w:ascii="Times New Roman" w:eastAsia="Cambria" w:hAnsi="Times New Roman" w:cs="Times New Roman"/>
          <w:color w:val="000000"/>
          <w:sz w:val="24"/>
          <w:szCs w:val="24"/>
        </w:rPr>
        <w:t>, there are also a number of strategies that can be adopted by individuals to compensate for anthropogenically altered soundscapes (</w:t>
      </w:r>
      <w:r w:rsidR="001471B0">
        <w:rPr>
          <w:rFonts w:ascii="Times New Roman" w:eastAsia="Cambria" w:hAnsi="Times New Roman" w:cs="Times New Roman"/>
          <w:color w:val="000000"/>
          <w:sz w:val="24"/>
          <w:szCs w:val="24"/>
        </w:rPr>
        <w:t xml:space="preserve">e.g. </w:t>
      </w:r>
      <w:r w:rsidR="003865EA">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"DOI" : "10.1642/0004-8038(2006)123[650:SSMMSV]2.0.CO;2", "ISBN" : "0004-8038", "ISSN" : "0004-8038", "abstract" : "In urban environments, anthropogenic noise may mask bird song, especially the notes occurring at lower frequencies (1-2 kHz). Birds living in urban environments may modify their songs, particularly the low-frequency portions, to minimize masking by anthropogenic noise. Such modifications have been observed in Great Tits (Parus major) in The Netherlands, as well as in some mammals. We studied Song Sparrows (Melospiza melodia), which are common in both urban and rural environments in much of North America, and recorded the songs of 28 free- living males in Portland, Oregon. We also measured the amplitude and spectrum of ambient noise at singing locations. Song Sparrows singing at noisier locations exhib- ited higher-frequency low notes and had relatively less energy (amplitude) in the low-frequency range of their songs (1-4 kHz), where most anthropogenic noise also occurred. Although the mechanism(s) producing the correlation are as yet unde- termined, the observed match between song and noise may result from behavioral plasticity. We discuss explanations for these patterns and how to test them. Received 4 April 2005, accepted 10 October 2005.", "author" : [ { "dropping-particle" : "", "family" : "Wood", "given" : "William E.", "non-dropping-particle" : "", "parse-names" : false, "suffix" : "" }, { "dropping-particle" : "", "family" : "Yezerinac", "given" : "Stephen M.", "non-dropping-particle" : "", "parse-names" : false, "suffix" : "" } ], "container-title" : "The Auk", "id" : "ITEM-1", "issue" : "3", "issued" : { "date-parts" : [ [ "2006" ] ] }, "page" : "650", "title" : "Song sparrow (Melospiza melodia) song varies with urban noise", "type" : "article-journal", "volume" : "123" }, "uris" : [ "http://www.mendeley.com/documents/?uuid=b03271d8-8ef4-4e7a-b2da-37801a30fa2f" ] } ], "mendeley" : { "formattedCitation" : "(Wood and Yezerinac, 2006)", "manualFormatting" : "Wood and Yezerinac 2006", "plainTextFormattedCitation" : "(Wood and Yezerinac, 2006)", "previouslyFormattedCitation" : "(Wood and Yezerinac, 2006)" }, "properties" : { "noteIndex" : 0 }, "schema" : "https://github.com/citation-style-language/schema/raw/master/csl-citation.json" }</w:instrText>
      </w:r>
      <w:r w:rsidR="003865EA">
        <w:rPr>
          <w:rFonts w:ascii="Times New Roman" w:eastAsia="Cambria" w:hAnsi="Times New Roman" w:cs="Times New Roman"/>
          <w:color w:val="000000"/>
          <w:sz w:val="24"/>
          <w:szCs w:val="24"/>
        </w:rPr>
        <w:fldChar w:fldCharType="separate"/>
      </w:r>
      <w:r w:rsidR="003865EA" w:rsidRPr="003865EA">
        <w:rPr>
          <w:rFonts w:ascii="Times New Roman" w:eastAsia="Cambria" w:hAnsi="Times New Roman" w:cs="Times New Roman"/>
          <w:noProof/>
          <w:color w:val="000000"/>
          <w:sz w:val="24"/>
          <w:szCs w:val="24"/>
        </w:rPr>
        <w:t>Wood and Yezerinac</w:t>
      </w:r>
      <w:r w:rsidR="00E13D4F">
        <w:rPr>
          <w:rFonts w:ascii="Times New Roman" w:eastAsia="Cambria" w:hAnsi="Times New Roman" w:cs="Times New Roman"/>
          <w:noProof/>
          <w:color w:val="000000"/>
          <w:sz w:val="24"/>
          <w:szCs w:val="24"/>
        </w:rPr>
        <w:t>,</w:t>
      </w:r>
      <w:r w:rsidR="003865EA" w:rsidRPr="003865EA">
        <w:rPr>
          <w:rFonts w:ascii="Times New Roman" w:eastAsia="Cambria" w:hAnsi="Times New Roman" w:cs="Times New Roman"/>
          <w:noProof/>
          <w:color w:val="000000"/>
          <w:sz w:val="24"/>
          <w:szCs w:val="24"/>
        </w:rPr>
        <w:t xml:space="preserve"> 2006</w:t>
      </w:r>
      <w:r w:rsidR="003865EA">
        <w:rPr>
          <w:rFonts w:ascii="Times New Roman" w:eastAsia="Cambria" w:hAnsi="Times New Roman" w:cs="Times New Roman"/>
          <w:color w:val="000000"/>
          <w:sz w:val="24"/>
          <w:szCs w:val="24"/>
        </w:rPr>
        <w:fldChar w:fldCharType="end"/>
      </w:r>
      <w:r w:rsidR="00E13D4F">
        <w:rPr>
          <w:rFonts w:ascii="Times New Roman" w:eastAsia="Cambria" w:hAnsi="Times New Roman" w:cs="Times New Roman"/>
          <w:color w:val="000000"/>
          <w:sz w:val="24"/>
          <w:szCs w:val="24"/>
        </w:rPr>
        <w:t>;</w:t>
      </w:r>
      <w:r w:rsidR="001471B0">
        <w:rPr>
          <w:rFonts w:ascii="Times New Roman" w:eastAsia="Cambria" w:hAnsi="Times New Roman" w:cs="Times New Roman"/>
          <w:color w:val="000000"/>
          <w:sz w:val="24"/>
          <w:szCs w:val="24"/>
        </w:rPr>
        <w:t xml:space="preserve"> </w:t>
      </w:r>
      <w:r w:rsidR="003865EA">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"DOI" : "10.1007/978-3-642-41494-7_7", "ISBN" : "978-3-642-41494-7", "author" : [ { "dropping-particle" : "", "family" : "Brumm", "given" : "Henrik", "non-dropping-particle" : "", "parse-names" : false, "suffix" : "" }, { "dropping-particle" : "", "family" : "Zollinger", "given" : "Sue Anne", "non-dropping-particle" : "", "parse-names" : false, "suffix" : "" } ], "container-title" : "Animal Communication and Noise", "editor" : [ { "dropping-particle" : "", "family" : "Brumm", "given" : "Henrik", "non-dropping-particle" : "", "parse-names" : false, "suffix" : "" } ], "id" : "ITEM-1", "issued" : { "date-parts" : [ [ "2013" ] ] }, "page" : "187-227", "publisher" : "Springer Berlin Heidelberg", "publisher-place" : "Berlin, Heidelberg", "title" : "Avian vocal production in noise", "type" : "chapter" }, "uris" : [ "http://www.mendeley.com/documents/?uuid=2eb5b146-76a1-4446-86f9-13c8f18bafd9" ] } ], "mendeley" : { "formattedCitation" : "(Brumm and Zollinger, 2013)", "manualFormatting" : "Brumm and Zollinger 2013)", "plainTextFormattedCitation" : "(Brumm and Zollinger, 2013)", "previouslyFormattedCitation" : "(Brumm and Zollinger, 2013)" }, "properties" : { "noteIndex" : 0 }, "schema" : "https://github.com/citation-style-language/schema/raw/master/csl-citation.json" }</w:instrText>
      </w:r>
      <w:r w:rsidR="003865EA">
        <w:rPr>
          <w:rFonts w:ascii="Times New Roman" w:eastAsia="Cambria" w:hAnsi="Times New Roman" w:cs="Times New Roman"/>
          <w:color w:val="000000"/>
          <w:sz w:val="24"/>
          <w:szCs w:val="24"/>
        </w:rPr>
        <w:fldChar w:fldCharType="separate"/>
      </w:r>
      <w:r w:rsidR="003865EA" w:rsidRPr="003865EA">
        <w:rPr>
          <w:rFonts w:ascii="Times New Roman" w:eastAsia="Cambria" w:hAnsi="Times New Roman" w:cs="Times New Roman"/>
          <w:noProof/>
          <w:color w:val="000000"/>
          <w:sz w:val="24"/>
          <w:szCs w:val="24"/>
        </w:rPr>
        <w:t>Brumm and Zollinger</w:t>
      </w:r>
      <w:r w:rsidR="00E13D4F">
        <w:rPr>
          <w:rFonts w:ascii="Times New Roman" w:eastAsia="Cambria" w:hAnsi="Times New Roman" w:cs="Times New Roman"/>
          <w:noProof/>
          <w:color w:val="000000"/>
          <w:sz w:val="24"/>
          <w:szCs w:val="24"/>
        </w:rPr>
        <w:t>,</w:t>
      </w:r>
      <w:r w:rsidR="003865EA" w:rsidRPr="003865EA">
        <w:rPr>
          <w:rFonts w:ascii="Times New Roman" w:eastAsia="Cambria" w:hAnsi="Times New Roman" w:cs="Times New Roman"/>
          <w:noProof/>
          <w:color w:val="000000"/>
          <w:sz w:val="24"/>
          <w:szCs w:val="24"/>
        </w:rPr>
        <w:t xml:space="preserve"> 2013)</w:t>
      </w:r>
      <w:r w:rsidR="003865EA">
        <w:rPr>
          <w:rFonts w:ascii="Times New Roman" w:eastAsia="Cambria" w:hAnsi="Times New Roman" w:cs="Times New Roman"/>
          <w:color w:val="000000"/>
          <w:sz w:val="24"/>
          <w:szCs w:val="24"/>
        </w:rPr>
        <w:fldChar w:fldCharType="end"/>
      </w:r>
      <w:r w:rsidR="008A654E">
        <w:rPr>
          <w:rFonts w:ascii="Times New Roman" w:eastAsia="Cambria" w:hAnsi="Times New Roman" w:cs="Times New Roman"/>
          <w:color w:val="000000"/>
          <w:sz w:val="24"/>
          <w:szCs w:val="24"/>
        </w:rPr>
        <w:t xml:space="preserve">. These strategies may decrease the </w:t>
      </w:r>
      <w:r w:rsidR="00AB0C24">
        <w:rPr>
          <w:rFonts w:ascii="Times New Roman" w:eastAsia="Cambria" w:hAnsi="Times New Roman" w:cs="Times New Roman"/>
          <w:color w:val="000000"/>
          <w:sz w:val="24"/>
          <w:szCs w:val="24"/>
        </w:rPr>
        <w:t xml:space="preserve">ultimate consequences </w:t>
      </w:r>
      <w:r w:rsidR="008A654E">
        <w:rPr>
          <w:rFonts w:ascii="Times New Roman" w:eastAsia="Cambria" w:hAnsi="Times New Roman" w:cs="Times New Roman"/>
          <w:color w:val="000000"/>
          <w:sz w:val="24"/>
          <w:szCs w:val="24"/>
        </w:rPr>
        <w:t xml:space="preserve">of noise. Grassland songbirds </w:t>
      </w:r>
      <w:r w:rsidR="00B47CDD">
        <w:rPr>
          <w:rFonts w:ascii="Times New Roman" w:eastAsia="Cambria" w:hAnsi="Times New Roman" w:cs="Times New Roman"/>
          <w:color w:val="000000"/>
          <w:sz w:val="24"/>
          <w:szCs w:val="24"/>
        </w:rPr>
        <w:t xml:space="preserve">have evolved in an acoustically heterogeneous environment with abundant natural noise from wind and other elements, and so may have evolved sufficient behavioral plasticity to compensate for environmental noise </w:t>
      </w:r>
      <w:r w:rsidR="003865EA">
        <w:rPr>
          <w:rFonts w:ascii="Times New Roman" w:eastAsia="Cambria" w:hAnsi="Times New Roman" w:cs="Times New Roman"/>
          <w:color w:val="000000"/>
          <w:sz w:val="24"/>
          <w:szCs w:val="24"/>
        </w:rPr>
        <w:fldChar w:fldCharType="begin" w:fldLock="1"/>
      </w:r>
      <w:r w:rsidR="00FF53CF">
        <w:rPr>
          <w:rFonts w:ascii="Times New Roman" w:eastAsia="Cambria" w:hAnsi="Times New Roman" w:cs="Times New Roman"/>
          <w:color w:val="000000"/>
          <w:sz w:val="24"/>
          <w:szCs w:val="24"/>
        </w:rPr>
        <w:instrText>ADDIN CSL_CITATION { "citationItems" : [ { "id" : "ITEM-1", "itemData" : { "DOI" : "10.1080/09524622.2017.1289123", "ISSN" : "0952-4622", "author" : [ { "dropping-particle" : "", "family" : "Curry", "given" : "Claire M", "non-dropping-particle" : "", "parse-names" : false, "suffix" : "" }, { "dropping-particle" : "", "family" : "Antze", "given" : "Bridget", "non-dropping-particle" : "", "parse-names" : false, "suffix" : "" }, { "dropping-particle" : "", "family" : "Warrington", "given" : "Miyako H", "non-dropping-particle" : "", "parse-names" : false, "suffix" : "" }, { "dropping-particle" : "", "family" : "Brisay", "given" : "Paulson", "non-dropping-particle" : "Des", "parse-names" : false, "suffix" : "" }, { "dropping-particle" : "", "family" : "Rosa", "given" : "Patricia", "non-dropping-particle" : "", "parse-names" : false, "suffix" : "" }, { "dropping-particle" : "", "family" : "Koper", "given" : "Nicola", "non-dropping-particle" : "", "parse-names" : false, "suffix" : "" } ], "container-title" : "Bioacoustics", "id" : "ITEM-1", "issued" : { "date-parts" : [ [ "2017", "3", "3" ] ] }, "note" : "doi: 10.1080/09524622.2017.1289123", "page" : "1-26", "publisher" : "Taylor &amp; Francis", "title" : "Ability to alter song in two grassland songbirds exposed to simulated anthropogenic noise is not related to pre-existing variability", "type" : "article-journal" }, "uris" : [ "http://www.mendeley.com/documents/?uuid=ce96ac44-4fc3-457f-aec5-94dee9128300" ] } ], "mendeley" : { "formattedCitation" : "(Curry et al., 2017)", "plainTextFormattedCitation" : "(Curry et al., 2017)", "previouslyFormattedCitation" : "(Curry et al., 2017)" }, "properties" : { "noteIndex" : 0 }, "schema" : "https://github.com/citation-style-language/schema/raw/master/csl-citation.json" }</w:instrText>
      </w:r>
      <w:r w:rsidR="003865EA">
        <w:rPr>
          <w:rFonts w:ascii="Times New Roman" w:eastAsia="Cambria" w:hAnsi="Times New Roman" w:cs="Times New Roman"/>
          <w:color w:val="000000"/>
          <w:sz w:val="24"/>
          <w:szCs w:val="24"/>
        </w:rPr>
        <w:fldChar w:fldCharType="separate"/>
      </w:r>
      <w:r w:rsidR="00FF53CF" w:rsidRPr="00FF53CF">
        <w:rPr>
          <w:rFonts w:ascii="Times New Roman" w:eastAsia="Cambria" w:hAnsi="Times New Roman" w:cs="Times New Roman"/>
          <w:noProof/>
          <w:color w:val="000000"/>
          <w:sz w:val="24"/>
          <w:szCs w:val="24"/>
        </w:rPr>
        <w:t>(Curry et al., 2017)</w:t>
      </w:r>
      <w:r w:rsidR="003865EA">
        <w:rPr>
          <w:rFonts w:ascii="Times New Roman" w:eastAsia="Cambria" w:hAnsi="Times New Roman" w:cs="Times New Roman"/>
          <w:color w:val="000000"/>
          <w:sz w:val="24"/>
          <w:szCs w:val="24"/>
        </w:rPr>
        <w:fldChar w:fldCharType="end"/>
      </w:r>
      <w:r w:rsidR="003865EA">
        <w:rPr>
          <w:rFonts w:ascii="Times New Roman" w:eastAsia="Cambria" w:hAnsi="Times New Roman" w:cs="Times New Roman"/>
          <w:color w:val="000000"/>
          <w:sz w:val="24"/>
          <w:szCs w:val="24"/>
        </w:rPr>
        <w:t>.</w:t>
      </w:r>
      <w:r w:rsidR="002E3111">
        <w:rPr>
          <w:rFonts w:ascii="Times New Roman" w:eastAsia="Cambria" w:hAnsi="Times New Roman" w:cs="Times New Roman"/>
          <w:color w:val="000000"/>
          <w:sz w:val="24"/>
          <w:szCs w:val="24"/>
        </w:rPr>
        <w:t xml:space="preserve"> However, it is also possible that our study design might underestimate effects of noise. </w:t>
      </w:r>
      <w:r w:rsidR="00727FA2">
        <w:rPr>
          <w:rFonts w:ascii="Times New Roman" w:eastAsia="Cambria" w:hAnsi="Times New Roman" w:cs="Times New Roman"/>
          <w:color w:val="000000"/>
          <w:sz w:val="24"/>
          <w:szCs w:val="24"/>
        </w:rPr>
        <w:t>I</w:t>
      </w:r>
      <w:r w:rsidR="002E3111" w:rsidRPr="000B2966">
        <w:rPr>
          <w:rFonts w:ascii="Times New Roman" w:eastAsia="Cambria" w:hAnsi="Times New Roman" w:cs="Times New Roman"/>
          <w:color w:val="000000"/>
          <w:sz w:val="24"/>
          <w:szCs w:val="24"/>
        </w:rPr>
        <w:t xml:space="preserve">ndustrial noise </w:t>
      </w:r>
      <w:r w:rsidR="00727FA2">
        <w:rPr>
          <w:rFonts w:ascii="Times New Roman" w:eastAsia="Cambria" w:hAnsi="Times New Roman" w:cs="Times New Roman"/>
          <w:color w:val="000000"/>
          <w:sz w:val="24"/>
          <w:szCs w:val="24"/>
        </w:rPr>
        <w:t xml:space="preserve">may </w:t>
      </w:r>
      <w:r w:rsidR="002E3111" w:rsidRPr="000B2966">
        <w:rPr>
          <w:rFonts w:ascii="Times New Roman" w:eastAsia="Cambria" w:hAnsi="Times New Roman" w:cs="Times New Roman"/>
          <w:color w:val="000000"/>
          <w:sz w:val="24"/>
          <w:szCs w:val="24"/>
        </w:rPr>
        <w:t xml:space="preserve">result in legacy </w:t>
      </w:r>
      <w:r w:rsidR="00B05C37">
        <w:rPr>
          <w:rFonts w:ascii="Times New Roman" w:eastAsia="Cambria" w:hAnsi="Times New Roman" w:cs="Times New Roman"/>
          <w:color w:val="000000"/>
          <w:sz w:val="24"/>
          <w:szCs w:val="24"/>
        </w:rPr>
        <w:t>effect</w:t>
      </w:r>
      <w:r w:rsidR="002E3111" w:rsidRPr="000B2966">
        <w:rPr>
          <w:rFonts w:ascii="Times New Roman" w:eastAsia="Cambria" w:hAnsi="Times New Roman" w:cs="Times New Roman"/>
          <w:color w:val="000000"/>
          <w:sz w:val="24"/>
          <w:szCs w:val="24"/>
        </w:rPr>
        <w:t xml:space="preserve">s that remain after </w:t>
      </w:r>
      <w:r w:rsidR="002E3111">
        <w:rPr>
          <w:rFonts w:ascii="Times New Roman" w:eastAsia="Cambria" w:hAnsi="Times New Roman" w:cs="Times New Roman"/>
          <w:color w:val="000000"/>
          <w:sz w:val="24"/>
          <w:szCs w:val="24"/>
        </w:rPr>
        <w:t>it cease</w:t>
      </w:r>
      <w:r w:rsidR="00211FB0">
        <w:rPr>
          <w:rFonts w:ascii="Times New Roman" w:eastAsia="Cambria" w:hAnsi="Times New Roman" w:cs="Times New Roman"/>
          <w:color w:val="000000"/>
          <w:sz w:val="24"/>
          <w:szCs w:val="24"/>
        </w:rPr>
        <w:t>s</w:t>
      </w:r>
      <w:r w:rsidR="002E3111">
        <w:rPr>
          <w:rFonts w:ascii="Times New Roman" w:eastAsia="Cambria" w:hAnsi="Times New Roman" w:cs="Times New Roman"/>
          <w:color w:val="000000"/>
          <w:sz w:val="24"/>
          <w:szCs w:val="24"/>
        </w:rPr>
        <w:t>; for example, s</w:t>
      </w:r>
      <w:r w:rsidR="002E3111" w:rsidRPr="000B2966">
        <w:rPr>
          <w:rFonts w:ascii="Times New Roman" w:eastAsia="Cambria" w:hAnsi="Times New Roman" w:cs="Times New Roman"/>
          <w:color w:val="000000"/>
          <w:sz w:val="24"/>
          <w:szCs w:val="24"/>
        </w:rPr>
        <w:t>ongbirds may avoid historically noisy sites due to interannual philopatry, or mammalian predators that were attracted to noisy sites might develop hunting routes that are then maintained for years or generations</w:t>
      </w:r>
      <w:r w:rsidR="002E3111">
        <w:rPr>
          <w:rFonts w:ascii="Times New Roman" w:eastAsia="Cambria" w:hAnsi="Times New Roman" w:cs="Times New Roman"/>
          <w:color w:val="000000"/>
          <w:sz w:val="24"/>
          <w:szCs w:val="24"/>
        </w:rPr>
        <w:t>, even after cessation of noise</w:t>
      </w:r>
      <w:r w:rsidR="002E3111" w:rsidRPr="000B2966">
        <w:rPr>
          <w:rFonts w:ascii="Times New Roman" w:eastAsia="Cambria" w:hAnsi="Times New Roman" w:cs="Times New Roman"/>
          <w:color w:val="000000"/>
          <w:sz w:val="24"/>
          <w:szCs w:val="24"/>
        </w:rPr>
        <w:t>.</w:t>
      </w:r>
      <w:r w:rsidR="00F93D6F">
        <w:rPr>
          <w:rFonts w:ascii="Times New Roman" w:eastAsia="Cambria" w:hAnsi="Times New Roman" w:cs="Times New Roman"/>
          <w:color w:val="000000"/>
          <w:sz w:val="24"/>
          <w:szCs w:val="24"/>
        </w:rPr>
        <w:t xml:space="preserve"> If that is the case, then turning off infrastructure would not eliminate effects of earlier noise.</w:t>
      </w:r>
      <w:r w:rsidR="002E3111" w:rsidRPr="000B2966">
        <w:rPr>
          <w:rFonts w:ascii="Times New Roman" w:eastAsia="Cambria" w:hAnsi="Times New Roman" w:cs="Times New Roman"/>
          <w:color w:val="000000"/>
          <w:sz w:val="24"/>
          <w:szCs w:val="24"/>
        </w:rPr>
        <w:t xml:space="preserve"> Therefore, </w:t>
      </w:r>
      <w:r w:rsidR="002E3111">
        <w:rPr>
          <w:rFonts w:ascii="Times New Roman" w:eastAsia="Cambria" w:hAnsi="Times New Roman" w:cs="Times New Roman"/>
          <w:color w:val="000000"/>
          <w:sz w:val="24"/>
          <w:szCs w:val="24"/>
        </w:rPr>
        <w:t xml:space="preserve">we still encourage </w:t>
      </w:r>
      <w:r w:rsidR="002E3111" w:rsidRPr="000B2966">
        <w:rPr>
          <w:rFonts w:ascii="Times New Roman" w:eastAsia="Cambria" w:hAnsi="Times New Roman" w:cs="Times New Roman"/>
          <w:color w:val="000000"/>
          <w:sz w:val="24"/>
          <w:szCs w:val="24"/>
        </w:rPr>
        <w:t xml:space="preserve">further research on potential </w:t>
      </w:r>
      <w:r w:rsidR="00B05C37">
        <w:rPr>
          <w:rFonts w:ascii="Times New Roman" w:eastAsia="Cambria" w:hAnsi="Times New Roman" w:cs="Times New Roman"/>
          <w:color w:val="000000"/>
          <w:sz w:val="24"/>
          <w:szCs w:val="24"/>
        </w:rPr>
        <w:t>effects</w:t>
      </w:r>
      <w:r w:rsidR="002E3111" w:rsidRPr="000B2966">
        <w:rPr>
          <w:rFonts w:ascii="Times New Roman" w:eastAsia="Cambria" w:hAnsi="Times New Roman" w:cs="Times New Roman"/>
          <w:color w:val="000000"/>
          <w:sz w:val="24"/>
          <w:szCs w:val="24"/>
        </w:rPr>
        <w:t xml:space="preserve"> of anthropogenic noise on grassland songbirds.</w:t>
      </w:r>
    </w:p>
    <w:bookmarkEnd w:id="22"/>
    <w:p w14:paraId="11C18AA9" w14:textId="5A5E6A72" w:rsidR="00FE1803" w:rsidRPr="00FF72F0" w:rsidRDefault="00FF72F0" w:rsidP="000B2966">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 xml:space="preserve">Our results suggest that the most effective way to minimize effects of oil extraction on Sprague’s pipits and Baird’s sparrows would be to minimize abundance of aboveground infrastructure </w:t>
      </w:r>
      <w:r w:rsidR="00FE1803">
        <w:rPr>
          <w:rFonts w:ascii="Times New Roman" w:eastAsia="Cambria" w:hAnsi="Times New Roman" w:cs="Times New Roman"/>
          <w:sz w:val="24"/>
          <w:szCs w:val="24"/>
        </w:rPr>
        <w:t>including roads</w:t>
      </w:r>
      <w:r w:rsidRPr="00FF72F0">
        <w:rPr>
          <w:rFonts w:ascii="Times New Roman" w:eastAsia="Cambria" w:hAnsi="Times New Roman" w:cs="Times New Roman"/>
          <w:sz w:val="24"/>
          <w:szCs w:val="24"/>
        </w:rPr>
        <w:t xml:space="preserve">. Mitigation </w:t>
      </w:r>
      <w:r w:rsidR="005B4C34">
        <w:rPr>
          <w:rFonts w:ascii="Times New Roman" w:eastAsia="Cambria" w:hAnsi="Times New Roman" w:cs="Times New Roman"/>
          <w:sz w:val="24"/>
          <w:szCs w:val="24"/>
        </w:rPr>
        <w:t>could</w:t>
      </w:r>
      <w:r w:rsidR="005B4C34"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include burying power distribution lines, dismantling and reclaiming inoperative oil wells, and horizontally drilling </w:t>
      </w:r>
      <w:r w:rsidR="00DF7940">
        <w:rPr>
          <w:rFonts w:ascii="Times New Roman" w:eastAsia="Cambria" w:hAnsi="Times New Roman" w:cs="Times New Roman"/>
          <w:sz w:val="24"/>
          <w:szCs w:val="24"/>
        </w:rPr>
        <w:t xml:space="preserve">of </w:t>
      </w:r>
      <w:r w:rsidRPr="00FF72F0">
        <w:rPr>
          <w:rFonts w:ascii="Times New Roman" w:eastAsia="Cambria" w:hAnsi="Times New Roman" w:cs="Times New Roman"/>
          <w:sz w:val="24"/>
          <w:szCs w:val="24"/>
        </w:rPr>
        <w:t xml:space="preserve">new wells from existing well pads to avoid unnecessary aboveground infrastructure and roads. One study has already provided evidence that grassland songbirds do not react </w:t>
      </w:r>
      <w:r w:rsidR="005B4C34">
        <w:rPr>
          <w:rFonts w:ascii="Times New Roman" w:eastAsia="Cambria" w:hAnsi="Times New Roman" w:cs="Times New Roman"/>
          <w:sz w:val="24"/>
          <w:szCs w:val="24"/>
        </w:rPr>
        <w:t>more strongly to multi-bore compared with</w:t>
      </w:r>
      <w:r w:rsidR="005B4C34"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t xml:space="preserve">to single-bore well pads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"DOI" : "10.1016/j.biocon.2015.08.040", "ISSN" : "00063207", "abstract" : "Oil development in the Bakken shale region has increased rapidly as a result of new technologies and strong demand for fossil fuel. This region also supports a particularly high density and diversity of grassland bird species, which are declining across North America. We examined grassland bird response to unconventional oil extraction sites (i.e. developed with hydraulic fracturing and horizontal drilling techniques) and associated roads in North Dakota. Our goal was to quantify the amount of habitat that was indirectly degraded by oil development, as evidenced by patterns of avoidance by birds. Grassland birds avoided areas within 150. m of roads (95% CI: 87-214. m), 267. m of single-bore well pads (95% CI: 157-378. m), and 150. m of multi-bore well pads (95% CI: 67-233. m). Individual species demonstrated variable tolerance of well pads. Clay-colored sparrows (Spizella pallida) were tolerant of oil-related infrastructure, whereas Sprague's pipit (Anthus spragueii) avoided areas within 350. m (95% CI: 215-485. m) of single-bore well pads. Given these density patterns around oil wells, the potential footprint of any individual oil well, and oil development across the region, is greatly multiplied for sensitive species. Efforts to reduce new road construction, concentrate wells along developed corridors, combine numerous wells on multi-bore pads rather than build many single-bore wells, and to place well pads near existing roads will serve to minimize loss of suitable habitat for birds. Quantifying environmental degradation caused by oil development is a critical step in understanding how to better mitigate harm to wildlife populations.", "author" : [ { "dropping-particle" : "", "family" : "Thompson", "given" : "Sarah J.", "non-dropping-particle" : "", "parse-names" : false, "suffix" : "" }, { "dropping-particle" : "", "family" : "Johnson", "given" : "Douglas H.", "non-dropping-particle" : "", "parse-names" : false, "suffix" : "" }, { "dropping-particle" : "", "family" : "Niemuth", "given" : "Neal D.", "non-dropping-particle" : "", "parse-names" : false, "suffix" : "" }, { "dropping-particle" : "", "family" : "Ribic", "given" : "Christine a.", "non-dropping-particle" : "", "parse-names" : false, "suffix" : "" } ], "container-title" : "Biological Conservation", "id" : "ITEM-1", "issued" : { "date-parts" : [ [ "2015" ] ] }, "page" : "82-90", "publisher" : "Elsevier B.V.", "title" : "Avoidance of unconventional oil wells and roads exacerbates habitat loss for grassland birds in the North American great plains", "type" : "article-journal", "volume" : "192" }, "uris" : [ "http://www.mendeley.com/documents/?uuid=d4da7e28-e856-43db-bc72-9b74d791be87" ] } ], "mendeley" : { "formattedCitation" : "(Thompson et al., 2015)", "plainTextFormattedCitation" : "(Thompson et al., 2015)", "previouslyFormattedCitation" : "(Thompson et al., 2015)"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00FF53CF" w:rsidRPr="00FF53CF">
        <w:rPr>
          <w:rFonts w:ascii="Times New Roman" w:eastAsia="Cambria" w:hAnsi="Times New Roman" w:cs="Times New Roman"/>
          <w:noProof/>
          <w:sz w:val="24"/>
          <w:szCs w:val="24"/>
        </w:rPr>
        <w:t>(Thompson et al., 2015)</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However, the ecological benefits of minimizing the surface footprint of infrastructure must be balanced with the increased risk of spills associated with </w:t>
      </w:r>
      <w:r w:rsidR="00211FB0">
        <w:rPr>
          <w:rFonts w:ascii="Times New Roman" w:eastAsia="Cambria" w:hAnsi="Times New Roman" w:cs="Times New Roman"/>
          <w:sz w:val="24"/>
          <w:szCs w:val="24"/>
        </w:rPr>
        <w:t>horizontal drilling</w:t>
      </w:r>
      <w:r w:rsidRPr="00FF72F0">
        <w:rPr>
          <w:rFonts w:ascii="Times New Roman" w:eastAsia="Cambria" w:hAnsi="Times New Roman" w:cs="Times New Roman"/>
          <w:sz w:val="24"/>
          <w:szCs w:val="24"/>
        </w:rPr>
        <w:t xml:space="preserve"> </w:t>
      </w:r>
      <w:r w:rsidRPr="00FF72F0">
        <w:rPr>
          <w:rFonts w:ascii="Times New Roman" w:eastAsia="Cambria" w:hAnsi="Times New Roman" w:cs="Times New Roman"/>
          <w:sz w:val="24"/>
          <w:szCs w:val="24"/>
        </w:rPr>
        <w:fldChar w:fldCharType="begin" w:fldLock="1"/>
      </w:r>
      <w:r w:rsidR="00FF53CF">
        <w:rPr>
          <w:rFonts w:ascii="Times New Roman" w:eastAsia="Cambria" w:hAnsi="Times New Roman" w:cs="Times New Roman"/>
          <w:sz w:val="24"/>
          <w:szCs w:val="24"/>
        </w:rPr>
        <w:instrText>ADDIN CSL_CITATION { "citationItems" : [ { "id" : "ITEM-1", "itemData" : { "author" : [ { "dropping-particle" : "", "family" : "Watson", "given" : "T", "non-dropping-particle" : "", "parse-names" : false, "suffix" : "" }, { "dropping-particle" : "", "family" : "Bachu", "given" : "S", "non-dropping-particle" : "", "parse-names" : false, "suffix" : "" } ], "container-title" : "Society of Petroleum Engineers, Drilling and Completion", "id" : "ITEM-1", "issue" : "1", "issued" : { "date-parts" : [ [ "2009" ] ] }, "page" : "115-126", "title" : "Evaluation of the potential for gas and CO2 leakage along wellbores", "type" : "article-journal", "volume" : "24" }, "uris" : [ "http://www.mendeley.com/documents/?uuid=842327c0-f521-49c3-932c-4b2dc21f5314" ] }, { "id" : "ITEM-2", "itemData" : { "author" : [ { "dropping-particle" : "", "family" : "Alberta Government", "given" : "", "non-dropping-particle" : "", "parse-names" : false, "suffix" : "" } ], "container-title" : "Western North America Naturalist", "id" : "ITEM-2", "issued" : { "date-parts" : [ [ "2012" ] ] }, "title" : "Assessing drilling waste disposal areas: compliance options for reclamation certification", "type" : "report" }, "uris" : [ "http://www.mendeley.com/documents/?uuid=9465337b-d0cf-4378-9aad-2746facac8ab" ] } ], "mendeley" : { "formattedCitation" : "(Alberta Government, 2012; Watson and Bachu, 2009)", "manualFormatting" : "(Watson and Bachu 2009)", "plainTextFormattedCitation" : "(Alberta Government, 2012; Watson and Bachu, 2009)", "previouslyFormattedCitation" : "(Alberta Government, 2012; Watson and Bachu, 2009)" }, "properties" : { "noteIndex" : 0 }, "schema" : "https://github.com/citation-style-language/schema/raw/master/csl-citation.json" }</w:instrText>
      </w:r>
      <w:r w:rsidRPr="00FF72F0">
        <w:rPr>
          <w:rFonts w:ascii="Times New Roman" w:eastAsia="Cambria" w:hAnsi="Times New Roman" w:cs="Times New Roman"/>
          <w:sz w:val="24"/>
          <w:szCs w:val="24"/>
        </w:rPr>
        <w:fldChar w:fldCharType="separate"/>
      </w:r>
      <w:r w:rsidRPr="00FF72F0">
        <w:rPr>
          <w:rFonts w:ascii="Times New Roman" w:eastAsia="Cambria" w:hAnsi="Times New Roman" w:cs="Times New Roman"/>
          <w:noProof/>
          <w:sz w:val="24"/>
          <w:szCs w:val="24"/>
        </w:rPr>
        <w:t>(Watson and Bachu 2009)</w:t>
      </w:r>
      <w:r w:rsidRPr="00FF72F0">
        <w:rPr>
          <w:rFonts w:ascii="Times New Roman" w:eastAsia="Cambria" w:hAnsi="Times New Roman" w:cs="Times New Roman"/>
          <w:sz w:val="24"/>
          <w:szCs w:val="24"/>
        </w:rPr>
        <w:fldChar w:fldCharType="end"/>
      </w:r>
      <w:r w:rsidRPr="00FF72F0">
        <w:rPr>
          <w:rFonts w:ascii="Times New Roman" w:eastAsia="Cambria" w:hAnsi="Times New Roman" w:cs="Times New Roman"/>
          <w:sz w:val="24"/>
          <w:szCs w:val="24"/>
        </w:rPr>
        <w:t xml:space="preserve">. </w:t>
      </w:r>
      <w:r w:rsidR="00FE1803">
        <w:rPr>
          <w:rFonts w:ascii="Times New Roman" w:hAnsi="Times New Roman" w:cs="Times New Roman"/>
          <w:sz w:val="24"/>
          <w:szCs w:val="24"/>
        </w:rPr>
        <w:t xml:space="preserve">Although </w:t>
      </w:r>
      <w:r w:rsidR="009E4759" w:rsidRPr="009E4759">
        <w:rPr>
          <w:rFonts w:ascii="Times New Roman" w:hAnsi="Times New Roman" w:cs="Times New Roman"/>
          <w:sz w:val="24"/>
          <w:szCs w:val="24"/>
        </w:rPr>
        <w:t>Alberta’s current legislation requires that capped, abandoned wells must have all surface equipment, cement, and debris removed within 12 months (Alberta Energy Regulator 2016)</w:t>
      </w:r>
      <w:r w:rsidR="00FE1803">
        <w:rPr>
          <w:rFonts w:ascii="Times New Roman" w:hAnsi="Times New Roman" w:cs="Times New Roman"/>
          <w:sz w:val="24"/>
          <w:szCs w:val="24"/>
        </w:rPr>
        <w:t xml:space="preserve">, </w:t>
      </w:r>
      <w:r w:rsidR="009E4759" w:rsidRPr="009E4759">
        <w:rPr>
          <w:rFonts w:ascii="Times New Roman" w:hAnsi="Times New Roman" w:cs="Times New Roman"/>
          <w:sz w:val="24"/>
          <w:szCs w:val="24"/>
        </w:rPr>
        <w:t xml:space="preserve">energy companies may circumvent this requirement by leaving wells open, and thus wells are not legally considered abandoned. Thus, government agencies </w:t>
      </w:r>
      <w:r w:rsidR="00FE1803">
        <w:rPr>
          <w:rFonts w:ascii="Times New Roman" w:hAnsi="Times New Roman" w:cs="Times New Roman"/>
          <w:sz w:val="24"/>
          <w:szCs w:val="24"/>
        </w:rPr>
        <w:t>must</w:t>
      </w:r>
      <w:r w:rsidR="009E4759" w:rsidRPr="009E4759">
        <w:rPr>
          <w:rFonts w:ascii="Times New Roman" w:hAnsi="Times New Roman" w:cs="Times New Roman"/>
          <w:sz w:val="24"/>
          <w:szCs w:val="24"/>
        </w:rPr>
        <w:t xml:space="preserve"> enforce policies that require clean-up of above-ground infrastructure.</w:t>
      </w:r>
      <w:r w:rsidR="00DF7940">
        <w:rPr>
          <w:rFonts w:ascii="Times New Roman" w:hAnsi="Times New Roman" w:cs="Times New Roman"/>
          <w:sz w:val="24"/>
          <w:szCs w:val="24"/>
        </w:rPr>
        <w:t xml:space="preserve"> We also argue that </w:t>
      </w:r>
      <w:r w:rsidR="00FE1803">
        <w:rPr>
          <w:rFonts w:ascii="Times New Roman" w:eastAsia="Cambria" w:hAnsi="Times New Roman" w:cs="Times New Roman"/>
          <w:color w:val="000000"/>
          <w:sz w:val="24"/>
          <w:szCs w:val="24"/>
        </w:rPr>
        <w:t>evaluating the mechanisms that explain effects of wells on wildlife is necessary to developing effective management and mitigation strategies</w:t>
      </w:r>
      <w:r w:rsidR="00DF7940">
        <w:rPr>
          <w:rFonts w:ascii="Times New Roman" w:eastAsia="Cambria" w:hAnsi="Times New Roman" w:cs="Times New Roman"/>
          <w:color w:val="000000"/>
          <w:sz w:val="24"/>
          <w:szCs w:val="24"/>
        </w:rPr>
        <w:t>, and that this approach should be emphasized in future research.</w:t>
      </w:r>
      <w:r w:rsidR="000B2966">
        <w:rPr>
          <w:rFonts w:ascii="Times New Roman" w:eastAsia="Cambria" w:hAnsi="Times New Roman" w:cs="Times New Roman"/>
          <w:color w:val="000000"/>
          <w:sz w:val="24"/>
          <w:szCs w:val="24"/>
        </w:rPr>
        <w:t xml:space="preserve"> </w:t>
      </w:r>
    </w:p>
    <w:p w14:paraId="48F120DA" w14:textId="09864ADB" w:rsidR="00FF72F0" w:rsidRPr="00FF72F0" w:rsidRDefault="006F6218" w:rsidP="00A24179">
      <w:pPr>
        <w:keepNext/>
        <w:keepLines/>
        <w:spacing w:before="200" w:after="0" w:line="240" w:lineRule="auto"/>
        <w:outlineLvl w:val="1"/>
        <w:rPr>
          <w:rFonts w:ascii="Times New Roman" w:eastAsia="MS Gothic" w:hAnsi="Times New Roman" w:cs="Times New Roman"/>
          <w:b/>
          <w:bCs/>
          <w:sz w:val="24"/>
          <w:szCs w:val="26"/>
        </w:rPr>
      </w:pPr>
      <w:bookmarkStart w:id="23" w:name="_Toc297233603"/>
      <w:bookmarkStart w:id="24" w:name="_Toc457468058"/>
      <w:r>
        <w:rPr>
          <w:rFonts w:ascii="Times New Roman" w:eastAsia="MS Gothic" w:hAnsi="Times New Roman" w:cs="Times New Roman"/>
          <w:b/>
          <w:bCs/>
          <w:sz w:val="24"/>
          <w:szCs w:val="26"/>
        </w:rPr>
        <w:t>5</w:t>
      </w:r>
      <w:r w:rsidR="00E13D4F">
        <w:rPr>
          <w:rFonts w:ascii="Times New Roman" w:eastAsia="MS Gothic" w:hAnsi="Times New Roman" w:cs="Times New Roman"/>
          <w:b/>
          <w:bCs/>
          <w:sz w:val="24"/>
          <w:szCs w:val="26"/>
        </w:rPr>
        <w:t>.</w:t>
      </w:r>
      <w:r>
        <w:rPr>
          <w:rFonts w:ascii="Times New Roman" w:eastAsia="MS Gothic" w:hAnsi="Times New Roman" w:cs="Times New Roman"/>
          <w:b/>
          <w:bCs/>
          <w:sz w:val="24"/>
          <w:szCs w:val="26"/>
        </w:rPr>
        <w:t xml:space="preserve"> </w:t>
      </w:r>
      <w:r w:rsidR="00FF72F0" w:rsidRPr="00FF72F0">
        <w:rPr>
          <w:rFonts w:ascii="Times New Roman" w:eastAsia="MS Gothic" w:hAnsi="Times New Roman" w:cs="Times New Roman"/>
          <w:b/>
          <w:bCs/>
          <w:sz w:val="24"/>
          <w:szCs w:val="26"/>
        </w:rPr>
        <w:t>Acknowledg</w:t>
      </w:r>
      <w:r w:rsidR="00E13D4F">
        <w:rPr>
          <w:rFonts w:ascii="Times New Roman" w:eastAsia="MS Gothic" w:hAnsi="Times New Roman" w:cs="Times New Roman"/>
          <w:b/>
          <w:bCs/>
          <w:sz w:val="24"/>
          <w:szCs w:val="26"/>
        </w:rPr>
        <w:t>e</w:t>
      </w:r>
      <w:r w:rsidR="00FF72F0" w:rsidRPr="00FF72F0">
        <w:rPr>
          <w:rFonts w:ascii="Times New Roman" w:eastAsia="MS Gothic" w:hAnsi="Times New Roman" w:cs="Times New Roman"/>
          <w:b/>
          <w:bCs/>
          <w:sz w:val="24"/>
          <w:szCs w:val="26"/>
        </w:rPr>
        <w:t>ments</w:t>
      </w:r>
      <w:bookmarkEnd w:id="23"/>
      <w:bookmarkEnd w:id="24"/>
    </w:p>
    <w:p w14:paraId="65863285" w14:textId="77777777" w:rsidR="00FF72F0" w:rsidRPr="00FF72F0" w:rsidRDefault="00FF72F0" w:rsidP="003865EA">
      <w:pPr>
        <w:spacing w:after="0" w:line="240" w:lineRule="auto"/>
        <w:ind w:firstLine="720"/>
        <w:rPr>
          <w:rFonts w:ascii="Times New Roman" w:eastAsia="Cambria" w:hAnsi="Times New Roman" w:cs="Times New Roman"/>
          <w:sz w:val="24"/>
          <w:szCs w:val="24"/>
        </w:rPr>
      </w:pPr>
      <w:r w:rsidRPr="00FF72F0">
        <w:rPr>
          <w:rFonts w:ascii="Times New Roman" w:eastAsia="Cambria" w:hAnsi="Times New Roman" w:cs="Times New Roman"/>
          <w:sz w:val="24"/>
          <w:szCs w:val="24"/>
        </w:rPr>
        <w:t>We thank Cenovus Energy for funding and logistic</w:t>
      </w:r>
      <w:r w:rsidR="00DF7940">
        <w:rPr>
          <w:rFonts w:ascii="Times New Roman" w:eastAsia="Cambria" w:hAnsi="Times New Roman" w:cs="Times New Roman"/>
          <w:sz w:val="24"/>
          <w:szCs w:val="24"/>
        </w:rPr>
        <w:t>al</w:t>
      </w:r>
      <w:r w:rsidRPr="00FF72F0">
        <w:rPr>
          <w:rFonts w:ascii="Times New Roman" w:eastAsia="Cambria" w:hAnsi="Times New Roman" w:cs="Times New Roman"/>
          <w:sz w:val="24"/>
          <w:szCs w:val="24"/>
        </w:rPr>
        <w:t xml:space="preserve"> support</w:t>
      </w:r>
      <w:r w:rsidR="00DF7940">
        <w:rPr>
          <w:rFonts w:ascii="Times New Roman" w:eastAsia="Cambria" w:hAnsi="Times New Roman" w:cs="Times New Roman"/>
          <w:sz w:val="24"/>
          <w:szCs w:val="24"/>
        </w:rPr>
        <w:t>,</w:t>
      </w:r>
      <w:r w:rsidRPr="00FF72F0">
        <w:rPr>
          <w:rFonts w:ascii="Times New Roman" w:eastAsia="Cambria" w:hAnsi="Times New Roman" w:cs="Times New Roman"/>
          <w:sz w:val="24"/>
          <w:szCs w:val="24"/>
        </w:rPr>
        <w:t xml:space="preserve"> and allowing us access to oil infrastructure sites. We would also like to thank the Eastern Irrigation District and the provincial government of Alberta for allowing us to conduct research on their lands. Finally, we would like to thank the following individuals for their assistance</w:t>
      </w:r>
      <w:r w:rsidR="00DF7940">
        <w:rPr>
          <w:rFonts w:ascii="Times New Roman" w:eastAsia="Cambria" w:hAnsi="Times New Roman" w:cs="Times New Roman"/>
          <w:sz w:val="24"/>
          <w:szCs w:val="24"/>
        </w:rPr>
        <w:t xml:space="preserve"> and support</w:t>
      </w:r>
      <w:r w:rsidRPr="00FF72F0">
        <w:rPr>
          <w:rFonts w:ascii="Times New Roman" w:eastAsia="Cambria" w:hAnsi="Times New Roman" w:cs="Times New Roman"/>
          <w:sz w:val="24"/>
          <w:szCs w:val="24"/>
        </w:rPr>
        <w:t xml:space="preserve">: Bridget Antze, Jacy Bernath-Plaisted, Roxan Chicalo, Jody Daniels, Joanna Deunk, Julie DeWilde, Chelsea Enslow, Kathryn Flemming, Kelsea Holloway, Jason Kitting, Brandon Law, Ariel Lenske, Lionel Leston, Christoph Ng, </w:t>
      </w:r>
      <w:r w:rsidR="00DF7940">
        <w:rPr>
          <w:rFonts w:ascii="Times New Roman" w:eastAsia="Cambria" w:hAnsi="Times New Roman" w:cs="Times New Roman"/>
          <w:sz w:val="24"/>
          <w:szCs w:val="24"/>
        </w:rPr>
        <w:t xml:space="preserve">Susan Patey-LeDrew, </w:t>
      </w:r>
      <w:r w:rsidRPr="00FF72F0">
        <w:rPr>
          <w:rFonts w:ascii="Times New Roman" w:eastAsia="Cambria" w:hAnsi="Times New Roman" w:cs="Times New Roman"/>
          <w:sz w:val="24"/>
          <w:szCs w:val="24"/>
        </w:rPr>
        <w:t xml:space="preserve">Kyle Parkinson, Talia Sechely, Jonathon Skaggs, Noelle Smith, Leagh Vermeylen, Jessica Vigneron, and Celina Willis.  </w:t>
      </w:r>
    </w:p>
    <w:p w14:paraId="684D04A9" w14:textId="78AB28E1" w:rsidR="00960271" w:rsidRPr="000606C7" w:rsidRDefault="00FF72F0" w:rsidP="003865EA">
      <w:pPr>
        <w:spacing w:after="0" w:line="240" w:lineRule="auto"/>
        <w:ind w:firstLine="720"/>
        <w:rPr>
          <w:rFonts w:ascii="Times New Roman" w:eastAsia="Times New Roman" w:hAnsi="Times New Roman" w:cs="Times New Roman"/>
          <w:sz w:val="24"/>
          <w:szCs w:val="24"/>
          <w:shd w:val="clear" w:color="auto" w:fill="FFFFFF"/>
        </w:rPr>
        <w:sectPr w:rsidR="00960271" w:rsidRPr="000606C7" w:rsidSect="00CE0CC5">
          <w:footerReference w:type="even" r:id="rId9"/>
          <w:footerReference w:type="default" r:id="rId10"/>
          <w:pgSz w:w="12240" w:h="15840"/>
          <w:pgMar w:top="1440" w:right="1440" w:bottom="1440" w:left="1440" w:header="720" w:footer="720" w:gutter="0"/>
          <w:lnNumType w:countBy="1" w:restart="continuous"/>
          <w:cols w:space="720"/>
        </w:sectPr>
      </w:pPr>
      <w:r w:rsidRPr="000606C7">
        <w:rPr>
          <w:rFonts w:ascii="Times New Roman" w:eastAsia="Times New Roman" w:hAnsi="Times New Roman" w:cs="Times New Roman"/>
          <w:sz w:val="24"/>
          <w:szCs w:val="24"/>
          <w:shd w:val="clear" w:color="auto" w:fill="FFFFFF"/>
        </w:rPr>
        <w:t xml:space="preserve">While Cenovus Energy indicated knowledge needs and contributed safety training and site identification, </w:t>
      </w:r>
      <w:r w:rsidR="00E13D4F" w:rsidRPr="000606C7">
        <w:rPr>
          <w:rFonts w:ascii="Times New Roman" w:eastAsia="Times New Roman" w:hAnsi="Times New Roman" w:cs="Times New Roman"/>
          <w:sz w:val="24"/>
          <w:szCs w:val="24"/>
          <w:shd w:val="clear" w:color="auto" w:fill="FFFFFF"/>
        </w:rPr>
        <w:t xml:space="preserve">to maintain integrity </w:t>
      </w:r>
      <w:r w:rsidRPr="000606C7">
        <w:rPr>
          <w:rFonts w:ascii="Times New Roman" w:eastAsia="Times New Roman" w:hAnsi="Times New Roman" w:cs="Times New Roman"/>
          <w:sz w:val="24"/>
          <w:szCs w:val="24"/>
          <w:shd w:val="clear" w:color="auto" w:fill="FFFFFF"/>
        </w:rPr>
        <w:t>all research was designed, analyzed, written, and published by ourselves and highly qualified personnel without industry input.</w:t>
      </w:r>
    </w:p>
    <w:p w14:paraId="6DB8BA42" w14:textId="0673A493" w:rsidR="00DC5CE0" w:rsidRPr="00DC5CE0" w:rsidRDefault="00DC5CE0" w:rsidP="003865EA">
      <w:pPr>
        <w:widowControl w:val="0"/>
        <w:autoSpaceDE w:val="0"/>
        <w:autoSpaceDN w:val="0"/>
        <w:adjustRightInd w:val="0"/>
        <w:spacing w:after="0" w:line="240" w:lineRule="auto"/>
        <w:ind w:left="480" w:hanging="48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6</w:t>
      </w:r>
      <w:r w:rsidR="008A2DCF">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 References</w:t>
      </w:r>
    </w:p>
    <w:p w14:paraId="196A6595" w14:textId="6D965D82" w:rsidR="00FF53CF" w:rsidRPr="00FF53CF" w:rsidRDefault="00E93EF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6F6218">
        <w:rPr>
          <w:rFonts w:ascii="Times New Roman" w:eastAsia="Times New Roman" w:hAnsi="Times New Roman" w:cs="Times New Roman"/>
          <w:sz w:val="24"/>
          <w:szCs w:val="24"/>
        </w:rPr>
        <w:fldChar w:fldCharType="begin" w:fldLock="1"/>
      </w:r>
      <w:r w:rsidRPr="006F6218">
        <w:rPr>
          <w:rFonts w:ascii="Times New Roman" w:eastAsia="Times New Roman" w:hAnsi="Times New Roman" w:cs="Times New Roman"/>
          <w:sz w:val="24"/>
          <w:szCs w:val="24"/>
        </w:rPr>
        <w:instrText xml:space="preserve">ADDIN Mendeley Bibliography CSL_BIBLIOGRAPHY </w:instrText>
      </w:r>
      <w:r w:rsidRPr="006F6218">
        <w:rPr>
          <w:rFonts w:ascii="Times New Roman" w:eastAsia="Times New Roman" w:hAnsi="Times New Roman" w:cs="Times New Roman"/>
          <w:sz w:val="24"/>
          <w:szCs w:val="24"/>
        </w:rPr>
        <w:fldChar w:fldCharType="separate"/>
      </w:r>
      <w:r w:rsidR="00FF53CF" w:rsidRPr="00FF53CF">
        <w:rPr>
          <w:rFonts w:ascii="Times New Roman" w:hAnsi="Times New Roman" w:cs="Times New Roman"/>
          <w:noProof/>
          <w:sz w:val="24"/>
          <w:szCs w:val="24"/>
        </w:rPr>
        <w:t xml:space="preserve">Alberta Government, 2012. Assessing drilling waste disposal areas: compliance options for reclamation certification, </w:t>
      </w:r>
      <w:r w:rsidR="00AC16EC">
        <w:rPr>
          <w:rFonts w:ascii="Times New Roman" w:hAnsi="Times New Roman" w:cs="Times New Roman"/>
          <w:noProof/>
          <w:sz w:val="24"/>
          <w:szCs w:val="24"/>
        </w:rPr>
        <w:t>Environment and Sustainable Resource Development</w:t>
      </w:r>
      <w:r w:rsidR="00FF53CF" w:rsidRPr="00FF53CF">
        <w:rPr>
          <w:rFonts w:ascii="Times New Roman" w:hAnsi="Times New Roman" w:cs="Times New Roman"/>
          <w:noProof/>
          <w:sz w:val="24"/>
          <w:szCs w:val="24"/>
        </w:rPr>
        <w:t>.</w:t>
      </w:r>
      <w:r w:rsidR="00AC16EC">
        <w:rPr>
          <w:rFonts w:ascii="Times New Roman" w:hAnsi="Times New Roman" w:cs="Times New Roman"/>
          <w:noProof/>
          <w:sz w:val="24"/>
          <w:szCs w:val="24"/>
        </w:rPr>
        <w:t xml:space="preserve"> Edmonton, Canada.</w:t>
      </w:r>
    </w:p>
    <w:p w14:paraId="21C7D2AF" w14:textId="5E7CE404"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Bailey, A.W., McCartney, D., Schellenberg, M.P., 2010. Management of Canadian prairie rangeland</w:t>
      </w:r>
      <w:r w:rsidR="00D65A06">
        <w:rPr>
          <w:rFonts w:ascii="Times New Roman" w:hAnsi="Times New Roman" w:cs="Times New Roman"/>
          <w:noProof/>
          <w:sz w:val="24"/>
          <w:szCs w:val="24"/>
        </w:rPr>
        <w:t>.</w:t>
      </w:r>
      <w:r w:rsidRPr="00FF53CF">
        <w:rPr>
          <w:rFonts w:ascii="Times New Roman" w:hAnsi="Times New Roman" w:cs="Times New Roman"/>
          <w:noProof/>
          <w:sz w:val="24"/>
          <w:szCs w:val="24"/>
        </w:rPr>
        <w:t xml:space="preserve"> http://publications.gc.ca/collections/collection_2012/agr/A52-178-2012-eng.pdf (accessed </w:t>
      </w:r>
      <w:r w:rsidR="00D65A06">
        <w:rPr>
          <w:rFonts w:ascii="Times New Roman" w:hAnsi="Times New Roman" w:cs="Times New Roman"/>
          <w:noProof/>
          <w:sz w:val="24"/>
          <w:szCs w:val="24"/>
        </w:rPr>
        <w:t>0</w:t>
      </w:r>
      <w:r w:rsidRPr="00FF53CF">
        <w:rPr>
          <w:rFonts w:ascii="Times New Roman" w:hAnsi="Times New Roman" w:cs="Times New Roman"/>
          <w:noProof/>
          <w:sz w:val="24"/>
          <w:szCs w:val="24"/>
        </w:rPr>
        <w:t>4.10.14).</w:t>
      </w:r>
    </w:p>
    <w:p w14:paraId="09EA36FB"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Bates, D., Maechler, M., Bolker, B.M., Walker, S., 2014. lme4: Linear mixed-effects models using Eigen and S4. R package version 1.1-7.</w:t>
      </w:r>
    </w:p>
    <w:p w14:paraId="794BDF85"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Battin, J., 2004. When good animals love bad habitats: ecological traps and the conservation of animal populations. Conserv. Biol. 18, 1482–1491.</w:t>
      </w:r>
    </w:p>
    <w:p w14:paraId="7B2D26A6" w14:textId="7983377F" w:rsidR="00FF53CF" w:rsidRPr="00FF53CF" w:rsidRDefault="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Bayne, E.M., Habib, L., Boutin, S., 2008. Impacts of chronic anthropogenic noise from energy-sector activity on abundance of songbirds in the boreal forest. Conserv. Biol. 22, 1186–93. doi:10.1111/j.1523-1739.2008.00973.x</w:t>
      </w:r>
    </w:p>
    <w:p w14:paraId="0E30A405"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Bergquist, E., Evangelista, P., Stohlgren, T.J., Alley, N., 2007. Invasive species and coal bed methane development in the Powder River Basin, Wyoming. Environ. Monit. Assess. 128, 381–94. doi:10.1007/s10661-006-9321-7</w:t>
      </w:r>
    </w:p>
    <w:p w14:paraId="7B111513"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Bernath-Plaisted, J., Koper, N., 2016. Physical footprint of oil and gas infrastructure, not anthropogenic noise, reduces nesting success of some grassland songbirds. Biol. Conserv. 204, 434–441. doi:10.1016/j.biocon.2016.11.002</w:t>
      </w:r>
    </w:p>
    <w:p w14:paraId="5962821F"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Bolker, B.M., Brooks, M.E., Clark, C.J., Geange, S.W., Poulsen, J.R., Stevens, M.H.H., White, J.-S.S., 2009. Generalized linear mixed models: a practical guide for ecology and evolution. Trends Ecol. Evol. 24, 127–135.</w:t>
      </w:r>
    </w:p>
    <w:p w14:paraId="3326C1CB" w14:textId="39F5000B"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 xml:space="preserve">Brumm, H., Zollinger, S.A., 2013. Avian vocal production in noise, in: Brumm, H. (Ed.), Animal Communication and Noise. Springer Berlin Heidelberg, Berlin, </w:t>
      </w:r>
      <w:r w:rsidR="003113EA">
        <w:rPr>
          <w:rFonts w:ascii="Times New Roman" w:hAnsi="Times New Roman" w:cs="Times New Roman"/>
          <w:noProof/>
          <w:sz w:val="24"/>
          <w:szCs w:val="24"/>
        </w:rPr>
        <w:t>Germany</w:t>
      </w:r>
      <w:r w:rsidRPr="00FF53CF">
        <w:rPr>
          <w:rFonts w:ascii="Times New Roman" w:hAnsi="Times New Roman" w:cs="Times New Roman"/>
          <w:noProof/>
          <w:sz w:val="24"/>
          <w:szCs w:val="24"/>
        </w:rPr>
        <w:t>, pp. 187–227. doi:10.1007/978-3-642-41494-7_7</w:t>
      </w:r>
    </w:p>
    <w:p w14:paraId="70E55D1D"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Clevenger, A.P., Chruszcz, B., Gunson, K.E., 2003. Spatial patterns and factors influencing small vertebrate fauna road-kill aggregations. Biol. Conserv. 109, 15–26. doi:10.1016/S0006-3207(02)00127-1</w:t>
      </w:r>
    </w:p>
    <w:p w14:paraId="2A320F9B"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Clotfelter, E.D., 1998. What cues do brown-headed cowbirds use to locate red-winged blackbird host nests? Anim. Behav. 55, 1181–1189.</w:t>
      </w:r>
    </w:p>
    <w:p w14:paraId="5D8D80B4" w14:textId="070F780C"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Curry, C.M., Antze, B., Warrington, M.H., Des Brisay, P., Rosa, P., Koper, N., 2017. Ability to alter song in two grassland songbirds exposed to simulated anthropogenic noise is not related to pre-existing variability. Bioacoustics. doi:10.1080/09524622.2017.1289123</w:t>
      </w:r>
    </w:p>
    <w:p w14:paraId="188F599A" w14:textId="77777777" w:rsid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Dale, B.C., Wiens, T.S., Hamilton, L.E., 2009. Abundance of three grassland songbirds in an area of natural gas infill drilling in Alberta, Canada, in: Partners in Flight: Tundra to Tropics. McAllen, Texas, pp. 194–204.</w:t>
      </w:r>
    </w:p>
    <w:p w14:paraId="362D2154" w14:textId="23BB55C5" w:rsidR="00CD4D65" w:rsidRPr="00FF53CF" w:rsidRDefault="00496B6E" w:rsidP="00496B6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Davis, S.K., 2004. Area sensitivity in grassland passerines: effects of patch size, patch shape, and vegetation structure on bird abundance and occurrence in southern Saskatchewan. Auk</w:t>
      </w:r>
      <w:r w:rsidR="00076139">
        <w:rPr>
          <w:rFonts w:ascii="Times New Roman" w:hAnsi="Times New Roman" w:cs="Times New Roman"/>
          <w:noProof/>
          <w:sz w:val="24"/>
          <w:szCs w:val="24"/>
        </w:rPr>
        <w:t xml:space="preserve"> </w:t>
      </w:r>
      <w:r w:rsidRPr="00FF53CF">
        <w:rPr>
          <w:rFonts w:ascii="Times New Roman" w:hAnsi="Times New Roman" w:cs="Times New Roman"/>
          <w:noProof/>
          <w:sz w:val="24"/>
          <w:szCs w:val="24"/>
        </w:rPr>
        <w:t>121, 1130–1145.</w:t>
      </w:r>
    </w:p>
    <w:p w14:paraId="4E6D251D" w14:textId="77777777" w:rsidR="00FF53CF" w:rsidRPr="00FF53CF" w:rsidRDefault="00FF53CF" w:rsidP="000606C7">
      <w:pPr>
        <w:widowControl w:val="0"/>
        <w:autoSpaceDE w:val="0"/>
        <w:autoSpaceDN w:val="0"/>
        <w:adjustRightInd w:val="0"/>
        <w:spacing w:after="0" w:line="240" w:lineRule="auto"/>
        <w:ind w:left="450" w:hanging="450"/>
        <w:rPr>
          <w:rFonts w:ascii="Times New Roman" w:hAnsi="Times New Roman" w:cs="Times New Roman"/>
          <w:noProof/>
          <w:sz w:val="24"/>
          <w:szCs w:val="24"/>
        </w:rPr>
      </w:pPr>
      <w:r w:rsidRPr="00FF53CF">
        <w:rPr>
          <w:rFonts w:ascii="Times New Roman" w:hAnsi="Times New Roman" w:cs="Times New Roman"/>
          <w:noProof/>
          <w:sz w:val="24"/>
          <w:szCs w:val="24"/>
        </w:rPr>
        <w:t>Davis, S.K., 2005. Nest-site selection patterns and the influence of vegetation on nest survival of mixed-grass prairie passerines. Condor 107, 605–616.</w:t>
      </w:r>
    </w:p>
    <w:p w14:paraId="3FF794FD"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Davis, S.K., Fisher, R.J., Skinner, S.L., Shaffer, T.L., Brigham, R.M., 2013. Songbird abundance in native and planted grassland varies with type and amount of grassland in the surrounding landscape. J. Wildl. Manage. 77, 908–919. doi:10.1002/jwmg.537</w:t>
      </w:r>
    </w:p>
    <w:p w14:paraId="181B813C"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 xml:space="preserve">DeGregorio, B.A., Weatherhead, P.J., Sperry, J.H., 2014. Power lines, roads, and avian nest </w:t>
      </w:r>
      <w:r w:rsidRPr="00FF53CF">
        <w:rPr>
          <w:rFonts w:ascii="Times New Roman" w:hAnsi="Times New Roman" w:cs="Times New Roman"/>
          <w:noProof/>
          <w:sz w:val="24"/>
          <w:szCs w:val="24"/>
        </w:rPr>
        <w:lastRenderedPageBreak/>
        <w:t>survival: effects on predator identity and predation intensity. Ecol. Evol. 4, 1589–1600.</w:t>
      </w:r>
    </w:p>
    <w:p w14:paraId="72398DAC" w14:textId="30B5A1F2"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Environment Canada, 2010. Brooks North, Alberta. Can</w:t>
      </w:r>
      <w:r w:rsidR="00CD4D65">
        <w:rPr>
          <w:rFonts w:ascii="Times New Roman" w:hAnsi="Times New Roman" w:cs="Times New Roman"/>
          <w:noProof/>
          <w:sz w:val="24"/>
          <w:szCs w:val="24"/>
        </w:rPr>
        <w:t>anda</w:t>
      </w:r>
      <w:r w:rsidRPr="00FF53CF">
        <w:rPr>
          <w:rFonts w:ascii="Times New Roman" w:hAnsi="Times New Roman" w:cs="Times New Roman"/>
          <w:noProof/>
          <w:sz w:val="24"/>
          <w:szCs w:val="24"/>
        </w:rPr>
        <w:t xml:space="preserve"> Clim</w:t>
      </w:r>
      <w:r w:rsidR="00CD4D65">
        <w:rPr>
          <w:rFonts w:ascii="Times New Roman" w:hAnsi="Times New Roman" w:cs="Times New Roman"/>
          <w:noProof/>
          <w:sz w:val="24"/>
          <w:szCs w:val="24"/>
        </w:rPr>
        <w:t>ate</w:t>
      </w:r>
      <w:r w:rsidRPr="00FF53CF">
        <w:rPr>
          <w:rFonts w:ascii="Times New Roman" w:hAnsi="Times New Roman" w:cs="Times New Roman"/>
          <w:noProof/>
          <w:sz w:val="24"/>
          <w:szCs w:val="24"/>
        </w:rPr>
        <w:t xml:space="preserve"> Norm</w:t>
      </w:r>
      <w:r w:rsidR="00CD4D65">
        <w:rPr>
          <w:rFonts w:ascii="Times New Roman" w:hAnsi="Times New Roman" w:cs="Times New Roman"/>
          <w:noProof/>
          <w:sz w:val="24"/>
          <w:szCs w:val="24"/>
        </w:rPr>
        <w:t>als</w:t>
      </w:r>
      <w:r w:rsidRPr="00FF53CF">
        <w:rPr>
          <w:rFonts w:ascii="Times New Roman" w:hAnsi="Times New Roman" w:cs="Times New Roman"/>
          <w:noProof/>
          <w:sz w:val="24"/>
          <w:szCs w:val="24"/>
        </w:rPr>
        <w:t xml:space="preserve"> 1981-2010 St</w:t>
      </w:r>
      <w:r w:rsidR="00CD4D65">
        <w:rPr>
          <w:rFonts w:ascii="Times New Roman" w:hAnsi="Times New Roman" w:cs="Times New Roman"/>
          <w:noProof/>
          <w:sz w:val="24"/>
          <w:szCs w:val="24"/>
        </w:rPr>
        <w:t>atio</w:t>
      </w:r>
      <w:r w:rsidRPr="00FF53CF">
        <w:rPr>
          <w:rFonts w:ascii="Times New Roman" w:hAnsi="Times New Roman" w:cs="Times New Roman"/>
          <w:noProof/>
          <w:sz w:val="24"/>
          <w:szCs w:val="24"/>
        </w:rPr>
        <w:t>n Data.</w:t>
      </w:r>
    </w:p>
    <w:p w14:paraId="24FCE623"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Fisher, R.J., Davis, S.K., 2010. From Wiens to Robel: a review of grassland-bird habitat selection. J. Wildl. Manage. 74, 265–273. doi:10.2193/2009-020</w:t>
      </w:r>
    </w:p>
    <w:p w14:paraId="1515A0DD"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Francis, C.D., Barber, J.R., 2013. A framework for understanding noise impacts on wildlife: an urgent conservation priority. Front. Ecol. Environ. 11, 305–313. doi:10.1890/120183</w:t>
      </w:r>
    </w:p>
    <w:p w14:paraId="79C8F115" w14:textId="2003EE1E"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Francis, C.D., Ortega, C.P., Cruz, A., 2011. Different behavioural responses to anthropogenic noise by two closely related passerine birds. Biol. Lett.</w:t>
      </w:r>
      <w:r w:rsidR="005102EA">
        <w:rPr>
          <w:rFonts w:ascii="Times New Roman" w:hAnsi="Times New Roman" w:cs="Times New Roman"/>
          <w:noProof/>
          <w:sz w:val="24"/>
          <w:szCs w:val="24"/>
        </w:rPr>
        <w:t xml:space="preserve"> 7, 850-852</w:t>
      </w:r>
      <w:r w:rsidR="009619A7">
        <w:rPr>
          <w:rFonts w:ascii="Times New Roman" w:hAnsi="Times New Roman" w:cs="Times New Roman"/>
          <w:noProof/>
          <w:sz w:val="24"/>
          <w:szCs w:val="24"/>
        </w:rPr>
        <w:t>.</w:t>
      </w:r>
    </w:p>
    <w:p w14:paraId="2CD5B8AD" w14:textId="77777777" w:rsid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Frey, S.N., Conover, M.R., 2006. Habitat use by meso-predators in a corridor environment. J. Wildl. Manage. 70, 1111–1118.</w:t>
      </w:r>
    </w:p>
    <w:p w14:paraId="507C6013" w14:textId="7674150A" w:rsidR="003D6616" w:rsidRPr="00FF53CF" w:rsidRDefault="003D6616"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Pr>
          <w:rFonts w:ascii="Times New Roman" w:hAnsi="Times New Roman" w:cs="Times New Roman"/>
          <w:noProof/>
          <w:sz w:val="24"/>
          <w:szCs w:val="24"/>
        </w:rPr>
        <w:t>Gilbert</w:t>
      </w:r>
      <w:r w:rsidR="006315CE">
        <w:rPr>
          <w:rFonts w:ascii="Times New Roman" w:hAnsi="Times New Roman" w:cs="Times New Roman"/>
          <w:noProof/>
          <w:sz w:val="24"/>
          <w:szCs w:val="24"/>
        </w:rPr>
        <w:t>, M.M., Chalfoun, A.D., 2011</w:t>
      </w:r>
      <w:r w:rsidR="009D76D1">
        <w:rPr>
          <w:rFonts w:ascii="Times New Roman" w:hAnsi="Times New Roman" w:cs="Times New Roman"/>
          <w:noProof/>
          <w:sz w:val="24"/>
          <w:szCs w:val="24"/>
        </w:rPr>
        <w:t>. Energy development affects populations of sagebrush songbirds in Wyoming. J. Wildl. Manage. 75, 816-824. doi:</w:t>
      </w:r>
      <w:r w:rsidR="009D76D1" w:rsidRPr="000606C7">
        <w:rPr>
          <w:rFonts w:ascii="Times New Roman" w:hAnsi="Times New Roman" w:cs="Times New Roman"/>
          <w:sz w:val="24"/>
          <w:szCs w:val="24"/>
          <w:shd w:val="clear" w:color="auto" w:fill="FFFFFF"/>
        </w:rPr>
        <w:t>10.1002/jwmg.123</w:t>
      </w:r>
    </w:p>
    <w:p w14:paraId="124F92E5" w14:textId="0E5A1B4F" w:rsidR="00CC75D1" w:rsidRDefault="00CC75D1"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CC75D1">
        <w:rPr>
          <w:rFonts w:ascii="Times New Roman" w:hAnsi="Times New Roman" w:cs="Times New Roman"/>
          <w:noProof/>
          <w:sz w:val="24"/>
          <w:szCs w:val="24"/>
        </w:rPr>
        <w:t>Government of Alberta, 2017. Alberta Energy Regulator: statistical reports. https://www.aer.ca/data-and-publications/statistical-reports/st59 (accessed 10.17.17)</w:t>
      </w:r>
      <w:r>
        <w:rPr>
          <w:rFonts w:ascii="Times New Roman" w:hAnsi="Times New Roman" w:cs="Times New Roman"/>
          <w:noProof/>
          <w:sz w:val="24"/>
          <w:szCs w:val="24"/>
        </w:rPr>
        <w:t>.</w:t>
      </w:r>
    </w:p>
    <w:p w14:paraId="7E075A73" w14:textId="1ACFBC90"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Grant,</w:t>
      </w:r>
      <w:r w:rsidR="00CC75D1">
        <w:rPr>
          <w:rFonts w:ascii="Times New Roman" w:hAnsi="Times New Roman" w:cs="Times New Roman"/>
          <w:noProof/>
          <w:sz w:val="24"/>
          <w:szCs w:val="24"/>
        </w:rPr>
        <w:t xml:space="preserve"> </w:t>
      </w:r>
      <w:r w:rsidRPr="00FF53CF">
        <w:rPr>
          <w:rFonts w:ascii="Times New Roman" w:hAnsi="Times New Roman" w:cs="Times New Roman"/>
          <w:noProof/>
          <w:sz w:val="24"/>
          <w:szCs w:val="24"/>
        </w:rPr>
        <w:t>T.A., Madden, E.M., Shaffer, T.L., Pietz, P.J., Berkey, G.B., Kadrmas, N.J., 2006. Nest survival of clay-colored and vesper sparrows in relation to woodland edge in mixed-grass prairies. J. Wildl. Manage. 70, 691–701.</w:t>
      </w:r>
    </w:p>
    <w:p w14:paraId="7B25FB77" w14:textId="3D3790BC"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Grant, T.</w:t>
      </w:r>
      <w:r w:rsidR="009619A7">
        <w:rPr>
          <w:rFonts w:ascii="Times New Roman" w:hAnsi="Times New Roman" w:cs="Times New Roman"/>
          <w:noProof/>
          <w:sz w:val="24"/>
          <w:szCs w:val="24"/>
        </w:rPr>
        <w:t>A</w:t>
      </w:r>
      <w:r w:rsidRPr="00FF53CF">
        <w:rPr>
          <w:rFonts w:ascii="Times New Roman" w:hAnsi="Times New Roman" w:cs="Times New Roman"/>
          <w:noProof/>
          <w:sz w:val="24"/>
          <w:szCs w:val="24"/>
        </w:rPr>
        <w:t>., Madden, E., Berkey, G.B., 2004. Tree and shrub invasion in northern mixed-grass prairie: implications for breeding grassland birds. Wildl. Soc. Bull. 32, 807–818. doi:10.2193/0091-7648(2004)032[0807:TASIIN]2.0.CO;2</w:t>
      </w:r>
    </w:p>
    <w:p w14:paraId="7B2CF0A6" w14:textId="77777777" w:rsid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Habib, L., Bayne, E.M., Boutin, S., 2006. Chronic industrial noise affects pairing success and age structure of ovenbirds (</w:t>
      </w:r>
      <w:r w:rsidRPr="000606C7">
        <w:rPr>
          <w:rFonts w:ascii="Times New Roman" w:hAnsi="Times New Roman" w:cs="Times New Roman"/>
          <w:i/>
          <w:noProof/>
          <w:sz w:val="24"/>
          <w:szCs w:val="24"/>
        </w:rPr>
        <w:t>Seiurus aurocapilla</w:t>
      </w:r>
      <w:r w:rsidRPr="00FF53CF">
        <w:rPr>
          <w:rFonts w:ascii="Times New Roman" w:hAnsi="Times New Roman" w:cs="Times New Roman"/>
          <w:noProof/>
          <w:sz w:val="24"/>
          <w:szCs w:val="24"/>
        </w:rPr>
        <w:t>). J. Appl. Ecol. 44, 176–184. doi:10.1111/j.1365-2664.2006.01234.x</w:t>
      </w:r>
    </w:p>
    <w:p w14:paraId="4C06DC1C" w14:textId="6AB16A26" w:rsidR="009D76D1" w:rsidRDefault="009D76D1" w:rsidP="00FF53CF">
      <w:pPr>
        <w:widowControl w:val="0"/>
        <w:autoSpaceDE w:val="0"/>
        <w:autoSpaceDN w:val="0"/>
        <w:adjustRightInd w:val="0"/>
        <w:spacing w:after="0" w:line="240" w:lineRule="auto"/>
        <w:ind w:left="480" w:hanging="480"/>
        <w:rPr>
          <w:rFonts w:ascii="Times New Roman" w:hAnsi="Times New Roman" w:cs="Times New Roman"/>
          <w:sz w:val="24"/>
          <w:szCs w:val="24"/>
          <w:shd w:val="clear" w:color="auto" w:fill="FFFFFF"/>
        </w:rPr>
      </w:pPr>
      <w:r>
        <w:rPr>
          <w:rFonts w:ascii="Times New Roman" w:hAnsi="Times New Roman" w:cs="Times New Roman"/>
          <w:noProof/>
          <w:sz w:val="24"/>
          <w:szCs w:val="24"/>
        </w:rPr>
        <w:t>Hethcoat, M.G., Chalfoun, A.D., 2015a. Energy development and avian nest survival in Wyoming, USA: a test of a common disturbance index. Biol. Conserv. 184, 327-334. doi:</w:t>
      </w:r>
      <w:r w:rsidRPr="000606C7">
        <w:rPr>
          <w:rFonts w:ascii="Times New Roman" w:hAnsi="Times New Roman" w:cs="Times New Roman"/>
          <w:sz w:val="24"/>
          <w:szCs w:val="24"/>
          <w:shd w:val="clear" w:color="auto" w:fill="FFFFFF"/>
        </w:rPr>
        <w:t>10.1016/j.biocon.2015.02.009</w:t>
      </w:r>
    </w:p>
    <w:p w14:paraId="0D9DCFF2" w14:textId="1C91E9D9" w:rsidR="0048574B" w:rsidRPr="00FF53CF" w:rsidRDefault="0048574B" w:rsidP="000606C7">
      <w:pPr>
        <w:widowControl w:val="0"/>
        <w:autoSpaceDE w:val="0"/>
        <w:autoSpaceDN w:val="0"/>
        <w:adjustRightInd w:val="0"/>
        <w:spacing w:after="0" w:line="240" w:lineRule="auto"/>
        <w:ind w:left="480" w:hanging="480"/>
        <w:rPr>
          <w:rFonts w:ascii="Times New Roman" w:hAnsi="Times New Roman" w:cs="Times New Roman"/>
          <w:noProof/>
          <w:sz w:val="24"/>
          <w:szCs w:val="24"/>
        </w:rPr>
      </w:pPr>
      <w:r>
        <w:rPr>
          <w:rFonts w:ascii="Times New Roman" w:hAnsi="Times New Roman" w:cs="Times New Roman"/>
          <w:noProof/>
          <w:sz w:val="24"/>
          <w:szCs w:val="24"/>
        </w:rPr>
        <w:t>Hethcoat, M.G., Chalfoun, A.D., 2015b. Towards a mechanistic understanding of human-induced rapid environmentsal change: a case study linking energy development, nest predation and predators. J. Appl. Ecol. 52, 1492-1499. doi:</w:t>
      </w:r>
      <w:r w:rsidRPr="000606C7">
        <w:rPr>
          <w:rFonts w:ascii="Times New Roman" w:hAnsi="Times New Roman" w:cs="Times New Roman"/>
          <w:sz w:val="24"/>
          <w:szCs w:val="24"/>
          <w:shd w:val="clear" w:color="auto" w:fill="FFFFFF"/>
        </w:rPr>
        <w:t>10.1111/1365-2664.12513</w:t>
      </w:r>
    </w:p>
    <w:p w14:paraId="06190A38"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Henderson, A.E., Davis, S.K., 2014. Rangeland health assessment: a useful tool for linking range management and grassland bird conservation? Rangel. Ecol. Manag. 67, 88–98. doi:10.2111/REM-D-12-00140.1</w:t>
      </w:r>
    </w:p>
    <w:p w14:paraId="09A9A7D7" w14:textId="155D336F"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 xml:space="preserve">Hill, D.P., Gould, L.K., 1997. Chestnut-collared longspur, in: </w:t>
      </w:r>
      <w:r w:rsidR="00160144">
        <w:rPr>
          <w:rFonts w:ascii="Times New Roman" w:hAnsi="Times New Roman" w:cs="Times New Roman"/>
          <w:noProof/>
          <w:sz w:val="24"/>
          <w:szCs w:val="24"/>
        </w:rPr>
        <w:t>Rodewald</w:t>
      </w:r>
      <w:r w:rsidRPr="00FF53CF">
        <w:rPr>
          <w:rFonts w:ascii="Times New Roman" w:hAnsi="Times New Roman" w:cs="Times New Roman"/>
          <w:noProof/>
          <w:sz w:val="24"/>
          <w:szCs w:val="24"/>
        </w:rPr>
        <w:t xml:space="preserve">, </w:t>
      </w:r>
      <w:r w:rsidR="00160144">
        <w:rPr>
          <w:rFonts w:ascii="Times New Roman" w:hAnsi="Times New Roman" w:cs="Times New Roman"/>
          <w:noProof/>
          <w:sz w:val="24"/>
          <w:szCs w:val="24"/>
        </w:rPr>
        <w:t>P</w:t>
      </w:r>
      <w:r w:rsidRPr="00FF53CF">
        <w:rPr>
          <w:rFonts w:ascii="Times New Roman" w:hAnsi="Times New Roman" w:cs="Times New Roman"/>
          <w:noProof/>
          <w:sz w:val="24"/>
          <w:szCs w:val="24"/>
        </w:rPr>
        <w:t>. (Ed.), The Birds of North America Online. Ithaca: Cornell Lab of Ornithology.</w:t>
      </w:r>
    </w:p>
    <w:p w14:paraId="4C989E00"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Ingelfinger, F., Anderson, S., 2004. Passerine response to roads associated with natural gas extraction in a sagebrush steppe habitat. West. North Am. Nat. 64, 385–395.</w:t>
      </w:r>
    </w:p>
    <w:p w14:paraId="15F23700"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Jack, J., Rytwinski, T., Fahring, L., Francis, C.M., 2015. Influence of traffic mortality on forest bird abundance. Biodivers. Conserv. 24, 1507–1529.</w:t>
      </w:r>
    </w:p>
    <w:p w14:paraId="0834BC0B"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Johnson, D.H., 2008. In defense of indices: the case of bird surveys. J. Wildl. Manage. 72, 857–868.</w:t>
      </w:r>
    </w:p>
    <w:p w14:paraId="6A1E9895"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Klug, P.E., Jackrel, S.L., With, K.A., 2010. Linking snake habitat use to nest predation in grassland birds: the dangers of shrub cover. Oecologia 162, 801–813.</w:t>
      </w:r>
    </w:p>
    <w:p w14:paraId="32D07AE0"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Koper, N., Leston, L., Baker, T., Curry, C., 2016. Effects of ambient noise on detectability and localization of avian songs and tones by observers in grasslands. Ecol. Evol. 6, 245–255.</w:t>
      </w:r>
    </w:p>
    <w:p w14:paraId="0306A8B0"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 xml:space="preserve">Lawerence, M.A., 2013. ez: Easy analysis and visualization of factorial experiments [WWW </w:t>
      </w:r>
      <w:r w:rsidRPr="00FF53CF">
        <w:rPr>
          <w:rFonts w:ascii="Times New Roman" w:hAnsi="Times New Roman" w:cs="Times New Roman"/>
          <w:noProof/>
          <w:sz w:val="24"/>
          <w:szCs w:val="24"/>
        </w:rPr>
        <w:lastRenderedPageBreak/>
        <w:t>Document]. R Packag. version 4.2-2.</w:t>
      </w:r>
    </w:p>
    <w:p w14:paraId="31821C17"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Leston, L., Koper, N., Rosa, P., 2015. Perceptibility of prairie songbirds using double-observer point counts. Gt. Plains Res. 25, 53–61. doi:10.1353/gpr.2015.0021</w:t>
      </w:r>
    </w:p>
    <w:p w14:paraId="677C6204" w14:textId="338AE39F"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 xml:space="preserve">Linnen, C., 2008. Effects of oil and gas development on grassland birds. </w:t>
      </w:r>
      <w:r w:rsidR="00160144">
        <w:rPr>
          <w:rFonts w:ascii="Times New Roman" w:hAnsi="Times New Roman" w:cs="Times New Roman"/>
          <w:noProof/>
          <w:sz w:val="24"/>
          <w:szCs w:val="24"/>
        </w:rPr>
        <w:t xml:space="preserve">Prepared for Petroleum Technology Alliance Canada. </w:t>
      </w:r>
      <w:r w:rsidRPr="00FF53CF">
        <w:rPr>
          <w:rFonts w:ascii="Times New Roman" w:hAnsi="Times New Roman" w:cs="Times New Roman"/>
          <w:noProof/>
          <w:sz w:val="24"/>
          <w:szCs w:val="24"/>
        </w:rPr>
        <w:t>Saskatoon, Canada.</w:t>
      </w:r>
    </w:p>
    <w:p w14:paraId="29C9251F"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Lloyd, J.D., Slater, G.L., Snow, S., 2009. Demography of reintroduced eastern bluebirds and brown-headed nuthatches. J. Wildl. Manage. 73, 955–964.</w:t>
      </w:r>
    </w:p>
    <w:p w14:paraId="24A1DECB"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Ludlow, S.M., Brigham, R.M., Davis, S.K., 2015. Oil and natural gas development has mixed effects on the density and reproductive success of grassland songbirds. Condor 117, 64–75. doi:10.1650/CONDOR-14-79.1</w:t>
      </w:r>
    </w:p>
    <w:p w14:paraId="70ECE4FD" w14:textId="728BF478"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Mabey, S., Paul, E., 2007. Impact of wind energy and related human activities on grassland and shrub-steppe birds.</w:t>
      </w:r>
      <w:r w:rsidR="00160144">
        <w:rPr>
          <w:rFonts w:ascii="Times New Roman" w:hAnsi="Times New Roman" w:cs="Times New Roman"/>
          <w:noProof/>
          <w:sz w:val="24"/>
          <w:szCs w:val="24"/>
        </w:rPr>
        <w:t xml:space="preserve"> Literature review prepared for the National Wind Coordinating Collaboative (NWCC) and The Ornithological Council.</w:t>
      </w:r>
    </w:p>
    <w:p w14:paraId="4B19B68B" w14:textId="724B0A60"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Marques, T.</w:t>
      </w:r>
      <w:r w:rsidR="00160144">
        <w:rPr>
          <w:rFonts w:ascii="Times New Roman" w:hAnsi="Times New Roman" w:cs="Times New Roman"/>
          <w:noProof/>
          <w:sz w:val="24"/>
          <w:szCs w:val="24"/>
        </w:rPr>
        <w:t>A.</w:t>
      </w:r>
      <w:r w:rsidRPr="00FF53CF">
        <w:rPr>
          <w:rFonts w:ascii="Times New Roman" w:hAnsi="Times New Roman" w:cs="Times New Roman"/>
          <w:noProof/>
          <w:sz w:val="24"/>
          <w:szCs w:val="24"/>
        </w:rPr>
        <w:t>, 2004. Predicting and correcting bias caused by error measurement in line transect sampling using multiplicative error models. Biometrics 60, 757–763.</w:t>
      </w:r>
    </w:p>
    <w:p w14:paraId="347CDD6B"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McDonald, R.I., Fargione, J., Kiesecker, J., Miller, W.M., Powell, J., 2009. Energy sprawl or energy efficiency: climate policy impacts on natural habitat for the United States of America. PLoS One 4, e6802. doi:10.1371/journal.pone.0006802</w:t>
      </w:r>
    </w:p>
    <w:p w14:paraId="3547336E"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Pacifici, K., Simmons, T.R., Pollock, K.H., 2008. Effects of vegetation and background noise on the detection process in auditory avian point-count surveys. Auk 125, 600–607.</w:t>
      </w:r>
    </w:p>
    <w:p w14:paraId="078CC979" w14:textId="05104FA9"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 xml:space="preserve">Pipher, E., 2011. Effects of cattle stocking rate and years grazed on songbird nesting success in the northern mixed-grass prairie. </w:t>
      </w:r>
      <w:r w:rsidR="003907AD">
        <w:rPr>
          <w:rFonts w:ascii="Times New Roman" w:hAnsi="Times New Roman" w:cs="Times New Roman"/>
          <w:noProof/>
          <w:sz w:val="24"/>
          <w:szCs w:val="24"/>
        </w:rPr>
        <w:t>M</w:t>
      </w:r>
      <w:r w:rsidR="002101EA">
        <w:rPr>
          <w:rFonts w:ascii="Times New Roman" w:hAnsi="Times New Roman" w:cs="Times New Roman"/>
          <w:noProof/>
          <w:sz w:val="24"/>
          <w:szCs w:val="24"/>
        </w:rPr>
        <w:t>asters</w:t>
      </w:r>
      <w:r w:rsidR="003907AD">
        <w:rPr>
          <w:rFonts w:ascii="Times New Roman" w:hAnsi="Times New Roman" w:cs="Times New Roman"/>
          <w:noProof/>
          <w:sz w:val="24"/>
          <w:szCs w:val="24"/>
        </w:rPr>
        <w:t xml:space="preserve"> Thesis. </w:t>
      </w:r>
      <w:r w:rsidRPr="00FF53CF">
        <w:rPr>
          <w:rFonts w:ascii="Times New Roman" w:hAnsi="Times New Roman" w:cs="Times New Roman"/>
          <w:noProof/>
          <w:sz w:val="24"/>
          <w:szCs w:val="24"/>
        </w:rPr>
        <w:t>University of Manitoba</w:t>
      </w:r>
      <w:r w:rsidR="009553D5">
        <w:rPr>
          <w:rFonts w:ascii="Times New Roman" w:hAnsi="Times New Roman" w:cs="Times New Roman"/>
          <w:noProof/>
          <w:sz w:val="24"/>
          <w:szCs w:val="24"/>
        </w:rPr>
        <w:t>, Winnipeg</w:t>
      </w:r>
      <w:r w:rsidR="003907AD">
        <w:rPr>
          <w:rFonts w:ascii="Times New Roman" w:hAnsi="Times New Roman" w:cs="Times New Roman"/>
          <w:noProof/>
          <w:sz w:val="24"/>
          <w:szCs w:val="24"/>
        </w:rPr>
        <w:t>, Canada</w:t>
      </w:r>
      <w:r w:rsidRPr="00FF53CF">
        <w:rPr>
          <w:rFonts w:ascii="Times New Roman" w:hAnsi="Times New Roman" w:cs="Times New Roman"/>
          <w:noProof/>
          <w:sz w:val="24"/>
          <w:szCs w:val="24"/>
        </w:rPr>
        <w:t>.</w:t>
      </w:r>
    </w:p>
    <w:p w14:paraId="3F19D783"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R Core Team, 2014. R: a language and environment for statistical computing.</w:t>
      </w:r>
    </w:p>
    <w:p w14:paraId="5D6D8B0A"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Reijnen, R., Foppen, R., Meeuwsen, H., 1996. The effects of traffic on the density of breeding birds in Dutch agricultural grasslands. Biol. Conserv. 75, 255–260.</w:t>
      </w:r>
    </w:p>
    <w:p w14:paraId="4E7BDF4A" w14:textId="43D9E6E2"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Riley, T.Z., Naugle, D.E., Bayne, E.M., Rodgers, J.A., Dale, B.C., Torbit, S.C., 2012. Impacts of crude oil and natural gas developments on wildlife and wildlife habitat in the Rocky Mountain region. The Wildlife Society Technical Review 12-02, The Wild</w:t>
      </w:r>
      <w:r w:rsidR="003907AD">
        <w:rPr>
          <w:rFonts w:ascii="Times New Roman" w:hAnsi="Times New Roman" w:cs="Times New Roman"/>
          <w:noProof/>
          <w:sz w:val="24"/>
          <w:szCs w:val="24"/>
        </w:rPr>
        <w:t>life Society</w:t>
      </w:r>
      <w:r w:rsidRPr="00FF53CF">
        <w:rPr>
          <w:rFonts w:ascii="Times New Roman" w:hAnsi="Times New Roman" w:cs="Times New Roman"/>
          <w:noProof/>
          <w:sz w:val="24"/>
          <w:szCs w:val="24"/>
        </w:rPr>
        <w:t xml:space="preserve"> Bethesda, Maryland, USA.</w:t>
      </w:r>
    </w:p>
    <w:p w14:paraId="0131FFDD" w14:textId="26D59BA4"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Robbins, M.B., Dale, B.C., 1999. Sprague’s pipit (</w:t>
      </w:r>
      <w:r w:rsidRPr="000606C7">
        <w:rPr>
          <w:rFonts w:ascii="Times New Roman" w:hAnsi="Times New Roman" w:cs="Times New Roman"/>
          <w:i/>
          <w:noProof/>
          <w:sz w:val="24"/>
          <w:szCs w:val="24"/>
        </w:rPr>
        <w:t>Anthus spragueii</w:t>
      </w:r>
      <w:r w:rsidRPr="00FF53CF">
        <w:rPr>
          <w:rFonts w:ascii="Times New Roman" w:hAnsi="Times New Roman" w:cs="Times New Roman"/>
          <w:noProof/>
          <w:sz w:val="24"/>
          <w:szCs w:val="24"/>
        </w:rPr>
        <w:t>)</w:t>
      </w:r>
      <w:r w:rsidR="003907AD" w:rsidRPr="00FF53CF">
        <w:rPr>
          <w:rFonts w:ascii="Times New Roman" w:hAnsi="Times New Roman" w:cs="Times New Roman"/>
          <w:noProof/>
          <w:sz w:val="24"/>
          <w:szCs w:val="24"/>
        </w:rPr>
        <w:t xml:space="preserve"> in: </w:t>
      </w:r>
      <w:r w:rsidR="003907AD">
        <w:rPr>
          <w:rFonts w:ascii="Times New Roman" w:hAnsi="Times New Roman" w:cs="Times New Roman"/>
          <w:noProof/>
          <w:sz w:val="24"/>
          <w:szCs w:val="24"/>
        </w:rPr>
        <w:t>Rodewald</w:t>
      </w:r>
      <w:r w:rsidR="003907AD" w:rsidRPr="00FF53CF">
        <w:rPr>
          <w:rFonts w:ascii="Times New Roman" w:hAnsi="Times New Roman" w:cs="Times New Roman"/>
          <w:noProof/>
          <w:sz w:val="24"/>
          <w:szCs w:val="24"/>
        </w:rPr>
        <w:t xml:space="preserve">, </w:t>
      </w:r>
      <w:r w:rsidR="003907AD">
        <w:rPr>
          <w:rFonts w:ascii="Times New Roman" w:hAnsi="Times New Roman" w:cs="Times New Roman"/>
          <w:noProof/>
          <w:sz w:val="24"/>
          <w:szCs w:val="24"/>
        </w:rPr>
        <w:t>P</w:t>
      </w:r>
      <w:r w:rsidR="003907AD" w:rsidRPr="00FF53CF">
        <w:rPr>
          <w:rFonts w:ascii="Times New Roman" w:hAnsi="Times New Roman" w:cs="Times New Roman"/>
          <w:noProof/>
          <w:sz w:val="24"/>
          <w:szCs w:val="24"/>
        </w:rPr>
        <w:t>. (Ed.), The Birds of North America Online. Ithaca: Cornell Lab of Ornithology</w:t>
      </w:r>
      <w:r w:rsidRPr="00FF53CF">
        <w:rPr>
          <w:rFonts w:ascii="Times New Roman" w:hAnsi="Times New Roman" w:cs="Times New Roman"/>
          <w:noProof/>
          <w:sz w:val="24"/>
          <w:szCs w:val="24"/>
        </w:rPr>
        <w:t xml:space="preserve"> http://bna.birds.cornell.edu/bna/species/439 (accessed </w:t>
      </w:r>
      <w:r w:rsidR="003907AD">
        <w:rPr>
          <w:rFonts w:ascii="Times New Roman" w:hAnsi="Times New Roman" w:cs="Times New Roman"/>
          <w:noProof/>
          <w:sz w:val="24"/>
          <w:szCs w:val="24"/>
        </w:rPr>
        <w:t>0</w:t>
      </w:r>
      <w:r w:rsidRPr="00FF53CF">
        <w:rPr>
          <w:rFonts w:ascii="Times New Roman" w:hAnsi="Times New Roman" w:cs="Times New Roman"/>
          <w:noProof/>
          <w:sz w:val="24"/>
          <w:szCs w:val="24"/>
        </w:rPr>
        <w:t>1.21.14).</w:t>
      </w:r>
    </w:p>
    <w:p w14:paraId="76317CED"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Rodgers, J.A., Koper, N., 2017. Shallow gas development and grassland songbirds: The importance of perches. J. Wildl. Manage. 81, 406–416. doi:10.1002/jwmg.21210</w:t>
      </w:r>
    </w:p>
    <w:p w14:paraId="6392806A" w14:textId="7C0134D0" w:rsidR="00FF53CF" w:rsidRPr="00076139"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Rosa, P., Swider, C.R., Leston, L.L., Koper, N., 2015. Disentangling effects of noise from presence of anthropogenic infrastructure: design and testing of system for large-scale playback experiments.</w:t>
      </w:r>
      <w:r w:rsidR="00076139">
        <w:rPr>
          <w:rFonts w:ascii="Times New Roman" w:hAnsi="Times New Roman" w:cs="Times New Roman"/>
          <w:noProof/>
          <w:sz w:val="24"/>
          <w:szCs w:val="24"/>
        </w:rPr>
        <w:t xml:space="preserve"> </w:t>
      </w:r>
      <w:r w:rsidR="00076139" w:rsidRPr="00076139">
        <w:rPr>
          <w:rFonts w:ascii="Times New Roman" w:hAnsi="Times New Roman" w:cs="Times New Roman"/>
          <w:sz w:val="24"/>
          <w:szCs w:val="24"/>
          <w:shd w:val="clear" w:color="auto" w:fill="FFFFFF"/>
        </w:rPr>
        <w:t>Wildl. Soc. Bull., 39: 364–372. doi:10.1002/wsb.546</w:t>
      </w:r>
    </w:p>
    <w:p w14:paraId="065552AE" w14:textId="0CDDA211" w:rsidR="00FF53CF" w:rsidRPr="00FF53CF" w:rsidRDefault="009553D5"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Pr>
          <w:rFonts w:ascii="Times New Roman" w:hAnsi="Times New Roman" w:cs="Times New Roman"/>
          <w:noProof/>
          <w:sz w:val="24"/>
          <w:szCs w:val="24"/>
        </w:rPr>
        <w:t>Species at Risk Act (</w:t>
      </w:r>
      <w:r w:rsidR="00FF53CF" w:rsidRPr="00FF53CF">
        <w:rPr>
          <w:rFonts w:ascii="Times New Roman" w:hAnsi="Times New Roman" w:cs="Times New Roman"/>
          <w:noProof/>
          <w:sz w:val="24"/>
          <w:szCs w:val="24"/>
        </w:rPr>
        <w:t>SARA</w:t>
      </w:r>
      <w:r>
        <w:rPr>
          <w:rFonts w:ascii="Times New Roman" w:hAnsi="Times New Roman" w:cs="Times New Roman"/>
          <w:noProof/>
          <w:sz w:val="24"/>
          <w:szCs w:val="24"/>
        </w:rPr>
        <w:t>)</w:t>
      </w:r>
      <w:r w:rsidR="00FF53CF" w:rsidRPr="00FF53CF">
        <w:rPr>
          <w:rFonts w:ascii="Times New Roman" w:hAnsi="Times New Roman" w:cs="Times New Roman"/>
          <w:noProof/>
          <w:sz w:val="24"/>
          <w:szCs w:val="24"/>
        </w:rPr>
        <w:t>, 2016. Species at Risk Public Registry. Ottawa</w:t>
      </w:r>
      <w:r>
        <w:rPr>
          <w:rFonts w:ascii="Times New Roman" w:hAnsi="Times New Roman" w:cs="Times New Roman"/>
          <w:noProof/>
          <w:sz w:val="24"/>
          <w:szCs w:val="24"/>
        </w:rPr>
        <w:t>, Canada</w:t>
      </w:r>
      <w:r w:rsidR="00FF53CF" w:rsidRPr="00FF53CF">
        <w:rPr>
          <w:rFonts w:ascii="Times New Roman" w:hAnsi="Times New Roman" w:cs="Times New Roman"/>
          <w:noProof/>
          <w:sz w:val="24"/>
          <w:szCs w:val="24"/>
        </w:rPr>
        <w:t>.</w:t>
      </w:r>
    </w:p>
    <w:p w14:paraId="12518D78"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Saunders, C.A., Acrease, P., O’Connor, K.D., 2003. Nest site characterisitics in the song sparrow and parasitism by brown-headed cowbirds. Wilson Bull. 115, 24–28.</w:t>
      </w:r>
    </w:p>
    <w:p w14:paraId="5DACE72B"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Schroeder, J., Nakagawa, S., Cleasby, I.R., Burke, T., 2012. Passerine birds breeding under chronic noise experience reduced fitness. PLoS One 7, e39200.</w:t>
      </w:r>
    </w:p>
    <w:p w14:paraId="4D2D4DC3"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Sutter, G.C., Davis, S.K., Duncan, D.C., 2000. Grassland songbird abundance along roads and trails in southern Saskatchewan. J. F. Ornithol. 71, 110–116.</w:t>
      </w:r>
    </w:p>
    <w:p w14:paraId="5E0D1651"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 xml:space="preserve">Taylor, B.L., Gerrodette, T., 1993. The uses of statistical power in ecology: the vaquita and the </w:t>
      </w:r>
      <w:r w:rsidRPr="00FF53CF">
        <w:rPr>
          <w:rFonts w:ascii="Times New Roman" w:hAnsi="Times New Roman" w:cs="Times New Roman"/>
          <w:noProof/>
          <w:sz w:val="24"/>
          <w:szCs w:val="24"/>
        </w:rPr>
        <w:lastRenderedPageBreak/>
        <w:t>northern spotted owl. Conserv. Biol. 7, 489–500.</w:t>
      </w:r>
    </w:p>
    <w:p w14:paraId="371E1185" w14:textId="6BC0B346"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Thompson, S.J., Arnol</w:t>
      </w:r>
      <w:r w:rsidR="009553D5">
        <w:rPr>
          <w:rFonts w:ascii="Times New Roman" w:hAnsi="Times New Roman" w:cs="Times New Roman"/>
          <w:noProof/>
          <w:sz w:val="24"/>
          <w:szCs w:val="24"/>
        </w:rPr>
        <w:t>d</w:t>
      </w:r>
      <w:r w:rsidRPr="00FF53CF">
        <w:rPr>
          <w:rFonts w:ascii="Times New Roman" w:hAnsi="Times New Roman" w:cs="Times New Roman"/>
          <w:noProof/>
          <w:sz w:val="24"/>
          <w:szCs w:val="24"/>
        </w:rPr>
        <w:t>, T.A., Amundson, C.L., 2014. A multiscale assessment of tree avoidance by prairie birds. Condor 116, 303–315.</w:t>
      </w:r>
    </w:p>
    <w:p w14:paraId="1792EAF8"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Thompson, S.J., Johnson, D.H., Niemuth, N.D., Ribic, C. a., 2015. Avoidance of unconventional oil wells and roads exacerbates habitat loss for grassland birds in the North American great plains. Biol. Conserv. 192, 82–90. doi:10.1016/j.biocon.2015.08.040</w:t>
      </w:r>
    </w:p>
    <w:p w14:paraId="7A4CE2CA" w14:textId="77777777"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Trombulak, S.C., Frissell, C.A., 2000. Review of ecological effects of roads on terrestrial and aquatic communities. Conserv. Biol. 14, 18–30.</w:t>
      </w:r>
    </w:p>
    <w:p w14:paraId="72A55026" w14:textId="6427157A"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Ware, H.E., McClure, C.J.W., Carlisle, J.D., Barber, J.R., 2015. A phantom road experiment reveals traffic noise is an invisible source of habitat degradation. Proc</w:t>
      </w:r>
      <w:r w:rsidR="009553D5">
        <w:rPr>
          <w:rFonts w:ascii="Times New Roman" w:hAnsi="Times New Roman" w:cs="Times New Roman"/>
          <w:noProof/>
          <w:sz w:val="24"/>
          <w:szCs w:val="24"/>
        </w:rPr>
        <w:t>eedings of the</w:t>
      </w:r>
      <w:r w:rsidRPr="00FF53CF">
        <w:rPr>
          <w:rFonts w:ascii="Times New Roman" w:hAnsi="Times New Roman" w:cs="Times New Roman"/>
          <w:noProof/>
          <w:sz w:val="24"/>
          <w:szCs w:val="24"/>
        </w:rPr>
        <w:t xml:space="preserve"> Nat</w:t>
      </w:r>
      <w:r w:rsidR="009553D5">
        <w:rPr>
          <w:rFonts w:ascii="Times New Roman" w:hAnsi="Times New Roman" w:cs="Times New Roman"/>
          <w:noProof/>
          <w:sz w:val="24"/>
          <w:szCs w:val="24"/>
        </w:rPr>
        <w:t>ional Academy of</w:t>
      </w:r>
      <w:r w:rsidRPr="00FF53CF">
        <w:rPr>
          <w:rFonts w:ascii="Times New Roman" w:hAnsi="Times New Roman" w:cs="Times New Roman"/>
          <w:noProof/>
          <w:sz w:val="24"/>
          <w:szCs w:val="24"/>
        </w:rPr>
        <w:t xml:space="preserve"> Sci</w:t>
      </w:r>
      <w:r w:rsidR="009553D5">
        <w:rPr>
          <w:rFonts w:ascii="Times New Roman" w:hAnsi="Times New Roman" w:cs="Times New Roman"/>
          <w:noProof/>
          <w:sz w:val="24"/>
          <w:szCs w:val="24"/>
        </w:rPr>
        <w:t>ences</w:t>
      </w:r>
      <w:r w:rsidRPr="00FF53CF">
        <w:rPr>
          <w:rFonts w:ascii="Times New Roman" w:hAnsi="Times New Roman" w:cs="Times New Roman"/>
          <w:noProof/>
          <w:sz w:val="24"/>
          <w:szCs w:val="24"/>
        </w:rPr>
        <w:t xml:space="preserve"> 112, 12105–</w:t>
      </w:r>
      <w:r w:rsidR="00E22C7E">
        <w:rPr>
          <w:rFonts w:ascii="Times New Roman" w:hAnsi="Times New Roman" w:cs="Times New Roman"/>
          <w:noProof/>
          <w:sz w:val="24"/>
          <w:szCs w:val="24"/>
        </w:rPr>
        <w:t>1210</w:t>
      </w:r>
      <w:r w:rsidRPr="00FF53CF">
        <w:rPr>
          <w:rFonts w:ascii="Times New Roman" w:hAnsi="Times New Roman" w:cs="Times New Roman"/>
          <w:noProof/>
          <w:sz w:val="24"/>
          <w:szCs w:val="24"/>
        </w:rPr>
        <w:t>9. doi:10.1073/pnas.1504710112</w:t>
      </w:r>
    </w:p>
    <w:p w14:paraId="4B00A9E1" w14:textId="11536CE8" w:rsid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Watson, T., Bachu, S., 2009. Evaluation of the potential for gas and CO2 leakage along wellbores. Soc</w:t>
      </w:r>
      <w:r w:rsidR="009553D5">
        <w:rPr>
          <w:rFonts w:ascii="Times New Roman" w:hAnsi="Times New Roman" w:cs="Times New Roman"/>
          <w:noProof/>
          <w:sz w:val="24"/>
          <w:szCs w:val="24"/>
        </w:rPr>
        <w:t>iety of</w:t>
      </w:r>
      <w:r w:rsidRPr="00FF53CF">
        <w:rPr>
          <w:rFonts w:ascii="Times New Roman" w:hAnsi="Times New Roman" w:cs="Times New Roman"/>
          <w:noProof/>
          <w:sz w:val="24"/>
          <w:szCs w:val="24"/>
        </w:rPr>
        <w:t xml:space="preserve"> Pet</w:t>
      </w:r>
      <w:r w:rsidR="009553D5">
        <w:rPr>
          <w:rFonts w:ascii="Times New Roman" w:hAnsi="Times New Roman" w:cs="Times New Roman"/>
          <w:noProof/>
          <w:sz w:val="24"/>
          <w:szCs w:val="24"/>
        </w:rPr>
        <w:t>roleum</w:t>
      </w:r>
      <w:r w:rsidRPr="00FF53CF">
        <w:rPr>
          <w:rFonts w:ascii="Times New Roman" w:hAnsi="Times New Roman" w:cs="Times New Roman"/>
          <w:noProof/>
          <w:sz w:val="24"/>
          <w:szCs w:val="24"/>
        </w:rPr>
        <w:t xml:space="preserve"> Eng</w:t>
      </w:r>
      <w:r w:rsidR="009553D5">
        <w:rPr>
          <w:rFonts w:ascii="Times New Roman" w:hAnsi="Times New Roman" w:cs="Times New Roman"/>
          <w:noProof/>
          <w:sz w:val="24"/>
          <w:szCs w:val="24"/>
        </w:rPr>
        <w:t>ineers,</w:t>
      </w:r>
      <w:r w:rsidRPr="00FF53CF">
        <w:rPr>
          <w:rFonts w:ascii="Times New Roman" w:hAnsi="Times New Roman" w:cs="Times New Roman"/>
          <w:noProof/>
          <w:sz w:val="24"/>
          <w:szCs w:val="24"/>
        </w:rPr>
        <w:t xml:space="preserve"> Drill</w:t>
      </w:r>
      <w:r w:rsidR="009553D5">
        <w:rPr>
          <w:rFonts w:ascii="Times New Roman" w:hAnsi="Times New Roman" w:cs="Times New Roman"/>
          <w:noProof/>
          <w:sz w:val="24"/>
          <w:szCs w:val="24"/>
        </w:rPr>
        <w:t>ing</w:t>
      </w:r>
      <w:r w:rsidRPr="00FF53CF">
        <w:rPr>
          <w:rFonts w:ascii="Times New Roman" w:hAnsi="Times New Roman" w:cs="Times New Roman"/>
          <w:noProof/>
          <w:sz w:val="24"/>
          <w:szCs w:val="24"/>
        </w:rPr>
        <w:t xml:space="preserve"> </w:t>
      </w:r>
      <w:r w:rsidR="009553D5">
        <w:rPr>
          <w:rFonts w:ascii="Times New Roman" w:hAnsi="Times New Roman" w:cs="Times New Roman"/>
          <w:noProof/>
          <w:sz w:val="24"/>
          <w:szCs w:val="24"/>
        </w:rPr>
        <w:t>and Completion</w:t>
      </w:r>
      <w:r w:rsidRPr="00FF53CF">
        <w:rPr>
          <w:rFonts w:ascii="Times New Roman" w:hAnsi="Times New Roman" w:cs="Times New Roman"/>
          <w:noProof/>
          <w:sz w:val="24"/>
          <w:szCs w:val="24"/>
        </w:rPr>
        <w:t xml:space="preserve"> 24, 115–126.</w:t>
      </w:r>
    </w:p>
    <w:p w14:paraId="76FC60EA" w14:textId="4B982D79" w:rsidR="003113EA" w:rsidRPr="00FF53CF" w:rsidRDefault="003113EA" w:rsidP="00FF53C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F53CF">
        <w:rPr>
          <w:rFonts w:ascii="Times New Roman" w:hAnsi="Times New Roman" w:cs="Times New Roman"/>
          <w:noProof/>
          <w:sz w:val="24"/>
          <w:szCs w:val="24"/>
        </w:rPr>
        <w:t>Wilson, S.D.,</w:t>
      </w:r>
      <w:r>
        <w:rPr>
          <w:rFonts w:ascii="Times New Roman" w:hAnsi="Times New Roman" w:cs="Times New Roman"/>
          <w:noProof/>
          <w:sz w:val="24"/>
          <w:szCs w:val="24"/>
        </w:rPr>
        <w:t xml:space="preserve"> Belcher, J.W., </w:t>
      </w:r>
      <w:r w:rsidRPr="00FF53CF">
        <w:rPr>
          <w:rFonts w:ascii="Times New Roman" w:hAnsi="Times New Roman" w:cs="Times New Roman"/>
          <w:noProof/>
          <w:sz w:val="24"/>
          <w:szCs w:val="24"/>
        </w:rPr>
        <w:t xml:space="preserve">1989. Plant and bird </w:t>
      </w:r>
      <w:r>
        <w:rPr>
          <w:rFonts w:ascii="Times New Roman" w:hAnsi="Times New Roman" w:cs="Times New Roman"/>
          <w:noProof/>
          <w:sz w:val="24"/>
          <w:szCs w:val="24"/>
        </w:rPr>
        <w:t>c</w:t>
      </w:r>
      <w:r w:rsidRPr="00FF53CF">
        <w:rPr>
          <w:rFonts w:ascii="Times New Roman" w:hAnsi="Times New Roman" w:cs="Times New Roman"/>
          <w:noProof/>
          <w:sz w:val="24"/>
          <w:szCs w:val="24"/>
        </w:rPr>
        <w:t>ommunities of native prairie and introduced eurasian vegetation in Manitoba, Canada. Conserv. Biol. 3, 39–44.</w:t>
      </w:r>
    </w:p>
    <w:p w14:paraId="7382021D" w14:textId="67498709" w:rsidR="00FF53CF" w:rsidRPr="00FF53CF" w:rsidRDefault="00FF53CF" w:rsidP="00FF53CF">
      <w:pPr>
        <w:widowControl w:val="0"/>
        <w:autoSpaceDE w:val="0"/>
        <w:autoSpaceDN w:val="0"/>
        <w:adjustRightInd w:val="0"/>
        <w:spacing w:after="0" w:line="240" w:lineRule="auto"/>
        <w:ind w:left="480" w:hanging="480"/>
        <w:rPr>
          <w:rFonts w:ascii="Times New Roman" w:hAnsi="Times New Roman" w:cs="Times New Roman"/>
          <w:noProof/>
          <w:sz w:val="24"/>
        </w:rPr>
      </w:pPr>
      <w:r w:rsidRPr="00FF53CF">
        <w:rPr>
          <w:rFonts w:ascii="Times New Roman" w:hAnsi="Times New Roman" w:cs="Times New Roman"/>
          <w:noProof/>
          <w:sz w:val="24"/>
          <w:szCs w:val="24"/>
        </w:rPr>
        <w:t>Wood, W.E., Yezerinac, S.M., 2006. Song sparrow (</w:t>
      </w:r>
      <w:r w:rsidRPr="00133B74">
        <w:rPr>
          <w:rFonts w:ascii="Times New Roman" w:hAnsi="Times New Roman" w:cs="Times New Roman"/>
          <w:i/>
          <w:noProof/>
          <w:sz w:val="24"/>
          <w:szCs w:val="24"/>
        </w:rPr>
        <w:t>Melospiza melodia</w:t>
      </w:r>
      <w:r w:rsidRPr="00FF53CF">
        <w:rPr>
          <w:rFonts w:ascii="Times New Roman" w:hAnsi="Times New Roman" w:cs="Times New Roman"/>
          <w:noProof/>
          <w:sz w:val="24"/>
          <w:szCs w:val="24"/>
        </w:rPr>
        <w:t>) song varies with urban noise. Auk 123, 650</w:t>
      </w:r>
      <w:r w:rsidR="009553D5">
        <w:rPr>
          <w:rFonts w:ascii="Times New Roman" w:hAnsi="Times New Roman" w:cs="Times New Roman"/>
          <w:noProof/>
          <w:sz w:val="24"/>
          <w:szCs w:val="24"/>
        </w:rPr>
        <w:t>-659</w:t>
      </w:r>
      <w:r w:rsidRPr="00FF53CF">
        <w:rPr>
          <w:rFonts w:ascii="Times New Roman" w:hAnsi="Times New Roman" w:cs="Times New Roman"/>
          <w:noProof/>
          <w:sz w:val="24"/>
          <w:szCs w:val="24"/>
        </w:rPr>
        <w:t>. doi:10.1642/0004-8038(2006)123[650:SSMMSV]2.0.CO;2</w:t>
      </w:r>
    </w:p>
    <w:p w14:paraId="2329CE8E" w14:textId="7AB3941A" w:rsidR="00355E76" w:rsidRPr="00355E76" w:rsidRDefault="00E93EFF" w:rsidP="00FF53CF">
      <w:pPr>
        <w:widowControl w:val="0"/>
        <w:autoSpaceDE w:val="0"/>
        <w:autoSpaceDN w:val="0"/>
        <w:adjustRightInd w:val="0"/>
        <w:spacing w:after="0" w:line="240" w:lineRule="auto"/>
        <w:ind w:left="480" w:hanging="480"/>
        <w:rPr>
          <w:rFonts w:ascii="Times New Roman" w:eastAsia="Times New Roman" w:hAnsi="Times New Roman" w:cs="Times New Roman"/>
          <w:sz w:val="24"/>
          <w:szCs w:val="24"/>
        </w:rPr>
      </w:pPr>
      <w:r w:rsidRPr="006F6218">
        <w:rPr>
          <w:rFonts w:ascii="Times New Roman" w:eastAsia="Times New Roman" w:hAnsi="Times New Roman" w:cs="Times New Roman"/>
          <w:sz w:val="24"/>
          <w:szCs w:val="24"/>
        </w:rPr>
        <w:fldChar w:fldCharType="end"/>
      </w:r>
      <w:r w:rsidR="00FF72F0" w:rsidRPr="006F6218">
        <w:rPr>
          <w:rFonts w:ascii="Times New Roman" w:eastAsia="Cambria" w:hAnsi="Times New Roman" w:cs="Times New Roman"/>
          <w:sz w:val="24"/>
          <w:szCs w:val="24"/>
        </w:rPr>
        <w:br w:type="page"/>
      </w:r>
    </w:p>
    <w:p w14:paraId="0D6F848D" w14:textId="45F332E5" w:rsidR="00355E76" w:rsidRPr="00355E76" w:rsidRDefault="00355E76" w:rsidP="00355E76">
      <w:pPr>
        <w:spacing w:after="0" w:line="240" w:lineRule="auto"/>
        <w:rPr>
          <w:rFonts w:ascii="Times New Roman" w:eastAsia="Cambria" w:hAnsi="Times New Roman" w:cs="Times New Roman"/>
          <w:b/>
          <w:sz w:val="24"/>
          <w:szCs w:val="24"/>
        </w:rPr>
      </w:pPr>
      <w:r>
        <w:rPr>
          <w:rFonts w:ascii="Times New Roman" w:eastAsia="Cambria" w:hAnsi="Times New Roman" w:cs="Times New Roman"/>
          <w:b/>
          <w:sz w:val="24"/>
          <w:szCs w:val="24"/>
        </w:rPr>
        <w:lastRenderedPageBreak/>
        <w:t>7</w:t>
      </w:r>
      <w:r w:rsidR="00225956">
        <w:rPr>
          <w:rFonts w:ascii="Times New Roman" w:eastAsia="Cambria" w:hAnsi="Times New Roman" w:cs="Times New Roman"/>
          <w:b/>
          <w:sz w:val="24"/>
          <w:szCs w:val="24"/>
        </w:rPr>
        <w:t>.</w:t>
      </w:r>
      <w:r>
        <w:rPr>
          <w:rFonts w:ascii="Times New Roman" w:eastAsia="Cambria" w:hAnsi="Times New Roman" w:cs="Times New Roman"/>
          <w:b/>
          <w:sz w:val="24"/>
          <w:szCs w:val="24"/>
        </w:rPr>
        <w:t xml:space="preserve"> List of </w:t>
      </w:r>
      <w:r w:rsidR="00297F42">
        <w:rPr>
          <w:rFonts w:ascii="Times New Roman" w:eastAsia="Cambria" w:hAnsi="Times New Roman" w:cs="Times New Roman"/>
          <w:b/>
          <w:sz w:val="24"/>
          <w:szCs w:val="24"/>
        </w:rPr>
        <w:t>t</w:t>
      </w:r>
      <w:r>
        <w:rPr>
          <w:rFonts w:ascii="Times New Roman" w:eastAsia="Cambria" w:hAnsi="Times New Roman" w:cs="Times New Roman"/>
          <w:b/>
          <w:sz w:val="24"/>
          <w:szCs w:val="24"/>
        </w:rPr>
        <w:t>ables</w:t>
      </w:r>
    </w:p>
    <w:p w14:paraId="1FF2BFAF" w14:textId="2D0C3085" w:rsidR="00355E76" w:rsidRDefault="0037350E" w:rsidP="00297F42">
      <w:pPr>
        <w:keepNext/>
        <w:keepLines/>
        <w:spacing w:before="200" w:after="0" w:line="240" w:lineRule="auto"/>
        <w:outlineLvl w:val="1"/>
        <w:rPr>
          <w:rFonts w:ascii="Times New Roman" w:eastAsia="Cambria" w:hAnsi="Times New Roman" w:cs="Times New Roman"/>
          <w:sz w:val="24"/>
          <w:szCs w:val="24"/>
        </w:rPr>
      </w:pPr>
      <w:r w:rsidRPr="0037350E">
        <w:rPr>
          <w:rFonts w:ascii="Times New Roman" w:eastAsia="Cambria" w:hAnsi="Times New Roman" w:cs="Times New Roman"/>
          <w:sz w:val="24"/>
          <w:szCs w:val="24"/>
        </w:rPr>
        <w:t xml:space="preserve">Table 1. Responses of </w:t>
      </w:r>
      <w:r w:rsidR="00866605">
        <w:rPr>
          <w:rFonts w:ascii="Times New Roman" w:eastAsia="Cambria" w:hAnsi="Times New Roman" w:cs="Times New Roman"/>
          <w:sz w:val="24"/>
          <w:szCs w:val="24"/>
        </w:rPr>
        <w:t>five</w:t>
      </w:r>
      <w:r w:rsidR="00866605" w:rsidRPr="0037350E">
        <w:rPr>
          <w:rFonts w:ascii="Times New Roman" w:eastAsia="Cambria" w:hAnsi="Times New Roman" w:cs="Times New Roman"/>
          <w:sz w:val="24"/>
          <w:szCs w:val="24"/>
        </w:rPr>
        <w:t xml:space="preserve"> </w:t>
      </w:r>
      <w:r w:rsidRPr="0037350E">
        <w:rPr>
          <w:rFonts w:ascii="Times New Roman" w:eastAsia="Cambria" w:hAnsi="Times New Roman" w:cs="Times New Roman"/>
          <w:sz w:val="24"/>
          <w:szCs w:val="24"/>
        </w:rPr>
        <w:t xml:space="preserve">species of grassland songbirds to different </w:t>
      </w:r>
      <w:r w:rsidR="00866605">
        <w:rPr>
          <w:rFonts w:ascii="Times New Roman" w:eastAsia="Cambria" w:hAnsi="Times New Roman" w:cs="Times New Roman"/>
          <w:sz w:val="24"/>
          <w:szCs w:val="24"/>
        </w:rPr>
        <w:t xml:space="preserve">types of </w:t>
      </w:r>
      <w:r w:rsidRPr="0037350E">
        <w:rPr>
          <w:rFonts w:ascii="Times New Roman" w:eastAsia="Cambria" w:hAnsi="Times New Roman" w:cs="Times New Roman"/>
          <w:sz w:val="24"/>
          <w:szCs w:val="24"/>
        </w:rPr>
        <w:t xml:space="preserve">oil wells and related infrastructure in southern Alberta, Canada </w:t>
      </w:r>
      <w:r w:rsidR="00866605">
        <w:rPr>
          <w:rFonts w:ascii="Times New Roman" w:eastAsia="Cambria" w:hAnsi="Times New Roman" w:cs="Times New Roman"/>
          <w:sz w:val="24"/>
          <w:szCs w:val="24"/>
        </w:rPr>
        <w:t>in</w:t>
      </w:r>
      <w:r w:rsidR="00866605" w:rsidRPr="0037350E">
        <w:rPr>
          <w:rFonts w:ascii="Times New Roman" w:eastAsia="Cambria" w:hAnsi="Times New Roman" w:cs="Times New Roman"/>
          <w:sz w:val="24"/>
          <w:szCs w:val="24"/>
        </w:rPr>
        <w:t xml:space="preserve"> </w:t>
      </w:r>
      <w:r w:rsidRPr="0037350E">
        <w:rPr>
          <w:rFonts w:ascii="Times New Roman" w:eastAsia="Cambria" w:hAnsi="Times New Roman" w:cs="Times New Roman"/>
          <w:sz w:val="24"/>
          <w:szCs w:val="24"/>
        </w:rPr>
        <w:t>2013 and 2014. Beta value indicates how the second variable listed in the “Test” column relates to the first variable. SP = Screw</w:t>
      </w:r>
      <w:r w:rsidR="00866605">
        <w:rPr>
          <w:rFonts w:ascii="Times New Roman" w:eastAsia="Cambria" w:hAnsi="Times New Roman" w:cs="Times New Roman"/>
          <w:sz w:val="24"/>
          <w:szCs w:val="24"/>
        </w:rPr>
        <w:t xml:space="preserve"> </w:t>
      </w:r>
      <w:r w:rsidRPr="0037350E">
        <w:rPr>
          <w:rFonts w:ascii="Times New Roman" w:eastAsia="Cambria" w:hAnsi="Times New Roman" w:cs="Times New Roman"/>
          <w:sz w:val="24"/>
          <w:szCs w:val="24"/>
        </w:rPr>
        <w:t>pump</w:t>
      </w:r>
      <w:r w:rsidR="004C29AF">
        <w:rPr>
          <w:rFonts w:ascii="Times New Roman" w:eastAsia="Cambria" w:hAnsi="Times New Roman" w:cs="Times New Roman"/>
          <w:sz w:val="24"/>
          <w:szCs w:val="24"/>
        </w:rPr>
        <w:t>,</w:t>
      </w:r>
      <w:r w:rsidRPr="0037350E">
        <w:rPr>
          <w:rFonts w:ascii="Times New Roman" w:eastAsia="Cambria" w:hAnsi="Times New Roman" w:cs="Times New Roman"/>
          <w:sz w:val="24"/>
          <w:szCs w:val="24"/>
        </w:rPr>
        <w:t xml:space="preserve"> PJ = Pumpjack</w:t>
      </w:r>
      <w:r w:rsidR="004C29AF">
        <w:rPr>
          <w:rFonts w:ascii="Times New Roman" w:eastAsia="Cambria" w:hAnsi="Times New Roman" w:cs="Times New Roman"/>
          <w:sz w:val="24"/>
          <w:szCs w:val="24"/>
        </w:rPr>
        <w:t>,</w:t>
      </w:r>
      <w:r w:rsidRPr="0037350E">
        <w:rPr>
          <w:rFonts w:ascii="Times New Roman" w:eastAsia="Cambria" w:hAnsi="Times New Roman" w:cs="Times New Roman"/>
          <w:sz w:val="24"/>
          <w:szCs w:val="24"/>
        </w:rPr>
        <w:t xml:space="preserve"> D = distance to center point. *Denotes significance (</w:t>
      </w:r>
      <w:r w:rsidRPr="0037350E">
        <w:rPr>
          <w:rFonts w:ascii="Times New Roman" w:eastAsia="Cambria" w:hAnsi="Times New Roman" w:cs="Times New Roman"/>
          <w:i/>
          <w:sz w:val="24"/>
          <w:szCs w:val="24"/>
        </w:rPr>
        <w:t>p</w:t>
      </w:r>
      <w:r w:rsidRPr="0037350E">
        <w:rPr>
          <w:rFonts w:ascii="Times New Roman" w:eastAsia="Cambria" w:hAnsi="Times New Roman" w:cs="Times New Roman"/>
          <w:sz w:val="24"/>
          <w:szCs w:val="24"/>
        </w:rPr>
        <w:t xml:space="preserve"> &lt; 0.1).</w:t>
      </w:r>
      <w:r w:rsidR="00355E76">
        <w:rPr>
          <w:rFonts w:ascii="Times New Roman" w:eastAsia="Cambria" w:hAnsi="Times New Roman" w:cs="Times New Roman"/>
          <w:sz w:val="24"/>
          <w:szCs w:val="24"/>
        </w:rPr>
        <w:br w:type="page"/>
      </w:r>
    </w:p>
    <w:p w14:paraId="10DF898A" w14:textId="28D1AF23" w:rsidR="009C5B21" w:rsidRPr="00297F42" w:rsidRDefault="009C5B21" w:rsidP="009C5B21">
      <w:pPr>
        <w:spacing w:after="0" w:line="240" w:lineRule="auto"/>
        <w:rPr>
          <w:rFonts w:ascii="Times New Roman" w:eastAsia="Cambria" w:hAnsi="Times New Roman" w:cs="Times New Roman"/>
          <w:b/>
          <w:sz w:val="24"/>
          <w:szCs w:val="24"/>
        </w:rPr>
      </w:pPr>
      <w:r>
        <w:rPr>
          <w:rFonts w:ascii="Times New Roman" w:eastAsia="Cambria" w:hAnsi="Times New Roman" w:cs="Times New Roman"/>
          <w:b/>
          <w:sz w:val="24"/>
          <w:szCs w:val="24"/>
        </w:rPr>
        <w:lastRenderedPageBreak/>
        <w:t>8</w:t>
      </w:r>
      <w:r w:rsidR="00225956">
        <w:rPr>
          <w:rFonts w:ascii="Times New Roman" w:eastAsia="Cambria" w:hAnsi="Times New Roman" w:cs="Times New Roman"/>
          <w:b/>
          <w:sz w:val="24"/>
          <w:szCs w:val="24"/>
        </w:rPr>
        <w:t>.</w:t>
      </w:r>
      <w:r>
        <w:rPr>
          <w:rFonts w:ascii="Times New Roman" w:eastAsia="Cambria" w:hAnsi="Times New Roman" w:cs="Times New Roman"/>
          <w:b/>
          <w:sz w:val="24"/>
          <w:szCs w:val="24"/>
        </w:rPr>
        <w:t xml:space="preserve"> List of figures</w:t>
      </w:r>
    </w:p>
    <w:p w14:paraId="6AAC29D4" w14:textId="309C7525"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 xml:space="preserve">Figure </w:t>
      </w:r>
      <w:r>
        <w:rPr>
          <w:rFonts w:ascii="Times New Roman" w:eastAsia="Cambria" w:hAnsi="Times New Roman" w:cs="Times New Roman"/>
          <w:sz w:val="24"/>
          <w:szCs w:val="24"/>
        </w:rPr>
        <w:t>1</w:t>
      </w:r>
      <w:r w:rsidRPr="0037350E">
        <w:rPr>
          <w:rFonts w:ascii="Times New Roman" w:eastAsia="Cambria" w:hAnsi="Times New Roman" w:cs="Times New Roman"/>
          <w:sz w:val="24"/>
          <w:szCs w:val="24"/>
        </w:rPr>
        <w:t>. Effects of the presence of oil wells on Sprague’s pipit and Baird’s sparrow abundance at</w:t>
      </w:r>
      <w:r>
        <w:rPr>
          <w:rFonts w:ascii="Times New Roman" w:eastAsia="Cambria" w:hAnsi="Times New Roman" w:cs="Times New Roman"/>
          <w:sz w:val="24"/>
          <w:szCs w:val="24"/>
        </w:rPr>
        <w:t xml:space="preserve"> the</w:t>
      </w:r>
      <w:r w:rsidRPr="0037350E">
        <w:rPr>
          <w:rFonts w:ascii="Times New Roman" w:eastAsia="Cambria" w:hAnsi="Times New Roman" w:cs="Times New Roman"/>
          <w:sz w:val="24"/>
          <w:szCs w:val="24"/>
        </w:rPr>
        <w:t xml:space="preserve"> i) site scale and ii) - iii) hectare scale in southern Alberta</w:t>
      </w:r>
      <w:r>
        <w:rPr>
          <w:rFonts w:ascii="Times New Roman" w:eastAsia="Cambria" w:hAnsi="Times New Roman" w:cs="Times New Roman"/>
          <w:sz w:val="24"/>
          <w:szCs w:val="24"/>
        </w:rPr>
        <w:t>, Canada,</w:t>
      </w:r>
      <w:r w:rsidRPr="0037350E">
        <w:rPr>
          <w:rFonts w:ascii="Times New Roman" w:eastAsia="Cambria" w:hAnsi="Times New Roman" w:cs="Times New Roman"/>
          <w:sz w:val="24"/>
          <w:szCs w:val="24"/>
        </w:rPr>
        <w:t xml:space="preserve"> from 2013-2014. Within a species, statistical significance is denoted by different letters (column A is significantly different than column B). There were no significant effects of oil wells or distance to oil wells on abundances of chestnut-collared longspurs, western meadowlarks, or Savannah sparrows. Error bars and dashed lines denote 90% confidence intervals</w:t>
      </w:r>
      <w:r>
        <w:rPr>
          <w:rFonts w:ascii="Times New Roman" w:eastAsia="Cambria" w:hAnsi="Times New Roman" w:cs="Times New Roman"/>
          <w:sz w:val="24"/>
          <w:szCs w:val="24"/>
        </w:rPr>
        <w:t>.</w:t>
      </w:r>
    </w:p>
    <w:p w14:paraId="69CD9AC8" w14:textId="77777777" w:rsidR="009C5B21" w:rsidRDefault="009C5B21" w:rsidP="009C5B21">
      <w:pPr>
        <w:spacing w:after="0" w:line="240" w:lineRule="auto"/>
        <w:rPr>
          <w:rFonts w:ascii="Times New Roman" w:eastAsia="Cambria" w:hAnsi="Times New Roman" w:cs="Times New Roman"/>
          <w:b/>
          <w:sz w:val="24"/>
          <w:szCs w:val="24"/>
        </w:rPr>
      </w:pPr>
    </w:p>
    <w:p w14:paraId="0FB7D2A9" w14:textId="693B34BC"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 xml:space="preserve">Figure </w:t>
      </w:r>
      <w:r>
        <w:rPr>
          <w:rFonts w:ascii="Times New Roman" w:eastAsia="Cambria" w:hAnsi="Times New Roman" w:cs="Times New Roman"/>
          <w:sz w:val="24"/>
          <w:szCs w:val="24"/>
        </w:rPr>
        <w:t>2</w:t>
      </w:r>
      <w:r w:rsidRPr="0037350E">
        <w:rPr>
          <w:rFonts w:ascii="Times New Roman" w:eastAsia="Cambria" w:hAnsi="Times New Roman" w:cs="Times New Roman"/>
          <w:sz w:val="24"/>
          <w:szCs w:val="24"/>
        </w:rPr>
        <w:t>. Effects of different types of oil infrastructure on Sprague’s pipit, Baird’s sparrow, western meadowlark, and Savannah sparrow abundance in southern Alberta</w:t>
      </w:r>
      <w:r>
        <w:rPr>
          <w:rFonts w:ascii="Times New Roman" w:eastAsia="Cambria" w:hAnsi="Times New Roman" w:cs="Times New Roman"/>
          <w:sz w:val="24"/>
          <w:szCs w:val="24"/>
        </w:rPr>
        <w:t>, Canada,</w:t>
      </w:r>
      <w:r w:rsidRPr="0037350E">
        <w:rPr>
          <w:rFonts w:ascii="Times New Roman" w:eastAsia="Cambria" w:hAnsi="Times New Roman" w:cs="Times New Roman"/>
          <w:sz w:val="24"/>
          <w:szCs w:val="24"/>
        </w:rPr>
        <w:t xml:space="preserve"> from 2013-2014. i) Effects of different oil pump types (pumpjacks or screw</w:t>
      </w:r>
      <w:r>
        <w:rPr>
          <w:rFonts w:ascii="Times New Roman" w:eastAsia="Cambria" w:hAnsi="Times New Roman" w:cs="Times New Roman"/>
          <w:sz w:val="24"/>
          <w:szCs w:val="24"/>
        </w:rPr>
        <w:t xml:space="preserve"> </w:t>
      </w:r>
      <w:r w:rsidRPr="0037350E">
        <w:rPr>
          <w:rFonts w:ascii="Times New Roman" w:eastAsia="Cambria" w:hAnsi="Times New Roman" w:cs="Times New Roman"/>
          <w:sz w:val="24"/>
          <w:szCs w:val="24"/>
        </w:rPr>
        <w:t xml:space="preserve">pumps) at the site scale. ii) Effects of different power sources (generator or </w:t>
      </w:r>
      <w:r>
        <w:rPr>
          <w:rFonts w:ascii="Times New Roman" w:eastAsia="Cambria" w:hAnsi="Times New Roman" w:cs="Times New Roman"/>
          <w:sz w:val="24"/>
          <w:szCs w:val="24"/>
        </w:rPr>
        <w:t xml:space="preserve">power </w:t>
      </w:r>
      <w:r w:rsidRPr="0037350E">
        <w:rPr>
          <w:rFonts w:ascii="Times New Roman" w:eastAsia="Cambria" w:hAnsi="Times New Roman" w:cs="Times New Roman"/>
          <w:sz w:val="24"/>
          <w:szCs w:val="24"/>
        </w:rPr>
        <w:t>grid) at oil wells at the site scale. Statistical significance is denoted by different letters. Error bars denote 90% confidence intervals. There were no significant effects of pumpjacks or screw</w:t>
      </w:r>
      <w:r>
        <w:rPr>
          <w:rFonts w:ascii="Times New Roman" w:eastAsia="Cambria" w:hAnsi="Times New Roman" w:cs="Times New Roman"/>
          <w:sz w:val="24"/>
          <w:szCs w:val="24"/>
        </w:rPr>
        <w:t xml:space="preserve"> </w:t>
      </w:r>
      <w:r w:rsidRPr="0037350E">
        <w:rPr>
          <w:rFonts w:ascii="Times New Roman" w:eastAsia="Cambria" w:hAnsi="Times New Roman" w:cs="Times New Roman"/>
          <w:sz w:val="24"/>
          <w:szCs w:val="24"/>
        </w:rPr>
        <w:t xml:space="preserve">pumps on chestnut-collared longspurs or Savannah sparrows, and no significant effects of grid- or generator-powered pumps on chestnut-collared longspurs. </w:t>
      </w:r>
    </w:p>
    <w:p w14:paraId="1A19555E" w14:textId="77777777" w:rsidR="009C5B21" w:rsidRPr="0037350E" w:rsidRDefault="009C5B21" w:rsidP="009C5B21">
      <w:pPr>
        <w:spacing w:after="0" w:line="240" w:lineRule="auto"/>
        <w:rPr>
          <w:rFonts w:ascii="Times New Roman" w:eastAsia="Cambria" w:hAnsi="Times New Roman" w:cs="Times New Roman"/>
          <w:sz w:val="24"/>
          <w:szCs w:val="24"/>
        </w:rPr>
      </w:pPr>
    </w:p>
    <w:p w14:paraId="58ECC4EC" w14:textId="2E3E7368"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 xml:space="preserve">Figure </w:t>
      </w:r>
      <w:r>
        <w:rPr>
          <w:rFonts w:ascii="Times New Roman" w:eastAsia="Cambria" w:hAnsi="Times New Roman" w:cs="Times New Roman"/>
          <w:sz w:val="24"/>
          <w:szCs w:val="24"/>
        </w:rPr>
        <w:t>3</w:t>
      </w:r>
      <w:r w:rsidRPr="0037350E">
        <w:rPr>
          <w:rFonts w:ascii="Times New Roman" w:eastAsia="Cambria" w:hAnsi="Times New Roman" w:cs="Times New Roman"/>
          <w:sz w:val="24"/>
          <w:szCs w:val="24"/>
        </w:rPr>
        <w:t xml:space="preserve">. Effects of different types of oil infrastructure on Sprague’s pipit, Baird’s sparrow, western meadowlark, and chestnut-collared longspur distribution in southern Alberta from 2013-2014. i)-iv) Effects of distance to different oil pump types (pumpjack or </w:t>
      </w:r>
      <w:r>
        <w:rPr>
          <w:rFonts w:ascii="Times New Roman" w:eastAsia="Cambria" w:hAnsi="Times New Roman" w:cs="Times New Roman"/>
          <w:sz w:val="24"/>
          <w:szCs w:val="24"/>
        </w:rPr>
        <w:t>screw pump</w:t>
      </w:r>
      <w:r w:rsidRPr="0037350E">
        <w:rPr>
          <w:rFonts w:ascii="Times New Roman" w:eastAsia="Cambria" w:hAnsi="Times New Roman" w:cs="Times New Roman"/>
          <w:sz w:val="24"/>
          <w:szCs w:val="24"/>
        </w:rPr>
        <w:t xml:space="preserve">). v)-vi) Effects of distance to different power sources (propane generator or electric grid) at oil wells. Statistical significance is denoted by different letters. Dashed lines represent 90% confidence intervals. There were no significant effects of distance to pumpjacks or </w:t>
      </w:r>
      <w:r>
        <w:rPr>
          <w:rFonts w:ascii="Times New Roman" w:eastAsia="Cambria" w:hAnsi="Times New Roman" w:cs="Times New Roman"/>
          <w:sz w:val="24"/>
          <w:szCs w:val="24"/>
        </w:rPr>
        <w:t>screw pump</w:t>
      </w:r>
      <w:r w:rsidRPr="0037350E">
        <w:rPr>
          <w:rFonts w:ascii="Times New Roman" w:eastAsia="Cambria" w:hAnsi="Times New Roman" w:cs="Times New Roman"/>
          <w:sz w:val="24"/>
          <w:szCs w:val="24"/>
        </w:rPr>
        <w:t>s on Savannah sparrows, and no significant effects of distance to grid- or generator-powered pumps on Sprague’s pipits, chestnut-collared longspurs, or western meadowlarks.</w:t>
      </w:r>
    </w:p>
    <w:p w14:paraId="0E4B8068" w14:textId="77777777" w:rsidR="009C5B21" w:rsidRPr="0037350E" w:rsidRDefault="009C5B21" w:rsidP="009C5B21">
      <w:pPr>
        <w:spacing w:after="0" w:line="240" w:lineRule="auto"/>
        <w:rPr>
          <w:rFonts w:ascii="Times New Roman" w:eastAsia="Cambria" w:hAnsi="Times New Roman" w:cs="Times New Roman"/>
          <w:sz w:val="24"/>
          <w:szCs w:val="24"/>
        </w:rPr>
      </w:pPr>
    </w:p>
    <w:p w14:paraId="0189D420" w14:textId="2CDE31C0"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 xml:space="preserve">Figure </w:t>
      </w:r>
      <w:r>
        <w:rPr>
          <w:rFonts w:ascii="Times New Roman" w:eastAsia="Cambria" w:hAnsi="Times New Roman" w:cs="Times New Roman"/>
          <w:sz w:val="24"/>
          <w:szCs w:val="24"/>
        </w:rPr>
        <w:t>4</w:t>
      </w:r>
      <w:r w:rsidRPr="0037350E">
        <w:rPr>
          <w:rFonts w:ascii="Times New Roman" w:eastAsia="Cambria" w:hAnsi="Times New Roman" w:cs="Times New Roman"/>
          <w:sz w:val="24"/>
          <w:szCs w:val="24"/>
        </w:rPr>
        <w:t>. Effect of oil pumps’ activity (on/off) on Sprague’s pipit and Baird’s sparrow abundance at the site scale (i) and (ii) hectare scale in southern Alberta</w:t>
      </w:r>
      <w:r>
        <w:rPr>
          <w:rFonts w:ascii="Times New Roman" w:eastAsia="Cambria" w:hAnsi="Times New Roman" w:cs="Times New Roman"/>
          <w:sz w:val="24"/>
          <w:szCs w:val="24"/>
        </w:rPr>
        <w:t>, Canada</w:t>
      </w:r>
      <w:r w:rsidRPr="0037350E">
        <w:rPr>
          <w:rFonts w:ascii="Times New Roman" w:eastAsia="Cambria" w:hAnsi="Times New Roman" w:cs="Times New Roman"/>
          <w:sz w:val="24"/>
          <w:szCs w:val="24"/>
        </w:rPr>
        <w:t xml:space="preserve"> from 2013-2014. iii) Effect of oil pumps’ activity (on/off) on Savannah sparrow distribution at the hectare scale. Statistical significance is denoted by different letters. Error bars and dashed lines represent 90% confidence intervals. There were no significant effects of activity on chestnut-collared longspurs or western meadowlarks.</w:t>
      </w:r>
    </w:p>
    <w:p w14:paraId="1F9B87E6" w14:textId="77777777" w:rsidR="009C5B21" w:rsidRPr="0037350E" w:rsidRDefault="009C5B21" w:rsidP="009C5B21">
      <w:pPr>
        <w:spacing w:after="0" w:line="240" w:lineRule="auto"/>
        <w:rPr>
          <w:rFonts w:ascii="Times New Roman" w:eastAsia="Cambria" w:hAnsi="Times New Roman" w:cs="Times New Roman"/>
          <w:sz w:val="24"/>
          <w:szCs w:val="24"/>
        </w:rPr>
      </w:pPr>
    </w:p>
    <w:p w14:paraId="2CB945D8" w14:textId="63276BD7"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 xml:space="preserve">Figure </w:t>
      </w:r>
      <w:r>
        <w:rPr>
          <w:rFonts w:ascii="Times New Roman" w:eastAsia="Cambria" w:hAnsi="Times New Roman" w:cs="Times New Roman"/>
          <w:sz w:val="24"/>
          <w:szCs w:val="24"/>
        </w:rPr>
        <w:t>5</w:t>
      </w:r>
      <w:r w:rsidRPr="0037350E">
        <w:rPr>
          <w:rFonts w:ascii="Times New Roman" w:eastAsia="Cambria" w:hAnsi="Times New Roman" w:cs="Times New Roman"/>
          <w:sz w:val="24"/>
          <w:szCs w:val="24"/>
        </w:rPr>
        <w:t>. i) Effect of total linear meters of perch on the abundance of Sprague’s pipit and Baird’s sparrow. ii) Effect of distance to perch on the distribution of Baird’s sparrows, western meadowlarks, and chestnut-collared longspurs. iii) Effect of distance to road on the distribution of Sprague’s pipit, Baird’s sparrows and chestnut-collared longspurs. iv) Effect of exotic vegetation cover on Baird’s sparrow abundance at the site scale. Dashed lines denote 90% confidence intervals. There were no significant effects of perch on Savannah sparrows, no significant effects of road on western meadowlarks or Savannah sparrows, and no significant effects of exotic vegetation on Sprague’s pipits, chestnut-collared longspurs, western meadowlarks, or Savannah sparrows. All results are from southern Alberta from 2013-2014.</w:t>
      </w:r>
    </w:p>
    <w:p w14:paraId="189054F6" w14:textId="77777777" w:rsidR="009C5B21" w:rsidRDefault="009C5B21">
      <w:pPr>
        <w:rPr>
          <w:rFonts w:ascii="Times New Roman" w:eastAsia="MS Gothic" w:hAnsi="Times New Roman" w:cs="Times New Roman"/>
          <w:bCs/>
          <w:sz w:val="24"/>
          <w:szCs w:val="26"/>
        </w:rPr>
      </w:pPr>
      <w:r>
        <w:rPr>
          <w:rFonts w:ascii="Times New Roman" w:eastAsia="MS Gothic" w:hAnsi="Times New Roman" w:cs="Times New Roman"/>
          <w:bCs/>
          <w:sz w:val="24"/>
          <w:szCs w:val="26"/>
        </w:rPr>
        <w:br w:type="page"/>
      </w:r>
    </w:p>
    <w:p w14:paraId="50A84E04" w14:textId="77777777" w:rsidR="009C5B21" w:rsidRDefault="009C5B21" w:rsidP="009C5B21">
      <w:pPr>
        <w:spacing w:after="0"/>
        <w:rPr>
          <w:rFonts w:ascii="Times New Roman" w:hAnsi="Times New Roman" w:cs="Times New Roman"/>
          <w:b/>
          <w:sz w:val="24"/>
          <w:szCs w:val="24"/>
        </w:rPr>
        <w:sectPr w:rsidR="009C5B21" w:rsidSect="00355E76">
          <w:pgSz w:w="12240" w:h="15840" w:code="1"/>
          <w:pgMar w:top="1440" w:right="1440" w:bottom="1440" w:left="1440" w:header="720" w:footer="720" w:gutter="0"/>
          <w:lnNumType w:countBy="1" w:restart="continuous"/>
          <w:cols w:space="720"/>
        </w:sectPr>
      </w:pPr>
    </w:p>
    <w:p w14:paraId="37D387CD" w14:textId="2B6DA548" w:rsidR="009C5B21" w:rsidRDefault="009C5B21" w:rsidP="009C5B21">
      <w:pPr>
        <w:spacing w:after="0"/>
        <w:rPr>
          <w:rFonts w:ascii="Times New Roman" w:hAnsi="Times New Roman" w:cs="Times New Roman"/>
          <w:b/>
          <w:sz w:val="24"/>
          <w:szCs w:val="24"/>
        </w:rPr>
      </w:pPr>
      <w:r w:rsidRPr="009C5B21">
        <w:rPr>
          <w:rFonts w:ascii="Times New Roman" w:hAnsi="Times New Roman" w:cs="Times New Roman"/>
          <w:b/>
          <w:sz w:val="24"/>
          <w:szCs w:val="24"/>
        </w:rPr>
        <w:lastRenderedPageBreak/>
        <w:t>9</w:t>
      </w:r>
      <w:r w:rsidR="00225956">
        <w:rPr>
          <w:rFonts w:ascii="Times New Roman" w:hAnsi="Times New Roman" w:cs="Times New Roman"/>
          <w:b/>
          <w:sz w:val="24"/>
          <w:szCs w:val="24"/>
        </w:rPr>
        <w:t>.</w:t>
      </w:r>
      <w:r w:rsidRPr="009C5B21">
        <w:rPr>
          <w:rFonts w:ascii="Times New Roman" w:hAnsi="Times New Roman" w:cs="Times New Roman"/>
          <w:b/>
          <w:sz w:val="24"/>
          <w:szCs w:val="24"/>
        </w:rPr>
        <w:t xml:space="preserve"> Tables</w:t>
      </w:r>
    </w:p>
    <w:p w14:paraId="75073970" w14:textId="490D8A34" w:rsidR="0037350E" w:rsidRPr="009C5B21" w:rsidRDefault="00355E76" w:rsidP="009C5B21">
      <w:pPr>
        <w:spacing w:after="0"/>
        <w:rPr>
          <w:rFonts w:ascii="Times New Roman" w:hAnsi="Times New Roman" w:cs="Times New Roman"/>
          <w:b/>
          <w:sz w:val="24"/>
          <w:szCs w:val="24"/>
        </w:rPr>
      </w:pPr>
      <w:r w:rsidRPr="009C5B21">
        <w:rPr>
          <w:rFonts w:ascii="Times New Roman" w:hAnsi="Times New Roman" w:cs="Times New Roman"/>
          <w:sz w:val="24"/>
          <w:szCs w:val="24"/>
        </w:rPr>
        <w:t>Table 1.</w:t>
      </w:r>
    </w:p>
    <w:tbl>
      <w:tblPr>
        <w:tblW w:w="13130" w:type="dxa"/>
        <w:tblInd w:w="118" w:type="dxa"/>
        <w:tblLayout w:type="fixed"/>
        <w:tblLook w:val="04A0" w:firstRow="1" w:lastRow="0" w:firstColumn="1" w:lastColumn="0" w:noHBand="0" w:noVBand="1"/>
      </w:tblPr>
      <w:tblGrid>
        <w:gridCol w:w="2330"/>
        <w:gridCol w:w="630"/>
        <w:gridCol w:w="810"/>
        <w:gridCol w:w="720"/>
        <w:gridCol w:w="630"/>
        <w:gridCol w:w="810"/>
        <w:gridCol w:w="720"/>
        <w:gridCol w:w="630"/>
        <w:gridCol w:w="810"/>
        <w:gridCol w:w="720"/>
        <w:gridCol w:w="630"/>
        <w:gridCol w:w="810"/>
        <w:gridCol w:w="720"/>
        <w:gridCol w:w="630"/>
        <w:gridCol w:w="810"/>
        <w:gridCol w:w="720"/>
      </w:tblGrid>
      <w:tr w:rsidR="0037350E" w:rsidRPr="0037350E" w14:paraId="38A7FB4D" w14:textId="77777777" w:rsidTr="000606C7">
        <w:trPr>
          <w:trHeight w:val="387"/>
        </w:trPr>
        <w:tc>
          <w:tcPr>
            <w:tcW w:w="2330" w:type="dxa"/>
            <w:shd w:val="clear" w:color="auto" w:fill="auto"/>
            <w:noWrap/>
            <w:vAlign w:val="bottom"/>
            <w:hideMark/>
          </w:tcPr>
          <w:p w14:paraId="25FA6128" w14:textId="77777777" w:rsidR="0037350E" w:rsidRPr="0037350E" w:rsidRDefault="0037350E" w:rsidP="009C5B21">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c>
          <w:tcPr>
            <w:tcW w:w="2160" w:type="dxa"/>
            <w:gridSpan w:val="3"/>
            <w:tcBorders>
              <w:top w:val="nil"/>
            </w:tcBorders>
            <w:shd w:val="clear" w:color="auto" w:fill="auto"/>
            <w:noWrap/>
            <w:vAlign w:val="bottom"/>
            <w:hideMark/>
          </w:tcPr>
          <w:p w14:paraId="116E08A3"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p w14:paraId="454E052B" w14:textId="6D2E3899" w:rsidR="0037350E" w:rsidRPr="0037350E" w:rsidRDefault="004C29AF" w:rsidP="009C5B21">
            <w:pPr>
              <w:spacing w:after="0" w:line="240" w:lineRule="auto"/>
              <w:jc w:val="center"/>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Sprague's p</w:t>
            </w:r>
            <w:r w:rsidR="0037350E" w:rsidRPr="0037350E">
              <w:rPr>
                <w:rFonts w:ascii="Times New Roman" w:eastAsia="Times New Roman" w:hAnsi="Times New Roman" w:cs="Times New Roman"/>
                <w:color w:val="000000"/>
                <w:sz w:val="14"/>
                <w:szCs w:val="14"/>
              </w:rPr>
              <w:t>ipit</w:t>
            </w:r>
          </w:p>
          <w:p w14:paraId="5D29260D"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p>
        </w:tc>
        <w:tc>
          <w:tcPr>
            <w:tcW w:w="2160" w:type="dxa"/>
            <w:gridSpan w:val="3"/>
            <w:tcBorders>
              <w:top w:val="nil"/>
            </w:tcBorders>
            <w:shd w:val="clear" w:color="auto" w:fill="auto"/>
            <w:noWrap/>
            <w:vAlign w:val="bottom"/>
            <w:hideMark/>
          </w:tcPr>
          <w:p w14:paraId="0EA59BFD"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p w14:paraId="025DF588" w14:textId="5C0B0A36" w:rsidR="0037350E" w:rsidRPr="0037350E" w:rsidRDefault="004C29AF" w:rsidP="009C5B21">
            <w:pPr>
              <w:spacing w:after="0" w:line="240" w:lineRule="auto"/>
              <w:jc w:val="center"/>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Baird's s</w:t>
            </w:r>
            <w:r w:rsidR="0037350E" w:rsidRPr="0037350E">
              <w:rPr>
                <w:rFonts w:ascii="Times New Roman" w:eastAsia="Times New Roman" w:hAnsi="Times New Roman" w:cs="Times New Roman"/>
                <w:color w:val="000000"/>
                <w:sz w:val="14"/>
                <w:szCs w:val="14"/>
              </w:rPr>
              <w:t>parrow</w:t>
            </w:r>
          </w:p>
          <w:p w14:paraId="69A113DB"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c>
          <w:tcPr>
            <w:tcW w:w="2160" w:type="dxa"/>
            <w:gridSpan w:val="3"/>
            <w:tcBorders>
              <w:top w:val="nil"/>
            </w:tcBorders>
            <w:shd w:val="clear" w:color="auto" w:fill="auto"/>
            <w:noWrap/>
            <w:vAlign w:val="bottom"/>
            <w:hideMark/>
          </w:tcPr>
          <w:p w14:paraId="6383B444"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p w14:paraId="4EA78146" w14:textId="1A42A9DE" w:rsidR="0037350E" w:rsidRPr="0037350E" w:rsidRDefault="004C29AF" w:rsidP="009C5B21">
            <w:pPr>
              <w:spacing w:after="0" w:line="240" w:lineRule="auto"/>
              <w:jc w:val="center"/>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Western m</w:t>
            </w:r>
            <w:r w:rsidR="0037350E" w:rsidRPr="0037350E">
              <w:rPr>
                <w:rFonts w:ascii="Times New Roman" w:eastAsia="Times New Roman" w:hAnsi="Times New Roman" w:cs="Times New Roman"/>
                <w:color w:val="000000"/>
                <w:sz w:val="14"/>
                <w:szCs w:val="14"/>
              </w:rPr>
              <w:t>eadowlark</w:t>
            </w:r>
          </w:p>
          <w:p w14:paraId="0B173BD7"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c>
          <w:tcPr>
            <w:tcW w:w="2160" w:type="dxa"/>
            <w:gridSpan w:val="3"/>
            <w:tcBorders>
              <w:top w:val="nil"/>
            </w:tcBorders>
            <w:shd w:val="clear" w:color="auto" w:fill="auto"/>
            <w:noWrap/>
            <w:vAlign w:val="bottom"/>
            <w:hideMark/>
          </w:tcPr>
          <w:p w14:paraId="155F5FAE"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p w14:paraId="06E64F03" w14:textId="176F606C"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xml:space="preserve">Savannah </w:t>
            </w:r>
            <w:r w:rsidR="004C29AF">
              <w:rPr>
                <w:rFonts w:ascii="Times New Roman" w:eastAsia="Times New Roman" w:hAnsi="Times New Roman" w:cs="Times New Roman"/>
                <w:color w:val="000000"/>
                <w:sz w:val="14"/>
                <w:szCs w:val="14"/>
              </w:rPr>
              <w:t>s</w:t>
            </w:r>
            <w:r w:rsidRPr="0037350E">
              <w:rPr>
                <w:rFonts w:ascii="Times New Roman" w:eastAsia="Times New Roman" w:hAnsi="Times New Roman" w:cs="Times New Roman"/>
                <w:color w:val="000000"/>
                <w:sz w:val="14"/>
                <w:szCs w:val="14"/>
              </w:rPr>
              <w:t>parrow</w:t>
            </w:r>
          </w:p>
          <w:p w14:paraId="4C71CD6D"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c>
          <w:tcPr>
            <w:tcW w:w="2160" w:type="dxa"/>
            <w:gridSpan w:val="3"/>
            <w:tcBorders>
              <w:top w:val="nil"/>
            </w:tcBorders>
            <w:shd w:val="clear" w:color="auto" w:fill="auto"/>
            <w:noWrap/>
            <w:vAlign w:val="bottom"/>
            <w:hideMark/>
          </w:tcPr>
          <w:p w14:paraId="44E2B64C"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p w14:paraId="48786A6F" w14:textId="0CDDE01E"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xml:space="preserve">Chestnut-collared </w:t>
            </w:r>
            <w:r w:rsidR="004C29AF">
              <w:rPr>
                <w:rFonts w:ascii="Times New Roman" w:eastAsia="Times New Roman" w:hAnsi="Times New Roman" w:cs="Times New Roman"/>
                <w:color w:val="000000"/>
                <w:sz w:val="14"/>
                <w:szCs w:val="14"/>
              </w:rPr>
              <w:t>l</w:t>
            </w:r>
            <w:r w:rsidRPr="0037350E">
              <w:rPr>
                <w:rFonts w:ascii="Times New Roman" w:eastAsia="Times New Roman" w:hAnsi="Times New Roman" w:cs="Times New Roman"/>
                <w:color w:val="000000"/>
                <w:sz w:val="14"/>
                <w:szCs w:val="14"/>
              </w:rPr>
              <w:t>ongspur</w:t>
            </w:r>
          </w:p>
          <w:p w14:paraId="4E980295" w14:textId="77777777" w:rsidR="0037350E" w:rsidRPr="0037350E" w:rsidRDefault="0037350E" w:rsidP="009C5B21">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r>
      <w:tr w:rsidR="0037350E" w:rsidRPr="0037350E" w14:paraId="6A3A973F" w14:textId="77777777" w:rsidTr="000606C7">
        <w:trPr>
          <w:trHeight w:val="160"/>
        </w:trPr>
        <w:tc>
          <w:tcPr>
            <w:tcW w:w="2330" w:type="dxa"/>
            <w:tcBorders>
              <w:top w:val="nil"/>
              <w:bottom w:val="nil"/>
            </w:tcBorders>
            <w:shd w:val="clear" w:color="auto" w:fill="auto"/>
            <w:noWrap/>
            <w:vAlign w:val="bottom"/>
            <w:hideMark/>
          </w:tcPr>
          <w:p w14:paraId="1F608567"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Test</w:t>
            </w:r>
          </w:p>
        </w:tc>
        <w:tc>
          <w:tcPr>
            <w:tcW w:w="630" w:type="dxa"/>
            <w:vMerge w:val="restart"/>
            <w:tcBorders>
              <w:top w:val="nil"/>
            </w:tcBorders>
            <w:shd w:val="clear" w:color="auto" w:fill="auto"/>
            <w:noWrap/>
            <w:vAlign w:val="bottom"/>
            <w:hideMark/>
          </w:tcPr>
          <w:p w14:paraId="54EA7E62"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Beta</w:t>
            </w:r>
          </w:p>
          <w:p w14:paraId="42FF57C2"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c>
          <w:tcPr>
            <w:tcW w:w="810" w:type="dxa"/>
            <w:vMerge w:val="restart"/>
            <w:tcBorders>
              <w:top w:val="nil"/>
            </w:tcBorders>
            <w:shd w:val="clear" w:color="auto" w:fill="auto"/>
            <w:noWrap/>
            <w:vAlign w:val="bottom"/>
            <w:hideMark/>
          </w:tcPr>
          <w:p w14:paraId="58D6855E"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Standard</w:t>
            </w:r>
          </w:p>
          <w:p w14:paraId="38C74376" w14:textId="24059A45" w:rsidR="0037350E" w:rsidRPr="0037350E" w:rsidRDefault="004C29AF" w:rsidP="0037350E">
            <w:pPr>
              <w:spacing w:after="0" w:line="240" w:lineRule="auto"/>
              <w:jc w:val="center"/>
              <w:rPr>
                <w:rFonts w:ascii="Times New Roman" w:eastAsia="Times New Roman" w:hAnsi="Times New Roman" w:cs="Times New Roman"/>
                <w:b/>
                <w:bCs/>
                <w:color w:val="000000"/>
                <w:sz w:val="14"/>
                <w:szCs w:val="14"/>
              </w:rPr>
            </w:pPr>
            <w:r>
              <w:rPr>
                <w:rFonts w:ascii="Times New Roman" w:eastAsia="Times New Roman" w:hAnsi="Times New Roman" w:cs="Times New Roman"/>
                <w:b/>
                <w:bCs/>
                <w:color w:val="000000"/>
                <w:sz w:val="14"/>
                <w:szCs w:val="14"/>
              </w:rPr>
              <w:t>e</w:t>
            </w:r>
            <w:r w:rsidR="0037350E" w:rsidRPr="0037350E">
              <w:rPr>
                <w:rFonts w:ascii="Times New Roman" w:eastAsia="Times New Roman" w:hAnsi="Times New Roman" w:cs="Times New Roman"/>
                <w:b/>
                <w:bCs/>
                <w:color w:val="000000"/>
                <w:sz w:val="14"/>
                <w:szCs w:val="14"/>
              </w:rPr>
              <w:t>rror</w:t>
            </w:r>
          </w:p>
        </w:tc>
        <w:tc>
          <w:tcPr>
            <w:tcW w:w="720" w:type="dxa"/>
            <w:vMerge w:val="restart"/>
            <w:tcBorders>
              <w:top w:val="nil"/>
            </w:tcBorders>
            <w:shd w:val="clear" w:color="auto" w:fill="auto"/>
            <w:noWrap/>
            <w:vAlign w:val="bottom"/>
            <w:hideMark/>
          </w:tcPr>
          <w:p w14:paraId="4F73D750"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P-value</w:t>
            </w:r>
          </w:p>
          <w:p w14:paraId="2A1802E9"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c>
          <w:tcPr>
            <w:tcW w:w="630" w:type="dxa"/>
            <w:vMerge w:val="restart"/>
            <w:tcBorders>
              <w:top w:val="nil"/>
            </w:tcBorders>
            <w:shd w:val="clear" w:color="auto" w:fill="auto"/>
            <w:noWrap/>
            <w:vAlign w:val="bottom"/>
            <w:hideMark/>
          </w:tcPr>
          <w:p w14:paraId="76347F3B"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Beta</w:t>
            </w:r>
          </w:p>
          <w:p w14:paraId="5701EB6D"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c>
          <w:tcPr>
            <w:tcW w:w="810" w:type="dxa"/>
            <w:vMerge w:val="restart"/>
            <w:tcBorders>
              <w:top w:val="nil"/>
            </w:tcBorders>
            <w:shd w:val="clear" w:color="auto" w:fill="auto"/>
            <w:noWrap/>
            <w:vAlign w:val="bottom"/>
            <w:hideMark/>
          </w:tcPr>
          <w:p w14:paraId="7FB18B23"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Standard</w:t>
            </w:r>
          </w:p>
          <w:p w14:paraId="5933B60C" w14:textId="4ACE17D7" w:rsidR="0037350E" w:rsidRPr="0037350E" w:rsidRDefault="004C29AF" w:rsidP="0037350E">
            <w:pPr>
              <w:spacing w:after="0" w:line="240" w:lineRule="auto"/>
              <w:jc w:val="center"/>
              <w:rPr>
                <w:rFonts w:ascii="Times New Roman" w:eastAsia="Times New Roman" w:hAnsi="Times New Roman" w:cs="Times New Roman"/>
                <w:b/>
                <w:bCs/>
                <w:color w:val="000000"/>
                <w:sz w:val="14"/>
                <w:szCs w:val="14"/>
              </w:rPr>
            </w:pPr>
            <w:r>
              <w:rPr>
                <w:rFonts w:ascii="Times New Roman" w:eastAsia="Times New Roman" w:hAnsi="Times New Roman" w:cs="Times New Roman"/>
                <w:b/>
                <w:bCs/>
                <w:color w:val="000000"/>
                <w:sz w:val="14"/>
                <w:szCs w:val="14"/>
              </w:rPr>
              <w:t>e</w:t>
            </w:r>
            <w:r w:rsidR="0037350E" w:rsidRPr="0037350E">
              <w:rPr>
                <w:rFonts w:ascii="Times New Roman" w:eastAsia="Times New Roman" w:hAnsi="Times New Roman" w:cs="Times New Roman"/>
                <w:b/>
                <w:bCs/>
                <w:color w:val="000000"/>
                <w:sz w:val="14"/>
                <w:szCs w:val="14"/>
              </w:rPr>
              <w:t>rror</w:t>
            </w:r>
          </w:p>
        </w:tc>
        <w:tc>
          <w:tcPr>
            <w:tcW w:w="720" w:type="dxa"/>
            <w:vMerge w:val="restart"/>
            <w:tcBorders>
              <w:top w:val="nil"/>
            </w:tcBorders>
            <w:shd w:val="clear" w:color="auto" w:fill="auto"/>
            <w:noWrap/>
            <w:vAlign w:val="bottom"/>
            <w:hideMark/>
          </w:tcPr>
          <w:p w14:paraId="2FDBDFC6"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P-value</w:t>
            </w:r>
          </w:p>
          <w:p w14:paraId="21247A9C"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c>
          <w:tcPr>
            <w:tcW w:w="630" w:type="dxa"/>
            <w:vMerge w:val="restart"/>
            <w:tcBorders>
              <w:top w:val="nil"/>
            </w:tcBorders>
            <w:shd w:val="clear" w:color="auto" w:fill="auto"/>
            <w:noWrap/>
            <w:vAlign w:val="bottom"/>
            <w:hideMark/>
          </w:tcPr>
          <w:p w14:paraId="0F8077AF"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Beta</w:t>
            </w:r>
          </w:p>
          <w:p w14:paraId="4E7C3337"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c>
          <w:tcPr>
            <w:tcW w:w="810" w:type="dxa"/>
            <w:vMerge w:val="restart"/>
            <w:tcBorders>
              <w:top w:val="nil"/>
            </w:tcBorders>
            <w:shd w:val="clear" w:color="auto" w:fill="auto"/>
            <w:noWrap/>
            <w:vAlign w:val="bottom"/>
            <w:hideMark/>
          </w:tcPr>
          <w:p w14:paraId="0DC59921"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Standard</w:t>
            </w:r>
          </w:p>
          <w:p w14:paraId="709039C9" w14:textId="305DCDCB" w:rsidR="0037350E" w:rsidRPr="0037350E" w:rsidRDefault="004C29AF" w:rsidP="0037350E">
            <w:pPr>
              <w:spacing w:after="0" w:line="240" w:lineRule="auto"/>
              <w:jc w:val="center"/>
              <w:rPr>
                <w:rFonts w:ascii="Times New Roman" w:eastAsia="Times New Roman" w:hAnsi="Times New Roman" w:cs="Times New Roman"/>
                <w:b/>
                <w:bCs/>
                <w:color w:val="000000"/>
                <w:sz w:val="14"/>
                <w:szCs w:val="14"/>
              </w:rPr>
            </w:pPr>
            <w:r>
              <w:rPr>
                <w:rFonts w:ascii="Times New Roman" w:eastAsia="Times New Roman" w:hAnsi="Times New Roman" w:cs="Times New Roman"/>
                <w:b/>
                <w:bCs/>
                <w:color w:val="000000"/>
                <w:sz w:val="14"/>
                <w:szCs w:val="14"/>
              </w:rPr>
              <w:t>e</w:t>
            </w:r>
            <w:r w:rsidR="0037350E" w:rsidRPr="0037350E">
              <w:rPr>
                <w:rFonts w:ascii="Times New Roman" w:eastAsia="Times New Roman" w:hAnsi="Times New Roman" w:cs="Times New Roman"/>
                <w:b/>
                <w:bCs/>
                <w:color w:val="000000"/>
                <w:sz w:val="14"/>
                <w:szCs w:val="14"/>
              </w:rPr>
              <w:t>rror</w:t>
            </w:r>
          </w:p>
        </w:tc>
        <w:tc>
          <w:tcPr>
            <w:tcW w:w="720" w:type="dxa"/>
            <w:vMerge w:val="restart"/>
            <w:tcBorders>
              <w:top w:val="nil"/>
            </w:tcBorders>
            <w:shd w:val="clear" w:color="auto" w:fill="auto"/>
            <w:noWrap/>
            <w:vAlign w:val="bottom"/>
            <w:hideMark/>
          </w:tcPr>
          <w:p w14:paraId="6805DA10"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P-value</w:t>
            </w:r>
          </w:p>
          <w:p w14:paraId="438B965E"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c>
          <w:tcPr>
            <w:tcW w:w="630" w:type="dxa"/>
            <w:vMerge w:val="restart"/>
            <w:tcBorders>
              <w:top w:val="nil"/>
            </w:tcBorders>
            <w:shd w:val="clear" w:color="auto" w:fill="auto"/>
            <w:noWrap/>
            <w:vAlign w:val="bottom"/>
            <w:hideMark/>
          </w:tcPr>
          <w:p w14:paraId="5D1465F8"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Beta</w:t>
            </w:r>
          </w:p>
          <w:p w14:paraId="7298C26B"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c>
          <w:tcPr>
            <w:tcW w:w="810" w:type="dxa"/>
            <w:vMerge w:val="restart"/>
            <w:tcBorders>
              <w:top w:val="nil"/>
            </w:tcBorders>
            <w:shd w:val="clear" w:color="auto" w:fill="auto"/>
            <w:noWrap/>
            <w:vAlign w:val="bottom"/>
            <w:hideMark/>
          </w:tcPr>
          <w:p w14:paraId="69676F37"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Standard</w:t>
            </w:r>
          </w:p>
          <w:p w14:paraId="402283FF" w14:textId="2FF6E997" w:rsidR="0037350E" w:rsidRPr="0037350E" w:rsidRDefault="004C29AF" w:rsidP="0037350E">
            <w:pPr>
              <w:spacing w:after="0" w:line="240" w:lineRule="auto"/>
              <w:jc w:val="center"/>
              <w:rPr>
                <w:rFonts w:ascii="Times New Roman" w:eastAsia="Times New Roman" w:hAnsi="Times New Roman" w:cs="Times New Roman"/>
                <w:b/>
                <w:bCs/>
                <w:color w:val="000000"/>
                <w:sz w:val="14"/>
                <w:szCs w:val="14"/>
              </w:rPr>
            </w:pPr>
            <w:r>
              <w:rPr>
                <w:rFonts w:ascii="Times New Roman" w:eastAsia="Times New Roman" w:hAnsi="Times New Roman" w:cs="Times New Roman"/>
                <w:b/>
                <w:bCs/>
                <w:color w:val="000000"/>
                <w:sz w:val="14"/>
                <w:szCs w:val="14"/>
              </w:rPr>
              <w:t>e</w:t>
            </w:r>
            <w:r w:rsidR="0037350E" w:rsidRPr="0037350E">
              <w:rPr>
                <w:rFonts w:ascii="Times New Roman" w:eastAsia="Times New Roman" w:hAnsi="Times New Roman" w:cs="Times New Roman"/>
                <w:b/>
                <w:bCs/>
                <w:color w:val="000000"/>
                <w:sz w:val="14"/>
                <w:szCs w:val="14"/>
              </w:rPr>
              <w:t>rror</w:t>
            </w:r>
          </w:p>
        </w:tc>
        <w:tc>
          <w:tcPr>
            <w:tcW w:w="720" w:type="dxa"/>
            <w:vMerge w:val="restart"/>
            <w:tcBorders>
              <w:top w:val="nil"/>
            </w:tcBorders>
            <w:shd w:val="clear" w:color="auto" w:fill="auto"/>
            <w:noWrap/>
            <w:vAlign w:val="bottom"/>
            <w:hideMark/>
          </w:tcPr>
          <w:p w14:paraId="072EA083"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P-value</w:t>
            </w:r>
          </w:p>
          <w:p w14:paraId="22D07106"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c>
          <w:tcPr>
            <w:tcW w:w="630" w:type="dxa"/>
            <w:vMerge w:val="restart"/>
            <w:tcBorders>
              <w:top w:val="nil"/>
            </w:tcBorders>
            <w:shd w:val="clear" w:color="auto" w:fill="auto"/>
            <w:noWrap/>
            <w:vAlign w:val="bottom"/>
            <w:hideMark/>
          </w:tcPr>
          <w:p w14:paraId="318CA5D5"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Beta</w:t>
            </w:r>
          </w:p>
          <w:p w14:paraId="7BC2AE1F"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c>
          <w:tcPr>
            <w:tcW w:w="810" w:type="dxa"/>
            <w:vMerge w:val="restart"/>
            <w:tcBorders>
              <w:top w:val="nil"/>
            </w:tcBorders>
            <w:shd w:val="clear" w:color="auto" w:fill="auto"/>
            <w:noWrap/>
            <w:vAlign w:val="bottom"/>
            <w:hideMark/>
          </w:tcPr>
          <w:p w14:paraId="769EE1FB"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Standard</w:t>
            </w:r>
          </w:p>
          <w:p w14:paraId="48504ACD" w14:textId="458E006E" w:rsidR="0037350E" w:rsidRPr="0037350E" w:rsidRDefault="004C29AF" w:rsidP="0037350E">
            <w:pPr>
              <w:spacing w:after="0" w:line="240" w:lineRule="auto"/>
              <w:jc w:val="center"/>
              <w:rPr>
                <w:rFonts w:ascii="Times New Roman" w:eastAsia="Times New Roman" w:hAnsi="Times New Roman" w:cs="Times New Roman"/>
                <w:b/>
                <w:bCs/>
                <w:color w:val="000000"/>
                <w:sz w:val="14"/>
                <w:szCs w:val="14"/>
              </w:rPr>
            </w:pPr>
            <w:r>
              <w:rPr>
                <w:rFonts w:ascii="Times New Roman" w:eastAsia="Times New Roman" w:hAnsi="Times New Roman" w:cs="Times New Roman"/>
                <w:b/>
                <w:bCs/>
                <w:color w:val="000000"/>
                <w:sz w:val="14"/>
                <w:szCs w:val="14"/>
              </w:rPr>
              <w:t>e</w:t>
            </w:r>
            <w:r w:rsidR="0037350E" w:rsidRPr="0037350E">
              <w:rPr>
                <w:rFonts w:ascii="Times New Roman" w:eastAsia="Times New Roman" w:hAnsi="Times New Roman" w:cs="Times New Roman"/>
                <w:b/>
                <w:bCs/>
                <w:color w:val="000000"/>
                <w:sz w:val="14"/>
                <w:szCs w:val="14"/>
              </w:rPr>
              <w:t>rror</w:t>
            </w:r>
          </w:p>
        </w:tc>
        <w:tc>
          <w:tcPr>
            <w:tcW w:w="720" w:type="dxa"/>
            <w:vMerge w:val="restart"/>
            <w:tcBorders>
              <w:top w:val="nil"/>
            </w:tcBorders>
            <w:shd w:val="clear" w:color="auto" w:fill="auto"/>
            <w:noWrap/>
            <w:vAlign w:val="bottom"/>
            <w:hideMark/>
          </w:tcPr>
          <w:p w14:paraId="4B52749C"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b/>
                <w:bCs/>
                <w:color w:val="000000"/>
                <w:sz w:val="14"/>
                <w:szCs w:val="14"/>
              </w:rPr>
              <w:t>P-value</w:t>
            </w:r>
          </w:p>
          <w:p w14:paraId="35507238"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r w:rsidRPr="0037350E">
              <w:rPr>
                <w:rFonts w:ascii="Times New Roman" w:eastAsia="Times New Roman" w:hAnsi="Times New Roman" w:cs="Times New Roman"/>
                <w:color w:val="000000"/>
                <w:sz w:val="14"/>
                <w:szCs w:val="14"/>
              </w:rPr>
              <w:t> </w:t>
            </w:r>
          </w:p>
        </w:tc>
      </w:tr>
      <w:tr w:rsidR="0037350E" w:rsidRPr="0037350E" w14:paraId="3DDBB469" w14:textId="77777777" w:rsidTr="000606C7">
        <w:trPr>
          <w:trHeight w:val="361"/>
        </w:trPr>
        <w:tc>
          <w:tcPr>
            <w:tcW w:w="2330" w:type="dxa"/>
            <w:tcBorders>
              <w:top w:val="nil"/>
            </w:tcBorders>
            <w:shd w:val="clear" w:color="auto" w:fill="auto"/>
            <w:noWrap/>
            <w:vAlign w:val="bottom"/>
            <w:hideMark/>
          </w:tcPr>
          <w:p w14:paraId="64C941F9" w14:textId="02B04C50" w:rsidR="0037350E" w:rsidRPr="0037350E" w:rsidRDefault="0037350E" w:rsidP="004C29AF">
            <w:pPr>
              <w:spacing w:after="0" w:line="240" w:lineRule="auto"/>
              <w:rPr>
                <w:rFonts w:ascii="Times New Roman" w:eastAsia="Times New Roman" w:hAnsi="Times New Roman" w:cs="Times New Roman"/>
                <w:i/>
                <w:iCs/>
                <w:color w:val="000000"/>
                <w:sz w:val="14"/>
                <w:szCs w:val="14"/>
              </w:rPr>
            </w:pPr>
          </w:p>
        </w:tc>
        <w:tc>
          <w:tcPr>
            <w:tcW w:w="630" w:type="dxa"/>
            <w:vMerge/>
            <w:shd w:val="clear" w:color="auto" w:fill="auto"/>
            <w:noWrap/>
            <w:vAlign w:val="bottom"/>
            <w:hideMark/>
          </w:tcPr>
          <w:p w14:paraId="17F4D17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810" w:type="dxa"/>
            <w:vMerge/>
            <w:shd w:val="clear" w:color="auto" w:fill="auto"/>
            <w:noWrap/>
            <w:vAlign w:val="bottom"/>
            <w:hideMark/>
          </w:tcPr>
          <w:p w14:paraId="26156EB2"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p>
        </w:tc>
        <w:tc>
          <w:tcPr>
            <w:tcW w:w="720" w:type="dxa"/>
            <w:vMerge/>
            <w:shd w:val="clear" w:color="auto" w:fill="auto"/>
            <w:noWrap/>
            <w:vAlign w:val="bottom"/>
            <w:hideMark/>
          </w:tcPr>
          <w:p w14:paraId="1F4464A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630" w:type="dxa"/>
            <w:vMerge/>
            <w:shd w:val="clear" w:color="auto" w:fill="auto"/>
            <w:noWrap/>
            <w:vAlign w:val="bottom"/>
            <w:hideMark/>
          </w:tcPr>
          <w:p w14:paraId="1DD71BA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810" w:type="dxa"/>
            <w:vMerge/>
            <w:shd w:val="clear" w:color="auto" w:fill="auto"/>
            <w:noWrap/>
            <w:vAlign w:val="bottom"/>
            <w:hideMark/>
          </w:tcPr>
          <w:p w14:paraId="604D01ED"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p>
        </w:tc>
        <w:tc>
          <w:tcPr>
            <w:tcW w:w="720" w:type="dxa"/>
            <w:vMerge/>
            <w:shd w:val="clear" w:color="auto" w:fill="auto"/>
            <w:noWrap/>
            <w:vAlign w:val="bottom"/>
            <w:hideMark/>
          </w:tcPr>
          <w:p w14:paraId="054FD1A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630" w:type="dxa"/>
            <w:vMerge/>
            <w:shd w:val="clear" w:color="auto" w:fill="auto"/>
            <w:noWrap/>
            <w:vAlign w:val="bottom"/>
            <w:hideMark/>
          </w:tcPr>
          <w:p w14:paraId="622A53A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810" w:type="dxa"/>
            <w:vMerge/>
            <w:shd w:val="clear" w:color="auto" w:fill="auto"/>
            <w:noWrap/>
            <w:vAlign w:val="bottom"/>
            <w:hideMark/>
          </w:tcPr>
          <w:p w14:paraId="0CD8D830"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p>
        </w:tc>
        <w:tc>
          <w:tcPr>
            <w:tcW w:w="720" w:type="dxa"/>
            <w:vMerge/>
            <w:shd w:val="clear" w:color="auto" w:fill="auto"/>
            <w:noWrap/>
            <w:vAlign w:val="bottom"/>
            <w:hideMark/>
          </w:tcPr>
          <w:p w14:paraId="75EA4FB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630" w:type="dxa"/>
            <w:vMerge/>
            <w:shd w:val="clear" w:color="auto" w:fill="auto"/>
            <w:noWrap/>
            <w:vAlign w:val="bottom"/>
            <w:hideMark/>
          </w:tcPr>
          <w:p w14:paraId="3901657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810" w:type="dxa"/>
            <w:vMerge/>
            <w:shd w:val="clear" w:color="auto" w:fill="auto"/>
            <w:noWrap/>
            <w:vAlign w:val="bottom"/>
            <w:hideMark/>
          </w:tcPr>
          <w:p w14:paraId="059D75FF"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p>
        </w:tc>
        <w:tc>
          <w:tcPr>
            <w:tcW w:w="720" w:type="dxa"/>
            <w:vMerge/>
            <w:shd w:val="clear" w:color="auto" w:fill="auto"/>
            <w:noWrap/>
            <w:vAlign w:val="bottom"/>
            <w:hideMark/>
          </w:tcPr>
          <w:p w14:paraId="04C4783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630" w:type="dxa"/>
            <w:vMerge/>
            <w:shd w:val="clear" w:color="auto" w:fill="auto"/>
            <w:noWrap/>
            <w:vAlign w:val="bottom"/>
            <w:hideMark/>
          </w:tcPr>
          <w:p w14:paraId="0045129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810" w:type="dxa"/>
            <w:vMerge/>
            <w:shd w:val="clear" w:color="auto" w:fill="auto"/>
            <w:noWrap/>
            <w:vAlign w:val="bottom"/>
            <w:hideMark/>
          </w:tcPr>
          <w:p w14:paraId="74E67282" w14:textId="77777777" w:rsidR="0037350E" w:rsidRPr="0037350E" w:rsidRDefault="0037350E" w:rsidP="0037350E">
            <w:pPr>
              <w:spacing w:after="0" w:line="240" w:lineRule="auto"/>
              <w:jc w:val="center"/>
              <w:rPr>
                <w:rFonts w:ascii="Times New Roman" w:eastAsia="Times New Roman" w:hAnsi="Times New Roman" w:cs="Times New Roman"/>
                <w:b/>
                <w:bCs/>
                <w:color w:val="000000"/>
                <w:sz w:val="14"/>
                <w:szCs w:val="14"/>
              </w:rPr>
            </w:pPr>
          </w:p>
        </w:tc>
        <w:tc>
          <w:tcPr>
            <w:tcW w:w="720" w:type="dxa"/>
            <w:vMerge/>
            <w:shd w:val="clear" w:color="auto" w:fill="auto"/>
            <w:noWrap/>
            <w:vAlign w:val="bottom"/>
            <w:hideMark/>
          </w:tcPr>
          <w:p w14:paraId="47C3CEA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r>
      <w:tr w:rsidR="0037350E" w:rsidRPr="0037350E" w14:paraId="3F1A9BF4" w14:textId="77777777" w:rsidTr="000606C7">
        <w:trPr>
          <w:trHeight w:val="345"/>
        </w:trPr>
        <w:tc>
          <w:tcPr>
            <w:tcW w:w="2330" w:type="dxa"/>
            <w:tcBorders>
              <w:left w:val="nil"/>
              <w:bottom w:val="nil"/>
            </w:tcBorders>
            <w:shd w:val="clear" w:color="auto" w:fill="auto"/>
            <w:noWrap/>
            <w:vAlign w:val="bottom"/>
            <w:hideMark/>
          </w:tcPr>
          <w:p w14:paraId="44347BD7" w14:textId="77273A39" w:rsidR="004C29AF" w:rsidRDefault="004C29AF" w:rsidP="0037350E">
            <w:pPr>
              <w:spacing w:after="0" w:line="240" w:lineRule="auto"/>
              <w:rPr>
                <w:rFonts w:ascii="Times New Roman" w:eastAsia="Times New Roman" w:hAnsi="Times New Roman" w:cs="Times New Roman"/>
                <w:i/>
                <w:color w:val="000000"/>
                <w:sz w:val="14"/>
                <w:szCs w:val="14"/>
              </w:rPr>
            </w:pPr>
            <w:r>
              <w:rPr>
                <w:rFonts w:ascii="Times New Roman" w:eastAsia="Times New Roman" w:hAnsi="Times New Roman" w:cs="Times New Roman"/>
                <w:color w:val="000000"/>
                <w:sz w:val="14"/>
                <w:szCs w:val="14"/>
              </w:rPr>
              <w:t xml:space="preserve">                      </w:t>
            </w:r>
            <w:r>
              <w:rPr>
                <w:rFonts w:ascii="Times New Roman" w:eastAsia="Times New Roman" w:hAnsi="Times New Roman" w:cs="Times New Roman"/>
                <w:i/>
                <w:color w:val="000000"/>
                <w:sz w:val="14"/>
                <w:szCs w:val="14"/>
              </w:rPr>
              <w:t>Site scale</w:t>
            </w:r>
          </w:p>
          <w:p w14:paraId="2D6B7D49" w14:textId="77777777" w:rsidR="004C29AF" w:rsidRPr="004C29AF" w:rsidRDefault="004C29AF" w:rsidP="0037350E">
            <w:pPr>
              <w:spacing w:after="0" w:line="240" w:lineRule="auto"/>
              <w:rPr>
                <w:rFonts w:ascii="Times New Roman" w:eastAsia="Times New Roman" w:hAnsi="Times New Roman" w:cs="Times New Roman"/>
                <w:i/>
                <w:color w:val="000000"/>
                <w:sz w:val="14"/>
                <w:szCs w:val="14"/>
              </w:rPr>
            </w:pPr>
          </w:p>
          <w:p w14:paraId="30A4EE85" w14:textId="51DFEDF8"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w:t>
            </w:r>
            <w:r w:rsidR="004C29AF">
              <w:rPr>
                <w:rFonts w:ascii="Times New Roman" w:eastAsia="Times New Roman" w:hAnsi="Times New Roman" w:cs="Times New Roman"/>
                <w:color w:val="000000"/>
                <w:sz w:val="14"/>
                <w:szCs w:val="14"/>
              </w:rPr>
              <w:t xml:space="preserve"> vs. Oil w</w:t>
            </w:r>
            <w:r w:rsidRPr="0037350E">
              <w:rPr>
                <w:rFonts w:ascii="Times New Roman" w:eastAsia="Times New Roman" w:hAnsi="Times New Roman" w:cs="Times New Roman"/>
                <w:color w:val="000000"/>
                <w:sz w:val="14"/>
                <w:szCs w:val="14"/>
              </w:rPr>
              <w:t>ells</w:t>
            </w:r>
          </w:p>
        </w:tc>
        <w:tc>
          <w:tcPr>
            <w:tcW w:w="630" w:type="dxa"/>
            <w:tcBorders>
              <w:bottom w:val="nil"/>
            </w:tcBorders>
            <w:shd w:val="clear" w:color="auto" w:fill="auto"/>
            <w:noWrap/>
            <w:vAlign w:val="bottom"/>
            <w:hideMark/>
          </w:tcPr>
          <w:p w14:paraId="425F3E0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-0.869</w:t>
            </w:r>
          </w:p>
        </w:tc>
        <w:tc>
          <w:tcPr>
            <w:tcW w:w="810" w:type="dxa"/>
            <w:tcBorders>
              <w:bottom w:val="nil"/>
            </w:tcBorders>
            <w:shd w:val="clear" w:color="auto" w:fill="auto"/>
            <w:noWrap/>
            <w:vAlign w:val="bottom"/>
            <w:hideMark/>
          </w:tcPr>
          <w:p w14:paraId="5ADA967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0.196</w:t>
            </w:r>
          </w:p>
        </w:tc>
        <w:tc>
          <w:tcPr>
            <w:tcW w:w="720" w:type="dxa"/>
            <w:tcBorders>
              <w:bottom w:val="nil"/>
            </w:tcBorders>
            <w:shd w:val="clear" w:color="auto" w:fill="auto"/>
            <w:noWrap/>
            <w:vAlign w:val="bottom"/>
            <w:hideMark/>
          </w:tcPr>
          <w:p w14:paraId="0ECB0E8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bottom w:val="nil"/>
            </w:tcBorders>
            <w:shd w:val="clear" w:color="auto" w:fill="auto"/>
            <w:noWrap/>
            <w:vAlign w:val="bottom"/>
            <w:hideMark/>
          </w:tcPr>
          <w:p w14:paraId="1EF811F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-1.041</w:t>
            </w:r>
          </w:p>
        </w:tc>
        <w:tc>
          <w:tcPr>
            <w:tcW w:w="810" w:type="dxa"/>
            <w:tcBorders>
              <w:bottom w:val="nil"/>
            </w:tcBorders>
            <w:shd w:val="clear" w:color="auto" w:fill="auto"/>
            <w:noWrap/>
            <w:vAlign w:val="bottom"/>
            <w:hideMark/>
          </w:tcPr>
          <w:p w14:paraId="2DD6769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0.227</w:t>
            </w:r>
          </w:p>
        </w:tc>
        <w:tc>
          <w:tcPr>
            <w:tcW w:w="720" w:type="dxa"/>
            <w:tcBorders>
              <w:bottom w:val="nil"/>
            </w:tcBorders>
            <w:shd w:val="clear" w:color="auto" w:fill="auto"/>
            <w:noWrap/>
            <w:vAlign w:val="bottom"/>
            <w:hideMark/>
          </w:tcPr>
          <w:p w14:paraId="17915A3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bottom w:val="nil"/>
            </w:tcBorders>
            <w:shd w:val="clear" w:color="auto" w:fill="auto"/>
            <w:noWrap/>
            <w:vAlign w:val="bottom"/>
            <w:hideMark/>
          </w:tcPr>
          <w:p w14:paraId="3E3F19D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0.187</w:t>
            </w:r>
          </w:p>
        </w:tc>
        <w:tc>
          <w:tcPr>
            <w:tcW w:w="810" w:type="dxa"/>
            <w:tcBorders>
              <w:bottom w:val="nil"/>
            </w:tcBorders>
            <w:shd w:val="clear" w:color="auto" w:fill="auto"/>
            <w:noWrap/>
            <w:vAlign w:val="bottom"/>
            <w:hideMark/>
          </w:tcPr>
          <w:p w14:paraId="15CF44D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0.189</w:t>
            </w:r>
          </w:p>
        </w:tc>
        <w:tc>
          <w:tcPr>
            <w:tcW w:w="720" w:type="dxa"/>
            <w:tcBorders>
              <w:bottom w:val="nil"/>
            </w:tcBorders>
            <w:shd w:val="clear" w:color="auto" w:fill="auto"/>
            <w:noWrap/>
            <w:vAlign w:val="bottom"/>
            <w:hideMark/>
          </w:tcPr>
          <w:p w14:paraId="4B90CFF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0.321</w:t>
            </w:r>
          </w:p>
        </w:tc>
        <w:tc>
          <w:tcPr>
            <w:tcW w:w="630" w:type="dxa"/>
            <w:tcBorders>
              <w:bottom w:val="nil"/>
            </w:tcBorders>
            <w:shd w:val="clear" w:color="auto" w:fill="auto"/>
            <w:noWrap/>
            <w:vAlign w:val="bottom"/>
            <w:hideMark/>
          </w:tcPr>
          <w:p w14:paraId="0D87D54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1.216</w:t>
            </w:r>
          </w:p>
        </w:tc>
        <w:tc>
          <w:tcPr>
            <w:tcW w:w="810" w:type="dxa"/>
            <w:tcBorders>
              <w:bottom w:val="nil"/>
            </w:tcBorders>
            <w:shd w:val="clear" w:color="auto" w:fill="auto"/>
            <w:noWrap/>
            <w:vAlign w:val="bottom"/>
            <w:hideMark/>
          </w:tcPr>
          <w:p w14:paraId="2F0D0F3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1.593</w:t>
            </w:r>
          </w:p>
        </w:tc>
        <w:tc>
          <w:tcPr>
            <w:tcW w:w="720" w:type="dxa"/>
            <w:tcBorders>
              <w:bottom w:val="nil"/>
            </w:tcBorders>
            <w:shd w:val="clear" w:color="auto" w:fill="auto"/>
            <w:noWrap/>
            <w:vAlign w:val="bottom"/>
            <w:hideMark/>
          </w:tcPr>
          <w:p w14:paraId="230E248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0.45</w:t>
            </w:r>
          </w:p>
        </w:tc>
        <w:tc>
          <w:tcPr>
            <w:tcW w:w="630" w:type="dxa"/>
            <w:tcBorders>
              <w:bottom w:val="nil"/>
            </w:tcBorders>
            <w:shd w:val="clear" w:color="auto" w:fill="auto"/>
            <w:noWrap/>
            <w:vAlign w:val="bottom"/>
            <w:hideMark/>
          </w:tcPr>
          <w:p w14:paraId="709B02B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0.218</w:t>
            </w:r>
          </w:p>
        </w:tc>
        <w:tc>
          <w:tcPr>
            <w:tcW w:w="810" w:type="dxa"/>
            <w:tcBorders>
              <w:bottom w:val="nil"/>
            </w:tcBorders>
            <w:shd w:val="clear" w:color="auto" w:fill="auto"/>
            <w:noWrap/>
            <w:vAlign w:val="bottom"/>
            <w:hideMark/>
          </w:tcPr>
          <w:p w14:paraId="05C3F38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1.244</w:t>
            </w:r>
          </w:p>
        </w:tc>
        <w:tc>
          <w:tcPr>
            <w:tcW w:w="720" w:type="dxa"/>
            <w:tcBorders>
              <w:bottom w:val="nil"/>
            </w:tcBorders>
            <w:shd w:val="clear" w:color="auto" w:fill="auto"/>
            <w:noWrap/>
            <w:vAlign w:val="bottom"/>
            <w:hideMark/>
          </w:tcPr>
          <w:p w14:paraId="4961919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0.861</w:t>
            </w:r>
          </w:p>
        </w:tc>
      </w:tr>
      <w:tr w:rsidR="0037350E" w:rsidRPr="0037350E" w14:paraId="65EFC0AA" w14:textId="77777777" w:rsidTr="000606C7">
        <w:trPr>
          <w:trHeight w:val="87"/>
        </w:trPr>
        <w:tc>
          <w:tcPr>
            <w:tcW w:w="2330" w:type="dxa"/>
            <w:tcBorders>
              <w:top w:val="nil"/>
              <w:left w:val="nil"/>
              <w:bottom w:val="nil"/>
            </w:tcBorders>
            <w:shd w:val="clear" w:color="auto" w:fill="auto"/>
            <w:noWrap/>
            <w:vAlign w:val="bottom"/>
            <w:hideMark/>
          </w:tcPr>
          <w:p w14:paraId="7ADDBA86" w14:textId="2E3DE4DC" w:rsidR="0037350E" w:rsidRPr="0037350E" w:rsidRDefault="00225956" w:rsidP="00225956">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Control vs. Gen.</w:t>
            </w:r>
            <w:r w:rsidR="0037350E" w:rsidRPr="0037350E">
              <w:rPr>
                <w:rFonts w:ascii="Times New Roman" w:eastAsia="Times New Roman" w:hAnsi="Times New Roman" w:cs="Times New Roman"/>
                <w:color w:val="000000"/>
                <w:sz w:val="14"/>
                <w:szCs w:val="14"/>
              </w:rPr>
              <w:t>-powered PJ</w:t>
            </w:r>
          </w:p>
        </w:tc>
        <w:tc>
          <w:tcPr>
            <w:tcW w:w="630" w:type="dxa"/>
            <w:tcBorders>
              <w:top w:val="nil"/>
              <w:bottom w:val="nil"/>
            </w:tcBorders>
            <w:shd w:val="clear" w:color="auto" w:fill="auto"/>
            <w:noWrap/>
            <w:vAlign w:val="bottom"/>
            <w:hideMark/>
          </w:tcPr>
          <w:p w14:paraId="2749B38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-0.619</w:t>
            </w:r>
          </w:p>
        </w:tc>
        <w:tc>
          <w:tcPr>
            <w:tcW w:w="810" w:type="dxa"/>
            <w:tcBorders>
              <w:top w:val="nil"/>
              <w:bottom w:val="nil"/>
            </w:tcBorders>
            <w:shd w:val="clear" w:color="auto" w:fill="auto"/>
            <w:noWrap/>
            <w:vAlign w:val="bottom"/>
            <w:hideMark/>
          </w:tcPr>
          <w:p w14:paraId="5179C7E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0.197</w:t>
            </w:r>
          </w:p>
        </w:tc>
        <w:tc>
          <w:tcPr>
            <w:tcW w:w="720" w:type="dxa"/>
            <w:tcBorders>
              <w:top w:val="nil"/>
              <w:bottom w:val="nil"/>
            </w:tcBorders>
            <w:shd w:val="clear" w:color="auto" w:fill="auto"/>
            <w:noWrap/>
            <w:vAlign w:val="bottom"/>
            <w:hideMark/>
          </w:tcPr>
          <w:p w14:paraId="47F755D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0.002*</w:t>
            </w:r>
          </w:p>
        </w:tc>
        <w:tc>
          <w:tcPr>
            <w:tcW w:w="630" w:type="dxa"/>
            <w:tcBorders>
              <w:top w:val="nil"/>
              <w:bottom w:val="nil"/>
            </w:tcBorders>
            <w:shd w:val="clear" w:color="auto" w:fill="auto"/>
            <w:noWrap/>
            <w:vAlign w:val="bottom"/>
            <w:hideMark/>
          </w:tcPr>
          <w:p w14:paraId="76A5004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-0.930</w:t>
            </w:r>
          </w:p>
        </w:tc>
        <w:tc>
          <w:tcPr>
            <w:tcW w:w="810" w:type="dxa"/>
            <w:tcBorders>
              <w:top w:val="nil"/>
              <w:bottom w:val="nil"/>
            </w:tcBorders>
            <w:shd w:val="clear" w:color="auto" w:fill="auto"/>
            <w:noWrap/>
            <w:vAlign w:val="bottom"/>
            <w:hideMark/>
          </w:tcPr>
          <w:p w14:paraId="3308A89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0.219</w:t>
            </w:r>
          </w:p>
        </w:tc>
        <w:tc>
          <w:tcPr>
            <w:tcW w:w="720" w:type="dxa"/>
            <w:tcBorders>
              <w:top w:val="nil"/>
              <w:bottom w:val="nil"/>
            </w:tcBorders>
            <w:shd w:val="clear" w:color="auto" w:fill="auto"/>
            <w:noWrap/>
            <w:vAlign w:val="bottom"/>
            <w:hideMark/>
          </w:tcPr>
          <w:p w14:paraId="6E37976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65B8CE6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-0.039</w:t>
            </w:r>
          </w:p>
        </w:tc>
        <w:tc>
          <w:tcPr>
            <w:tcW w:w="810" w:type="dxa"/>
            <w:tcBorders>
              <w:top w:val="nil"/>
              <w:bottom w:val="nil"/>
            </w:tcBorders>
            <w:shd w:val="clear" w:color="auto" w:fill="auto"/>
            <w:noWrap/>
            <w:vAlign w:val="bottom"/>
            <w:hideMark/>
          </w:tcPr>
          <w:p w14:paraId="7DD3C41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0.215</w:t>
            </w:r>
          </w:p>
        </w:tc>
        <w:tc>
          <w:tcPr>
            <w:tcW w:w="720" w:type="dxa"/>
            <w:tcBorders>
              <w:top w:val="nil"/>
              <w:bottom w:val="nil"/>
            </w:tcBorders>
            <w:shd w:val="clear" w:color="auto" w:fill="auto"/>
            <w:noWrap/>
            <w:vAlign w:val="bottom"/>
            <w:hideMark/>
          </w:tcPr>
          <w:p w14:paraId="4016DC2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0.855</w:t>
            </w:r>
          </w:p>
        </w:tc>
        <w:tc>
          <w:tcPr>
            <w:tcW w:w="630" w:type="dxa"/>
            <w:tcBorders>
              <w:top w:val="nil"/>
              <w:bottom w:val="nil"/>
            </w:tcBorders>
            <w:shd w:val="clear" w:color="auto" w:fill="auto"/>
            <w:noWrap/>
            <w:vAlign w:val="bottom"/>
            <w:hideMark/>
          </w:tcPr>
          <w:p w14:paraId="4807D14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-0.126</w:t>
            </w:r>
          </w:p>
        </w:tc>
        <w:tc>
          <w:tcPr>
            <w:tcW w:w="810" w:type="dxa"/>
            <w:tcBorders>
              <w:top w:val="nil"/>
              <w:bottom w:val="nil"/>
            </w:tcBorders>
            <w:shd w:val="clear" w:color="auto" w:fill="auto"/>
            <w:noWrap/>
            <w:vAlign w:val="bottom"/>
            <w:hideMark/>
          </w:tcPr>
          <w:p w14:paraId="6EF565B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1.757</w:t>
            </w:r>
          </w:p>
        </w:tc>
        <w:tc>
          <w:tcPr>
            <w:tcW w:w="720" w:type="dxa"/>
            <w:tcBorders>
              <w:top w:val="nil"/>
              <w:bottom w:val="nil"/>
            </w:tcBorders>
            <w:shd w:val="clear" w:color="auto" w:fill="auto"/>
            <w:noWrap/>
            <w:vAlign w:val="bottom"/>
            <w:hideMark/>
          </w:tcPr>
          <w:p w14:paraId="574C092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0.943</w:t>
            </w:r>
          </w:p>
        </w:tc>
        <w:tc>
          <w:tcPr>
            <w:tcW w:w="630" w:type="dxa"/>
            <w:tcBorders>
              <w:top w:val="nil"/>
              <w:bottom w:val="nil"/>
            </w:tcBorders>
            <w:shd w:val="clear" w:color="auto" w:fill="auto"/>
            <w:noWrap/>
            <w:vAlign w:val="bottom"/>
            <w:hideMark/>
          </w:tcPr>
          <w:p w14:paraId="1B07F7C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-0.703</w:t>
            </w:r>
          </w:p>
        </w:tc>
        <w:tc>
          <w:tcPr>
            <w:tcW w:w="810" w:type="dxa"/>
            <w:tcBorders>
              <w:top w:val="nil"/>
              <w:bottom w:val="nil"/>
            </w:tcBorders>
            <w:shd w:val="clear" w:color="auto" w:fill="auto"/>
            <w:noWrap/>
            <w:vAlign w:val="bottom"/>
            <w:hideMark/>
          </w:tcPr>
          <w:p w14:paraId="1BB8981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2.129</w:t>
            </w:r>
          </w:p>
        </w:tc>
        <w:tc>
          <w:tcPr>
            <w:tcW w:w="720" w:type="dxa"/>
            <w:tcBorders>
              <w:top w:val="nil"/>
              <w:bottom w:val="nil"/>
            </w:tcBorders>
            <w:shd w:val="clear" w:color="auto" w:fill="auto"/>
            <w:noWrap/>
            <w:vAlign w:val="bottom"/>
            <w:hideMark/>
          </w:tcPr>
          <w:p w14:paraId="13B01A5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0.741</w:t>
            </w:r>
          </w:p>
        </w:tc>
      </w:tr>
      <w:tr w:rsidR="0037350E" w:rsidRPr="0037350E" w14:paraId="71B3FF6B" w14:textId="77777777" w:rsidTr="000606C7">
        <w:trPr>
          <w:trHeight w:val="87"/>
        </w:trPr>
        <w:tc>
          <w:tcPr>
            <w:tcW w:w="2330" w:type="dxa"/>
            <w:tcBorders>
              <w:top w:val="nil"/>
              <w:left w:val="nil"/>
              <w:bottom w:val="nil"/>
            </w:tcBorders>
            <w:shd w:val="clear" w:color="auto" w:fill="auto"/>
            <w:noWrap/>
            <w:vAlign w:val="bottom"/>
            <w:hideMark/>
          </w:tcPr>
          <w:p w14:paraId="39BF2F05" w14:textId="3C3A82F3" w:rsidR="0037350E" w:rsidRPr="0037350E" w:rsidRDefault="00225956" w:rsidP="0037350E">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Control vs. Gen.-</w:t>
            </w:r>
            <w:r w:rsidR="0037350E" w:rsidRPr="0037350E">
              <w:rPr>
                <w:rFonts w:ascii="Times New Roman" w:eastAsia="Times New Roman" w:hAnsi="Times New Roman" w:cs="Times New Roman"/>
                <w:color w:val="000000"/>
                <w:sz w:val="14"/>
                <w:szCs w:val="14"/>
              </w:rPr>
              <w:t>powered SP</w:t>
            </w:r>
          </w:p>
        </w:tc>
        <w:tc>
          <w:tcPr>
            <w:tcW w:w="630" w:type="dxa"/>
            <w:tcBorders>
              <w:top w:val="nil"/>
              <w:bottom w:val="nil"/>
            </w:tcBorders>
            <w:shd w:val="clear" w:color="auto" w:fill="auto"/>
            <w:noWrap/>
            <w:vAlign w:val="bottom"/>
            <w:hideMark/>
          </w:tcPr>
          <w:p w14:paraId="767BB6E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-0.790</w:t>
            </w:r>
          </w:p>
        </w:tc>
        <w:tc>
          <w:tcPr>
            <w:tcW w:w="810" w:type="dxa"/>
            <w:tcBorders>
              <w:top w:val="nil"/>
              <w:bottom w:val="nil"/>
            </w:tcBorders>
            <w:shd w:val="clear" w:color="auto" w:fill="auto"/>
            <w:noWrap/>
            <w:vAlign w:val="bottom"/>
            <w:hideMark/>
          </w:tcPr>
          <w:p w14:paraId="032548F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0.268</w:t>
            </w:r>
          </w:p>
        </w:tc>
        <w:tc>
          <w:tcPr>
            <w:tcW w:w="720" w:type="dxa"/>
            <w:tcBorders>
              <w:top w:val="nil"/>
              <w:bottom w:val="nil"/>
            </w:tcBorders>
            <w:shd w:val="clear" w:color="auto" w:fill="auto"/>
            <w:noWrap/>
            <w:vAlign w:val="bottom"/>
            <w:hideMark/>
          </w:tcPr>
          <w:p w14:paraId="486DCFE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0.003*</w:t>
            </w:r>
          </w:p>
        </w:tc>
        <w:tc>
          <w:tcPr>
            <w:tcW w:w="630" w:type="dxa"/>
            <w:tcBorders>
              <w:top w:val="nil"/>
              <w:bottom w:val="nil"/>
            </w:tcBorders>
            <w:shd w:val="clear" w:color="auto" w:fill="auto"/>
            <w:noWrap/>
            <w:vAlign w:val="bottom"/>
            <w:hideMark/>
          </w:tcPr>
          <w:p w14:paraId="37CCA68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-0.589</w:t>
            </w:r>
          </w:p>
        </w:tc>
        <w:tc>
          <w:tcPr>
            <w:tcW w:w="810" w:type="dxa"/>
            <w:tcBorders>
              <w:top w:val="nil"/>
              <w:bottom w:val="nil"/>
            </w:tcBorders>
            <w:shd w:val="clear" w:color="auto" w:fill="auto"/>
            <w:noWrap/>
            <w:vAlign w:val="bottom"/>
            <w:hideMark/>
          </w:tcPr>
          <w:p w14:paraId="411D9E4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0.280</w:t>
            </w:r>
          </w:p>
        </w:tc>
        <w:tc>
          <w:tcPr>
            <w:tcW w:w="720" w:type="dxa"/>
            <w:tcBorders>
              <w:top w:val="nil"/>
              <w:bottom w:val="nil"/>
            </w:tcBorders>
            <w:shd w:val="clear" w:color="auto" w:fill="auto"/>
            <w:noWrap/>
            <w:vAlign w:val="bottom"/>
            <w:hideMark/>
          </w:tcPr>
          <w:p w14:paraId="284EC33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70A40D9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0.507</w:t>
            </w:r>
          </w:p>
        </w:tc>
        <w:tc>
          <w:tcPr>
            <w:tcW w:w="810" w:type="dxa"/>
            <w:tcBorders>
              <w:top w:val="nil"/>
              <w:bottom w:val="nil"/>
            </w:tcBorders>
            <w:shd w:val="clear" w:color="auto" w:fill="auto"/>
            <w:noWrap/>
            <w:vAlign w:val="bottom"/>
            <w:hideMark/>
          </w:tcPr>
          <w:p w14:paraId="60AB2AC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0.259</w:t>
            </w:r>
          </w:p>
        </w:tc>
        <w:tc>
          <w:tcPr>
            <w:tcW w:w="720" w:type="dxa"/>
            <w:tcBorders>
              <w:top w:val="nil"/>
              <w:bottom w:val="nil"/>
            </w:tcBorders>
            <w:shd w:val="clear" w:color="auto" w:fill="auto"/>
            <w:noWrap/>
            <w:vAlign w:val="bottom"/>
            <w:hideMark/>
          </w:tcPr>
          <w:p w14:paraId="21961AE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0.05*</w:t>
            </w:r>
          </w:p>
        </w:tc>
        <w:tc>
          <w:tcPr>
            <w:tcW w:w="630" w:type="dxa"/>
            <w:tcBorders>
              <w:top w:val="nil"/>
              <w:bottom w:val="nil"/>
            </w:tcBorders>
            <w:shd w:val="clear" w:color="auto" w:fill="auto"/>
            <w:noWrap/>
            <w:vAlign w:val="bottom"/>
            <w:hideMark/>
          </w:tcPr>
          <w:p w14:paraId="169298E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-0.514</w:t>
            </w:r>
          </w:p>
        </w:tc>
        <w:tc>
          <w:tcPr>
            <w:tcW w:w="810" w:type="dxa"/>
            <w:tcBorders>
              <w:top w:val="nil"/>
              <w:bottom w:val="nil"/>
            </w:tcBorders>
            <w:shd w:val="clear" w:color="auto" w:fill="auto"/>
            <w:noWrap/>
            <w:vAlign w:val="bottom"/>
            <w:hideMark/>
          </w:tcPr>
          <w:p w14:paraId="1100F4B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2.294</w:t>
            </w:r>
          </w:p>
        </w:tc>
        <w:tc>
          <w:tcPr>
            <w:tcW w:w="720" w:type="dxa"/>
            <w:tcBorders>
              <w:top w:val="nil"/>
              <w:bottom w:val="nil"/>
            </w:tcBorders>
            <w:shd w:val="clear" w:color="auto" w:fill="auto"/>
            <w:noWrap/>
            <w:vAlign w:val="bottom"/>
            <w:hideMark/>
          </w:tcPr>
          <w:p w14:paraId="6CB8002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0.824</w:t>
            </w:r>
          </w:p>
        </w:tc>
        <w:tc>
          <w:tcPr>
            <w:tcW w:w="630" w:type="dxa"/>
            <w:tcBorders>
              <w:top w:val="nil"/>
              <w:bottom w:val="nil"/>
            </w:tcBorders>
            <w:shd w:val="clear" w:color="auto" w:fill="auto"/>
            <w:noWrap/>
            <w:vAlign w:val="bottom"/>
            <w:hideMark/>
          </w:tcPr>
          <w:p w14:paraId="69EB519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3.310</w:t>
            </w:r>
          </w:p>
        </w:tc>
        <w:tc>
          <w:tcPr>
            <w:tcW w:w="810" w:type="dxa"/>
            <w:tcBorders>
              <w:top w:val="nil"/>
              <w:bottom w:val="nil"/>
            </w:tcBorders>
            <w:shd w:val="clear" w:color="auto" w:fill="auto"/>
            <w:noWrap/>
            <w:vAlign w:val="bottom"/>
            <w:hideMark/>
          </w:tcPr>
          <w:p w14:paraId="03A6750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3.121</w:t>
            </w:r>
          </w:p>
        </w:tc>
        <w:tc>
          <w:tcPr>
            <w:tcW w:w="720" w:type="dxa"/>
            <w:tcBorders>
              <w:top w:val="nil"/>
              <w:bottom w:val="nil"/>
            </w:tcBorders>
            <w:shd w:val="clear" w:color="auto" w:fill="auto"/>
            <w:noWrap/>
            <w:vAlign w:val="bottom"/>
            <w:hideMark/>
          </w:tcPr>
          <w:p w14:paraId="23E3B56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0.289</w:t>
            </w:r>
          </w:p>
        </w:tc>
      </w:tr>
      <w:tr w:rsidR="0037350E" w:rsidRPr="0037350E" w14:paraId="32C99FDE" w14:textId="77777777" w:rsidTr="000606C7">
        <w:trPr>
          <w:trHeight w:val="80"/>
        </w:trPr>
        <w:tc>
          <w:tcPr>
            <w:tcW w:w="2330" w:type="dxa"/>
            <w:tcBorders>
              <w:top w:val="nil"/>
              <w:left w:val="nil"/>
              <w:bottom w:val="nil"/>
            </w:tcBorders>
            <w:shd w:val="clear" w:color="auto" w:fill="auto"/>
            <w:noWrap/>
            <w:vAlign w:val="bottom"/>
            <w:hideMark/>
          </w:tcPr>
          <w:p w14:paraId="215AB07F" w14:textId="000AA3CF" w:rsidR="0037350E" w:rsidRPr="0037350E" w:rsidRDefault="0037350E" w:rsidP="00225956">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Gen-powered PJ vs. Gen</w:t>
            </w:r>
            <w:r w:rsidR="00225956">
              <w:rPr>
                <w:rFonts w:ascii="Times New Roman" w:eastAsia="Times New Roman" w:hAnsi="Times New Roman" w:cs="Times New Roman"/>
                <w:color w:val="000000"/>
                <w:sz w:val="14"/>
                <w:szCs w:val="14"/>
              </w:rPr>
              <w:t>.</w:t>
            </w:r>
            <w:r w:rsidRPr="0037350E">
              <w:rPr>
                <w:rFonts w:ascii="Times New Roman" w:eastAsia="Times New Roman" w:hAnsi="Times New Roman" w:cs="Times New Roman"/>
                <w:color w:val="000000"/>
                <w:sz w:val="14"/>
                <w:szCs w:val="14"/>
              </w:rPr>
              <w:t>-powered SP</w:t>
            </w:r>
          </w:p>
        </w:tc>
        <w:tc>
          <w:tcPr>
            <w:tcW w:w="630" w:type="dxa"/>
            <w:tcBorders>
              <w:top w:val="nil"/>
              <w:bottom w:val="nil"/>
            </w:tcBorders>
            <w:shd w:val="clear" w:color="auto" w:fill="auto"/>
            <w:noWrap/>
            <w:vAlign w:val="bottom"/>
            <w:hideMark/>
          </w:tcPr>
          <w:p w14:paraId="2F31BF1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-0.167</w:t>
            </w:r>
          </w:p>
        </w:tc>
        <w:tc>
          <w:tcPr>
            <w:tcW w:w="810" w:type="dxa"/>
            <w:tcBorders>
              <w:top w:val="nil"/>
              <w:bottom w:val="nil"/>
            </w:tcBorders>
            <w:shd w:val="clear" w:color="auto" w:fill="auto"/>
            <w:noWrap/>
            <w:vAlign w:val="bottom"/>
            <w:hideMark/>
          </w:tcPr>
          <w:p w14:paraId="227CD61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0.256</w:t>
            </w:r>
          </w:p>
        </w:tc>
        <w:tc>
          <w:tcPr>
            <w:tcW w:w="720" w:type="dxa"/>
            <w:tcBorders>
              <w:top w:val="nil"/>
              <w:bottom w:val="nil"/>
            </w:tcBorders>
            <w:shd w:val="clear" w:color="auto" w:fill="auto"/>
            <w:noWrap/>
            <w:vAlign w:val="bottom"/>
            <w:hideMark/>
          </w:tcPr>
          <w:p w14:paraId="2A2DBFB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0.515</w:t>
            </w:r>
          </w:p>
        </w:tc>
        <w:tc>
          <w:tcPr>
            <w:tcW w:w="630" w:type="dxa"/>
            <w:tcBorders>
              <w:top w:val="nil"/>
              <w:bottom w:val="nil"/>
            </w:tcBorders>
            <w:shd w:val="clear" w:color="auto" w:fill="auto"/>
            <w:noWrap/>
            <w:vAlign w:val="bottom"/>
            <w:hideMark/>
          </w:tcPr>
          <w:p w14:paraId="3820B26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0.348</w:t>
            </w:r>
          </w:p>
        </w:tc>
        <w:tc>
          <w:tcPr>
            <w:tcW w:w="810" w:type="dxa"/>
            <w:tcBorders>
              <w:top w:val="nil"/>
              <w:bottom w:val="nil"/>
            </w:tcBorders>
            <w:shd w:val="clear" w:color="auto" w:fill="auto"/>
            <w:noWrap/>
            <w:vAlign w:val="bottom"/>
            <w:hideMark/>
          </w:tcPr>
          <w:p w14:paraId="596850D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0.319</w:t>
            </w:r>
          </w:p>
        </w:tc>
        <w:tc>
          <w:tcPr>
            <w:tcW w:w="720" w:type="dxa"/>
            <w:tcBorders>
              <w:top w:val="nil"/>
              <w:bottom w:val="nil"/>
            </w:tcBorders>
            <w:shd w:val="clear" w:color="auto" w:fill="auto"/>
            <w:noWrap/>
            <w:vAlign w:val="bottom"/>
            <w:hideMark/>
          </w:tcPr>
          <w:p w14:paraId="11F1150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0.276</w:t>
            </w:r>
          </w:p>
        </w:tc>
        <w:tc>
          <w:tcPr>
            <w:tcW w:w="630" w:type="dxa"/>
            <w:tcBorders>
              <w:top w:val="nil"/>
              <w:bottom w:val="nil"/>
            </w:tcBorders>
            <w:shd w:val="clear" w:color="auto" w:fill="auto"/>
            <w:noWrap/>
            <w:vAlign w:val="bottom"/>
            <w:hideMark/>
          </w:tcPr>
          <w:p w14:paraId="68C082B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0.561</w:t>
            </w:r>
          </w:p>
        </w:tc>
        <w:tc>
          <w:tcPr>
            <w:tcW w:w="810" w:type="dxa"/>
            <w:tcBorders>
              <w:top w:val="nil"/>
              <w:bottom w:val="nil"/>
            </w:tcBorders>
            <w:shd w:val="clear" w:color="auto" w:fill="auto"/>
            <w:noWrap/>
            <w:vAlign w:val="bottom"/>
            <w:hideMark/>
          </w:tcPr>
          <w:p w14:paraId="3C64544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0.288</w:t>
            </w:r>
          </w:p>
        </w:tc>
        <w:tc>
          <w:tcPr>
            <w:tcW w:w="720" w:type="dxa"/>
            <w:tcBorders>
              <w:top w:val="nil"/>
              <w:bottom w:val="nil"/>
            </w:tcBorders>
            <w:shd w:val="clear" w:color="auto" w:fill="auto"/>
            <w:noWrap/>
            <w:vAlign w:val="bottom"/>
            <w:hideMark/>
          </w:tcPr>
          <w:p w14:paraId="70028D9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0.052*</w:t>
            </w:r>
          </w:p>
        </w:tc>
        <w:tc>
          <w:tcPr>
            <w:tcW w:w="630" w:type="dxa"/>
            <w:tcBorders>
              <w:top w:val="nil"/>
              <w:bottom w:val="nil"/>
            </w:tcBorders>
            <w:shd w:val="clear" w:color="auto" w:fill="auto"/>
            <w:noWrap/>
            <w:vAlign w:val="bottom"/>
            <w:hideMark/>
          </w:tcPr>
          <w:p w14:paraId="2CFF03F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-0.436</w:t>
            </w:r>
          </w:p>
        </w:tc>
        <w:tc>
          <w:tcPr>
            <w:tcW w:w="810" w:type="dxa"/>
            <w:tcBorders>
              <w:top w:val="nil"/>
              <w:bottom w:val="nil"/>
            </w:tcBorders>
            <w:shd w:val="clear" w:color="auto" w:fill="auto"/>
            <w:noWrap/>
            <w:vAlign w:val="bottom"/>
            <w:hideMark/>
          </w:tcPr>
          <w:p w14:paraId="4E471AF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2.229</w:t>
            </w:r>
          </w:p>
        </w:tc>
        <w:tc>
          <w:tcPr>
            <w:tcW w:w="720" w:type="dxa"/>
            <w:tcBorders>
              <w:top w:val="nil"/>
              <w:bottom w:val="nil"/>
            </w:tcBorders>
            <w:shd w:val="clear" w:color="auto" w:fill="auto"/>
            <w:noWrap/>
            <w:vAlign w:val="bottom"/>
            <w:hideMark/>
          </w:tcPr>
          <w:p w14:paraId="18E2CE4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0.847</w:t>
            </w:r>
          </w:p>
        </w:tc>
        <w:tc>
          <w:tcPr>
            <w:tcW w:w="630" w:type="dxa"/>
            <w:tcBorders>
              <w:top w:val="nil"/>
              <w:bottom w:val="nil"/>
            </w:tcBorders>
            <w:shd w:val="clear" w:color="auto" w:fill="auto"/>
            <w:noWrap/>
            <w:vAlign w:val="bottom"/>
            <w:hideMark/>
          </w:tcPr>
          <w:p w14:paraId="50102B0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3.387</w:t>
            </w:r>
          </w:p>
        </w:tc>
        <w:tc>
          <w:tcPr>
            <w:tcW w:w="810" w:type="dxa"/>
            <w:tcBorders>
              <w:top w:val="nil"/>
              <w:bottom w:val="nil"/>
            </w:tcBorders>
            <w:shd w:val="clear" w:color="auto" w:fill="auto"/>
            <w:noWrap/>
            <w:vAlign w:val="bottom"/>
            <w:hideMark/>
          </w:tcPr>
          <w:p w14:paraId="174F459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2.697</w:t>
            </w:r>
          </w:p>
        </w:tc>
        <w:tc>
          <w:tcPr>
            <w:tcW w:w="720" w:type="dxa"/>
            <w:tcBorders>
              <w:top w:val="nil"/>
              <w:bottom w:val="nil"/>
            </w:tcBorders>
            <w:shd w:val="clear" w:color="auto" w:fill="auto"/>
            <w:noWrap/>
            <w:vAlign w:val="bottom"/>
            <w:hideMark/>
          </w:tcPr>
          <w:p w14:paraId="572EA05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0.209</w:t>
            </w:r>
          </w:p>
        </w:tc>
      </w:tr>
      <w:tr w:rsidR="0037350E" w:rsidRPr="0037350E" w14:paraId="34CE6E15" w14:textId="77777777" w:rsidTr="000606C7">
        <w:trPr>
          <w:trHeight w:val="87"/>
        </w:trPr>
        <w:tc>
          <w:tcPr>
            <w:tcW w:w="2330" w:type="dxa"/>
            <w:tcBorders>
              <w:top w:val="nil"/>
              <w:left w:val="nil"/>
              <w:bottom w:val="nil"/>
            </w:tcBorders>
            <w:shd w:val="clear" w:color="auto" w:fill="auto"/>
            <w:noWrap/>
            <w:vAlign w:val="bottom"/>
            <w:hideMark/>
          </w:tcPr>
          <w:p w14:paraId="7C06C9F5"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 vs. Grid-powered SP</w:t>
            </w:r>
          </w:p>
        </w:tc>
        <w:tc>
          <w:tcPr>
            <w:tcW w:w="630" w:type="dxa"/>
            <w:tcBorders>
              <w:top w:val="nil"/>
              <w:bottom w:val="nil"/>
            </w:tcBorders>
            <w:shd w:val="clear" w:color="auto" w:fill="auto"/>
            <w:noWrap/>
            <w:vAlign w:val="bottom"/>
            <w:hideMark/>
          </w:tcPr>
          <w:p w14:paraId="2B7EB2B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-1.465</w:t>
            </w:r>
          </w:p>
        </w:tc>
        <w:tc>
          <w:tcPr>
            <w:tcW w:w="810" w:type="dxa"/>
            <w:tcBorders>
              <w:top w:val="nil"/>
              <w:bottom w:val="nil"/>
            </w:tcBorders>
            <w:shd w:val="clear" w:color="auto" w:fill="auto"/>
            <w:noWrap/>
            <w:vAlign w:val="bottom"/>
            <w:hideMark/>
          </w:tcPr>
          <w:p w14:paraId="3699FF5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0.291</w:t>
            </w:r>
          </w:p>
        </w:tc>
        <w:tc>
          <w:tcPr>
            <w:tcW w:w="720" w:type="dxa"/>
            <w:tcBorders>
              <w:top w:val="nil"/>
              <w:bottom w:val="nil"/>
            </w:tcBorders>
            <w:shd w:val="clear" w:color="auto" w:fill="auto"/>
            <w:noWrap/>
            <w:vAlign w:val="bottom"/>
            <w:hideMark/>
          </w:tcPr>
          <w:p w14:paraId="4CE5EB5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2B8386E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-1.629</w:t>
            </w:r>
          </w:p>
        </w:tc>
        <w:tc>
          <w:tcPr>
            <w:tcW w:w="810" w:type="dxa"/>
            <w:tcBorders>
              <w:top w:val="nil"/>
              <w:bottom w:val="nil"/>
            </w:tcBorders>
            <w:shd w:val="clear" w:color="auto" w:fill="auto"/>
            <w:noWrap/>
            <w:vAlign w:val="bottom"/>
            <w:hideMark/>
          </w:tcPr>
          <w:p w14:paraId="6FDA711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0.315</w:t>
            </w:r>
          </w:p>
        </w:tc>
        <w:tc>
          <w:tcPr>
            <w:tcW w:w="720" w:type="dxa"/>
            <w:tcBorders>
              <w:top w:val="nil"/>
              <w:bottom w:val="nil"/>
            </w:tcBorders>
            <w:shd w:val="clear" w:color="auto" w:fill="auto"/>
            <w:noWrap/>
            <w:vAlign w:val="bottom"/>
            <w:hideMark/>
          </w:tcPr>
          <w:p w14:paraId="2A31ECF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585C25E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0.297</w:t>
            </w:r>
          </w:p>
        </w:tc>
        <w:tc>
          <w:tcPr>
            <w:tcW w:w="810" w:type="dxa"/>
            <w:tcBorders>
              <w:top w:val="nil"/>
              <w:bottom w:val="nil"/>
            </w:tcBorders>
            <w:shd w:val="clear" w:color="auto" w:fill="auto"/>
            <w:noWrap/>
            <w:vAlign w:val="bottom"/>
            <w:hideMark/>
          </w:tcPr>
          <w:p w14:paraId="62260F6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0.217</w:t>
            </w:r>
          </w:p>
        </w:tc>
        <w:tc>
          <w:tcPr>
            <w:tcW w:w="720" w:type="dxa"/>
            <w:tcBorders>
              <w:top w:val="nil"/>
              <w:bottom w:val="nil"/>
            </w:tcBorders>
            <w:shd w:val="clear" w:color="auto" w:fill="auto"/>
            <w:noWrap/>
            <w:vAlign w:val="bottom"/>
            <w:hideMark/>
          </w:tcPr>
          <w:p w14:paraId="6929435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0.171</w:t>
            </w:r>
          </w:p>
        </w:tc>
        <w:tc>
          <w:tcPr>
            <w:tcW w:w="630" w:type="dxa"/>
            <w:tcBorders>
              <w:top w:val="nil"/>
              <w:bottom w:val="nil"/>
            </w:tcBorders>
            <w:shd w:val="clear" w:color="auto" w:fill="auto"/>
            <w:noWrap/>
            <w:vAlign w:val="bottom"/>
            <w:hideMark/>
          </w:tcPr>
          <w:p w14:paraId="6F08926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4.803</w:t>
            </w:r>
          </w:p>
        </w:tc>
        <w:tc>
          <w:tcPr>
            <w:tcW w:w="810" w:type="dxa"/>
            <w:tcBorders>
              <w:top w:val="nil"/>
              <w:bottom w:val="nil"/>
            </w:tcBorders>
            <w:shd w:val="clear" w:color="auto" w:fill="auto"/>
            <w:noWrap/>
            <w:vAlign w:val="bottom"/>
            <w:hideMark/>
          </w:tcPr>
          <w:p w14:paraId="36E47B2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2.167</w:t>
            </w:r>
          </w:p>
        </w:tc>
        <w:tc>
          <w:tcPr>
            <w:tcW w:w="720" w:type="dxa"/>
            <w:tcBorders>
              <w:top w:val="nil"/>
              <w:bottom w:val="nil"/>
            </w:tcBorders>
            <w:shd w:val="clear" w:color="auto" w:fill="auto"/>
            <w:noWrap/>
            <w:vAlign w:val="bottom"/>
            <w:hideMark/>
          </w:tcPr>
          <w:p w14:paraId="7655D1B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0.036*</w:t>
            </w:r>
          </w:p>
        </w:tc>
        <w:tc>
          <w:tcPr>
            <w:tcW w:w="630" w:type="dxa"/>
            <w:tcBorders>
              <w:top w:val="nil"/>
              <w:bottom w:val="nil"/>
            </w:tcBorders>
            <w:shd w:val="clear" w:color="auto" w:fill="auto"/>
            <w:noWrap/>
            <w:vAlign w:val="bottom"/>
            <w:hideMark/>
          </w:tcPr>
          <w:p w14:paraId="555A98E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-0.055</w:t>
            </w:r>
          </w:p>
        </w:tc>
        <w:tc>
          <w:tcPr>
            <w:tcW w:w="810" w:type="dxa"/>
            <w:tcBorders>
              <w:top w:val="nil"/>
              <w:bottom w:val="nil"/>
            </w:tcBorders>
            <w:shd w:val="clear" w:color="auto" w:fill="auto"/>
            <w:noWrap/>
            <w:vAlign w:val="bottom"/>
            <w:hideMark/>
          </w:tcPr>
          <w:p w14:paraId="0FA84D2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1.503</w:t>
            </w:r>
          </w:p>
        </w:tc>
        <w:tc>
          <w:tcPr>
            <w:tcW w:w="720" w:type="dxa"/>
            <w:tcBorders>
              <w:top w:val="nil"/>
              <w:bottom w:val="nil"/>
            </w:tcBorders>
            <w:shd w:val="clear" w:color="auto" w:fill="auto"/>
            <w:noWrap/>
            <w:vAlign w:val="bottom"/>
            <w:hideMark/>
          </w:tcPr>
          <w:p w14:paraId="46A4A15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0.971</w:t>
            </w:r>
          </w:p>
        </w:tc>
      </w:tr>
      <w:tr w:rsidR="0037350E" w:rsidRPr="0037350E" w14:paraId="30CEE207" w14:textId="77777777" w:rsidTr="000606C7">
        <w:trPr>
          <w:trHeight w:val="87"/>
        </w:trPr>
        <w:tc>
          <w:tcPr>
            <w:tcW w:w="2330" w:type="dxa"/>
            <w:tcBorders>
              <w:top w:val="nil"/>
              <w:left w:val="nil"/>
            </w:tcBorders>
            <w:shd w:val="clear" w:color="auto" w:fill="auto"/>
            <w:noWrap/>
            <w:vAlign w:val="bottom"/>
            <w:hideMark/>
          </w:tcPr>
          <w:p w14:paraId="6E61EF8C"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 vs. Generator-powered SP</w:t>
            </w:r>
          </w:p>
        </w:tc>
        <w:tc>
          <w:tcPr>
            <w:tcW w:w="630" w:type="dxa"/>
            <w:tcBorders>
              <w:top w:val="nil"/>
            </w:tcBorders>
            <w:shd w:val="clear" w:color="auto" w:fill="auto"/>
            <w:noWrap/>
            <w:vAlign w:val="bottom"/>
            <w:hideMark/>
          </w:tcPr>
          <w:p w14:paraId="3E2FB87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-0.798</w:t>
            </w:r>
          </w:p>
        </w:tc>
        <w:tc>
          <w:tcPr>
            <w:tcW w:w="810" w:type="dxa"/>
            <w:tcBorders>
              <w:top w:val="nil"/>
            </w:tcBorders>
            <w:shd w:val="clear" w:color="auto" w:fill="auto"/>
            <w:noWrap/>
            <w:vAlign w:val="bottom"/>
            <w:hideMark/>
          </w:tcPr>
          <w:p w14:paraId="47C532C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0.301</w:t>
            </w:r>
          </w:p>
        </w:tc>
        <w:tc>
          <w:tcPr>
            <w:tcW w:w="720" w:type="dxa"/>
            <w:tcBorders>
              <w:top w:val="nil"/>
            </w:tcBorders>
            <w:shd w:val="clear" w:color="auto" w:fill="auto"/>
            <w:noWrap/>
            <w:vAlign w:val="bottom"/>
            <w:hideMark/>
          </w:tcPr>
          <w:p w14:paraId="733AE6C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0.008*</w:t>
            </w:r>
          </w:p>
        </w:tc>
        <w:tc>
          <w:tcPr>
            <w:tcW w:w="630" w:type="dxa"/>
            <w:tcBorders>
              <w:top w:val="nil"/>
            </w:tcBorders>
            <w:shd w:val="clear" w:color="auto" w:fill="auto"/>
            <w:noWrap/>
            <w:vAlign w:val="bottom"/>
            <w:hideMark/>
          </w:tcPr>
          <w:p w14:paraId="35B4F16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-0.591</w:t>
            </w:r>
          </w:p>
        </w:tc>
        <w:tc>
          <w:tcPr>
            <w:tcW w:w="810" w:type="dxa"/>
            <w:tcBorders>
              <w:top w:val="nil"/>
            </w:tcBorders>
            <w:shd w:val="clear" w:color="auto" w:fill="auto"/>
            <w:noWrap/>
            <w:vAlign w:val="bottom"/>
            <w:hideMark/>
          </w:tcPr>
          <w:p w14:paraId="799DFFC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0.291</w:t>
            </w:r>
          </w:p>
        </w:tc>
        <w:tc>
          <w:tcPr>
            <w:tcW w:w="720" w:type="dxa"/>
            <w:tcBorders>
              <w:top w:val="nil"/>
            </w:tcBorders>
            <w:shd w:val="clear" w:color="auto" w:fill="auto"/>
            <w:noWrap/>
            <w:vAlign w:val="bottom"/>
            <w:hideMark/>
          </w:tcPr>
          <w:p w14:paraId="3D69EC0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0.043*</w:t>
            </w:r>
          </w:p>
        </w:tc>
        <w:tc>
          <w:tcPr>
            <w:tcW w:w="630" w:type="dxa"/>
            <w:tcBorders>
              <w:top w:val="nil"/>
            </w:tcBorders>
            <w:shd w:val="clear" w:color="auto" w:fill="auto"/>
            <w:noWrap/>
            <w:vAlign w:val="bottom"/>
            <w:hideMark/>
          </w:tcPr>
          <w:p w14:paraId="238FA82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0.501</w:t>
            </w:r>
          </w:p>
        </w:tc>
        <w:tc>
          <w:tcPr>
            <w:tcW w:w="810" w:type="dxa"/>
            <w:tcBorders>
              <w:top w:val="nil"/>
            </w:tcBorders>
            <w:shd w:val="clear" w:color="auto" w:fill="auto"/>
            <w:noWrap/>
            <w:vAlign w:val="bottom"/>
            <w:hideMark/>
          </w:tcPr>
          <w:p w14:paraId="59318B3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0.234</w:t>
            </w:r>
          </w:p>
        </w:tc>
        <w:tc>
          <w:tcPr>
            <w:tcW w:w="720" w:type="dxa"/>
            <w:tcBorders>
              <w:top w:val="nil"/>
            </w:tcBorders>
            <w:shd w:val="clear" w:color="auto" w:fill="auto"/>
            <w:noWrap/>
            <w:vAlign w:val="bottom"/>
            <w:hideMark/>
          </w:tcPr>
          <w:p w14:paraId="5CB6DB0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0.033*</w:t>
            </w:r>
          </w:p>
        </w:tc>
        <w:tc>
          <w:tcPr>
            <w:tcW w:w="630" w:type="dxa"/>
            <w:tcBorders>
              <w:top w:val="nil"/>
            </w:tcBorders>
            <w:shd w:val="clear" w:color="auto" w:fill="auto"/>
            <w:noWrap/>
            <w:vAlign w:val="bottom"/>
            <w:hideMark/>
          </w:tcPr>
          <w:p w14:paraId="6DFC924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-0.524</w:t>
            </w:r>
          </w:p>
        </w:tc>
        <w:tc>
          <w:tcPr>
            <w:tcW w:w="810" w:type="dxa"/>
            <w:tcBorders>
              <w:top w:val="nil"/>
            </w:tcBorders>
            <w:shd w:val="clear" w:color="auto" w:fill="auto"/>
            <w:noWrap/>
            <w:vAlign w:val="bottom"/>
            <w:hideMark/>
          </w:tcPr>
          <w:p w14:paraId="0D846A4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2.419</w:t>
            </w:r>
          </w:p>
        </w:tc>
        <w:tc>
          <w:tcPr>
            <w:tcW w:w="720" w:type="dxa"/>
            <w:tcBorders>
              <w:top w:val="nil"/>
            </w:tcBorders>
            <w:shd w:val="clear" w:color="auto" w:fill="auto"/>
            <w:noWrap/>
            <w:vAlign w:val="bottom"/>
            <w:hideMark/>
          </w:tcPr>
          <w:p w14:paraId="2BED564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0.830</w:t>
            </w:r>
          </w:p>
        </w:tc>
        <w:tc>
          <w:tcPr>
            <w:tcW w:w="630" w:type="dxa"/>
            <w:tcBorders>
              <w:top w:val="nil"/>
            </w:tcBorders>
            <w:shd w:val="clear" w:color="auto" w:fill="auto"/>
            <w:noWrap/>
            <w:vAlign w:val="bottom"/>
            <w:hideMark/>
          </w:tcPr>
          <w:p w14:paraId="4B145FC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2.184</w:t>
            </w:r>
          </w:p>
        </w:tc>
        <w:tc>
          <w:tcPr>
            <w:tcW w:w="810" w:type="dxa"/>
            <w:tcBorders>
              <w:top w:val="nil"/>
            </w:tcBorders>
            <w:shd w:val="clear" w:color="auto" w:fill="auto"/>
            <w:noWrap/>
            <w:vAlign w:val="bottom"/>
            <w:hideMark/>
          </w:tcPr>
          <w:p w14:paraId="67AC0C2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1.854</w:t>
            </w:r>
          </w:p>
        </w:tc>
        <w:tc>
          <w:tcPr>
            <w:tcW w:w="720" w:type="dxa"/>
            <w:tcBorders>
              <w:top w:val="nil"/>
            </w:tcBorders>
            <w:shd w:val="clear" w:color="auto" w:fill="auto"/>
            <w:noWrap/>
            <w:vAlign w:val="bottom"/>
            <w:hideMark/>
          </w:tcPr>
          <w:p w14:paraId="4E5BBF8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0.239</w:t>
            </w:r>
          </w:p>
        </w:tc>
      </w:tr>
      <w:tr w:rsidR="0037350E" w:rsidRPr="0037350E" w14:paraId="43E8C9C6" w14:textId="77777777" w:rsidTr="000606C7">
        <w:trPr>
          <w:trHeight w:val="87"/>
        </w:trPr>
        <w:tc>
          <w:tcPr>
            <w:tcW w:w="2330" w:type="dxa"/>
            <w:tcBorders>
              <w:top w:val="nil"/>
              <w:left w:val="nil"/>
              <w:bottom w:val="nil"/>
            </w:tcBorders>
            <w:shd w:val="clear" w:color="auto" w:fill="auto"/>
            <w:noWrap/>
            <w:vAlign w:val="bottom"/>
            <w:hideMark/>
          </w:tcPr>
          <w:p w14:paraId="0BC1ED6E"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Grid- vs. Generator-powered SP</w:t>
            </w:r>
          </w:p>
        </w:tc>
        <w:tc>
          <w:tcPr>
            <w:tcW w:w="630" w:type="dxa"/>
            <w:tcBorders>
              <w:top w:val="nil"/>
              <w:bottom w:val="nil"/>
            </w:tcBorders>
            <w:shd w:val="clear" w:color="auto" w:fill="auto"/>
            <w:noWrap/>
            <w:vAlign w:val="bottom"/>
            <w:hideMark/>
          </w:tcPr>
          <w:p w14:paraId="29BE41F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0.677</w:t>
            </w:r>
          </w:p>
        </w:tc>
        <w:tc>
          <w:tcPr>
            <w:tcW w:w="810" w:type="dxa"/>
            <w:tcBorders>
              <w:top w:val="nil"/>
              <w:bottom w:val="nil"/>
            </w:tcBorders>
            <w:shd w:val="clear" w:color="auto" w:fill="auto"/>
            <w:noWrap/>
            <w:vAlign w:val="bottom"/>
            <w:hideMark/>
          </w:tcPr>
          <w:p w14:paraId="02F68D7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0.386</w:t>
            </w:r>
          </w:p>
        </w:tc>
        <w:tc>
          <w:tcPr>
            <w:tcW w:w="720" w:type="dxa"/>
            <w:tcBorders>
              <w:top w:val="nil"/>
              <w:bottom w:val="nil"/>
            </w:tcBorders>
            <w:shd w:val="clear" w:color="auto" w:fill="auto"/>
            <w:noWrap/>
            <w:vAlign w:val="bottom"/>
            <w:hideMark/>
          </w:tcPr>
          <w:p w14:paraId="479E8A3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0.079*</w:t>
            </w:r>
          </w:p>
        </w:tc>
        <w:tc>
          <w:tcPr>
            <w:tcW w:w="630" w:type="dxa"/>
            <w:tcBorders>
              <w:top w:val="nil"/>
              <w:bottom w:val="nil"/>
            </w:tcBorders>
            <w:shd w:val="clear" w:color="auto" w:fill="auto"/>
            <w:noWrap/>
            <w:vAlign w:val="bottom"/>
            <w:hideMark/>
          </w:tcPr>
          <w:p w14:paraId="2829345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1.095</w:t>
            </w:r>
          </w:p>
        </w:tc>
        <w:tc>
          <w:tcPr>
            <w:tcW w:w="810" w:type="dxa"/>
            <w:tcBorders>
              <w:top w:val="nil"/>
              <w:bottom w:val="nil"/>
            </w:tcBorders>
            <w:shd w:val="clear" w:color="auto" w:fill="auto"/>
            <w:noWrap/>
            <w:vAlign w:val="bottom"/>
            <w:hideMark/>
          </w:tcPr>
          <w:p w14:paraId="4FCA3F6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0.453</w:t>
            </w:r>
          </w:p>
        </w:tc>
        <w:tc>
          <w:tcPr>
            <w:tcW w:w="720" w:type="dxa"/>
            <w:tcBorders>
              <w:top w:val="nil"/>
              <w:bottom w:val="nil"/>
            </w:tcBorders>
            <w:shd w:val="clear" w:color="auto" w:fill="auto"/>
            <w:noWrap/>
            <w:vAlign w:val="bottom"/>
            <w:hideMark/>
          </w:tcPr>
          <w:p w14:paraId="1CEF430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0.016*</w:t>
            </w:r>
          </w:p>
        </w:tc>
        <w:tc>
          <w:tcPr>
            <w:tcW w:w="630" w:type="dxa"/>
            <w:tcBorders>
              <w:top w:val="nil"/>
              <w:bottom w:val="nil"/>
            </w:tcBorders>
            <w:shd w:val="clear" w:color="auto" w:fill="auto"/>
            <w:noWrap/>
            <w:vAlign w:val="bottom"/>
            <w:hideMark/>
          </w:tcPr>
          <w:p w14:paraId="21EB8A5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0.209</w:t>
            </w:r>
          </w:p>
        </w:tc>
        <w:tc>
          <w:tcPr>
            <w:tcW w:w="810" w:type="dxa"/>
            <w:tcBorders>
              <w:top w:val="nil"/>
              <w:bottom w:val="nil"/>
            </w:tcBorders>
            <w:shd w:val="clear" w:color="auto" w:fill="auto"/>
            <w:noWrap/>
            <w:vAlign w:val="bottom"/>
            <w:hideMark/>
          </w:tcPr>
          <w:p w14:paraId="6426C57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0.274</w:t>
            </w:r>
          </w:p>
        </w:tc>
        <w:tc>
          <w:tcPr>
            <w:tcW w:w="720" w:type="dxa"/>
            <w:tcBorders>
              <w:top w:val="nil"/>
              <w:bottom w:val="nil"/>
            </w:tcBorders>
            <w:shd w:val="clear" w:color="auto" w:fill="auto"/>
            <w:noWrap/>
            <w:vAlign w:val="bottom"/>
            <w:hideMark/>
          </w:tcPr>
          <w:p w14:paraId="3E71E68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0.445</w:t>
            </w:r>
          </w:p>
        </w:tc>
        <w:tc>
          <w:tcPr>
            <w:tcW w:w="630" w:type="dxa"/>
            <w:tcBorders>
              <w:top w:val="nil"/>
              <w:bottom w:val="nil"/>
            </w:tcBorders>
            <w:shd w:val="clear" w:color="auto" w:fill="auto"/>
            <w:noWrap/>
            <w:vAlign w:val="bottom"/>
            <w:hideMark/>
          </w:tcPr>
          <w:p w14:paraId="32A5BEC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-5.373</w:t>
            </w:r>
          </w:p>
        </w:tc>
        <w:tc>
          <w:tcPr>
            <w:tcW w:w="810" w:type="dxa"/>
            <w:tcBorders>
              <w:top w:val="nil"/>
              <w:bottom w:val="nil"/>
            </w:tcBorders>
            <w:shd w:val="clear" w:color="auto" w:fill="auto"/>
            <w:noWrap/>
            <w:vAlign w:val="bottom"/>
            <w:hideMark/>
          </w:tcPr>
          <w:p w14:paraId="1B93D9A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2.718</w:t>
            </w:r>
          </w:p>
        </w:tc>
        <w:tc>
          <w:tcPr>
            <w:tcW w:w="720" w:type="dxa"/>
            <w:tcBorders>
              <w:top w:val="nil"/>
              <w:bottom w:val="nil"/>
            </w:tcBorders>
            <w:shd w:val="clear" w:color="auto" w:fill="auto"/>
            <w:noWrap/>
            <w:vAlign w:val="bottom"/>
            <w:hideMark/>
          </w:tcPr>
          <w:p w14:paraId="121229A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0.071*</w:t>
            </w:r>
          </w:p>
        </w:tc>
        <w:tc>
          <w:tcPr>
            <w:tcW w:w="630" w:type="dxa"/>
            <w:tcBorders>
              <w:top w:val="nil"/>
              <w:bottom w:val="nil"/>
            </w:tcBorders>
            <w:shd w:val="clear" w:color="auto" w:fill="auto"/>
            <w:noWrap/>
            <w:vAlign w:val="bottom"/>
            <w:hideMark/>
          </w:tcPr>
          <w:p w14:paraId="5DD4857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1.632</w:t>
            </w:r>
          </w:p>
        </w:tc>
        <w:tc>
          <w:tcPr>
            <w:tcW w:w="810" w:type="dxa"/>
            <w:tcBorders>
              <w:top w:val="nil"/>
              <w:bottom w:val="nil"/>
            </w:tcBorders>
            <w:shd w:val="clear" w:color="auto" w:fill="auto"/>
            <w:noWrap/>
            <w:vAlign w:val="bottom"/>
            <w:hideMark/>
          </w:tcPr>
          <w:p w14:paraId="3D102C7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1.173</w:t>
            </w:r>
          </w:p>
        </w:tc>
        <w:tc>
          <w:tcPr>
            <w:tcW w:w="720" w:type="dxa"/>
            <w:tcBorders>
              <w:top w:val="nil"/>
              <w:bottom w:val="nil"/>
            </w:tcBorders>
            <w:shd w:val="clear" w:color="auto" w:fill="auto"/>
            <w:noWrap/>
            <w:vAlign w:val="bottom"/>
            <w:hideMark/>
          </w:tcPr>
          <w:p w14:paraId="3086F16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0.164</w:t>
            </w:r>
          </w:p>
        </w:tc>
      </w:tr>
      <w:tr w:rsidR="0037350E" w:rsidRPr="0037350E" w14:paraId="73A795B6" w14:textId="77777777" w:rsidTr="000606C7">
        <w:trPr>
          <w:trHeight w:val="87"/>
        </w:trPr>
        <w:tc>
          <w:tcPr>
            <w:tcW w:w="2330" w:type="dxa"/>
            <w:tcBorders>
              <w:top w:val="nil"/>
              <w:left w:val="nil"/>
              <w:bottom w:val="nil"/>
            </w:tcBorders>
            <w:shd w:val="clear" w:color="auto" w:fill="auto"/>
            <w:noWrap/>
            <w:vAlign w:val="bottom"/>
            <w:hideMark/>
          </w:tcPr>
          <w:p w14:paraId="54918F57"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 vs. Active</w:t>
            </w:r>
          </w:p>
        </w:tc>
        <w:tc>
          <w:tcPr>
            <w:tcW w:w="630" w:type="dxa"/>
            <w:tcBorders>
              <w:top w:val="nil"/>
              <w:bottom w:val="nil"/>
            </w:tcBorders>
            <w:shd w:val="clear" w:color="auto" w:fill="auto"/>
            <w:noWrap/>
            <w:vAlign w:val="bottom"/>
            <w:hideMark/>
          </w:tcPr>
          <w:p w14:paraId="6F34D15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-0.922</w:t>
            </w:r>
          </w:p>
        </w:tc>
        <w:tc>
          <w:tcPr>
            <w:tcW w:w="810" w:type="dxa"/>
            <w:tcBorders>
              <w:top w:val="nil"/>
              <w:bottom w:val="nil"/>
            </w:tcBorders>
            <w:shd w:val="clear" w:color="auto" w:fill="auto"/>
            <w:noWrap/>
            <w:vAlign w:val="bottom"/>
            <w:hideMark/>
          </w:tcPr>
          <w:p w14:paraId="58502DE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0.220</w:t>
            </w:r>
          </w:p>
        </w:tc>
        <w:tc>
          <w:tcPr>
            <w:tcW w:w="720" w:type="dxa"/>
            <w:tcBorders>
              <w:top w:val="nil"/>
              <w:bottom w:val="nil"/>
            </w:tcBorders>
            <w:shd w:val="clear" w:color="auto" w:fill="auto"/>
            <w:noWrap/>
            <w:vAlign w:val="bottom"/>
            <w:hideMark/>
          </w:tcPr>
          <w:p w14:paraId="16FCF5F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0174EDC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0.954</w:t>
            </w:r>
          </w:p>
        </w:tc>
        <w:tc>
          <w:tcPr>
            <w:tcW w:w="810" w:type="dxa"/>
            <w:tcBorders>
              <w:top w:val="nil"/>
              <w:bottom w:val="nil"/>
            </w:tcBorders>
            <w:shd w:val="clear" w:color="auto" w:fill="auto"/>
            <w:noWrap/>
            <w:vAlign w:val="bottom"/>
            <w:hideMark/>
          </w:tcPr>
          <w:p w14:paraId="7DD2DE7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0.258</w:t>
            </w:r>
          </w:p>
        </w:tc>
        <w:tc>
          <w:tcPr>
            <w:tcW w:w="720" w:type="dxa"/>
            <w:tcBorders>
              <w:top w:val="nil"/>
              <w:bottom w:val="nil"/>
            </w:tcBorders>
            <w:shd w:val="clear" w:color="auto" w:fill="auto"/>
            <w:noWrap/>
            <w:vAlign w:val="bottom"/>
            <w:hideMark/>
          </w:tcPr>
          <w:p w14:paraId="1DAD0F5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1331492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-0.032</w:t>
            </w:r>
          </w:p>
        </w:tc>
        <w:tc>
          <w:tcPr>
            <w:tcW w:w="810" w:type="dxa"/>
            <w:tcBorders>
              <w:top w:val="nil"/>
              <w:bottom w:val="nil"/>
            </w:tcBorders>
            <w:shd w:val="clear" w:color="auto" w:fill="auto"/>
            <w:noWrap/>
            <w:vAlign w:val="bottom"/>
            <w:hideMark/>
          </w:tcPr>
          <w:p w14:paraId="64D035E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0.214</w:t>
            </w:r>
          </w:p>
        </w:tc>
        <w:tc>
          <w:tcPr>
            <w:tcW w:w="720" w:type="dxa"/>
            <w:tcBorders>
              <w:top w:val="nil"/>
              <w:bottom w:val="nil"/>
            </w:tcBorders>
            <w:shd w:val="clear" w:color="auto" w:fill="auto"/>
            <w:noWrap/>
            <w:vAlign w:val="bottom"/>
            <w:hideMark/>
          </w:tcPr>
          <w:p w14:paraId="22AFFB5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0.882</w:t>
            </w:r>
          </w:p>
        </w:tc>
        <w:tc>
          <w:tcPr>
            <w:tcW w:w="630" w:type="dxa"/>
            <w:tcBorders>
              <w:top w:val="nil"/>
              <w:bottom w:val="nil"/>
            </w:tcBorders>
            <w:shd w:val="clear" w:color="auto" w:fill="auto"/>
            <w:noWrap/>
            <w:vAlign w:val="bottom"/>
            <w:hideMark/>
          </w:tcPr>
          <w:p w14:paraId="544A031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-1.473</w:t>
            </w:r>
          </w:p>
        </w:tc>
        <w:tc>
          <w:tcPr>
            <w:tcW w:w="810" w:type="dxa"/>
            <w:tcBorders>
              <w:top w:val="nil"/>
              <w:bottom w:val="nil"/>
            </w:tcBorders>
            <w:shd w:val="clear" w:color="auto" w:fill="auto"/>
            <w:noWrap/>
            <w:vAlign w:val="bottom"/>
            <w:hideMark/>
          </w:tcPr>
          <w:p w14:paraId="36652B9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1.779</w:t>
            </w:r>
          </w:p>
        </w:tc>
        <w:tc>
          <w:tcPr>
            <w:tcW w:w="720" w:type="dxa"/>
            <w:tcBorders>
              <w:top w:val="nil"/>
              <w:bottom w:val="nil"/>
            </w:tcBorders>
            <w:shd w:val="clear" w:color="auto" w:fill="auto"/>
            <w:noWrap/>
            <w:vAlign w:val="bottom"/>
            <w:hideMark/>
          </w:tcPr>
          <w:p w14:paraId="624666C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0.412</w:t>
            </w:r>
          </w:p>
        </w:tc>
        <w:tc>
          <w:tcPr>
            <w:tcW w:w="630" w:type="dxa"/>
            <w:tcBorders>
              <w:top w:val="nil"/>
              <w:bottom w:val="nil"/>
            </w:tcBorders>
            <w:shd w:val="clear" w:color="auto" w:fill="auto"/>
            <w:noWrap/>
            <w:vAlign w:val="bottom"/>
            <w:hideMark/>
          </w:tcPr>
          <w:p w14:paraId="41E26E4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0.440</w:t>
            </w:r>
          </w:p>
        </w:tc>
        <w:tc>
          <w:tcPr>
            <w:tcW w:w="810" w:type="dxa"/>
            <w:tcBorders>
              <w:top w:val="nil"/>
              <w:bottom w:val="nil"/>
            </w:tcBorders>
            <w:shd w:val="clear" w:color="auto" w:fill="auto"/>
            <w:noWrap/>
            <w:vAlign w:val="bottom"/>
            <w:hideMark/>
          </w:tcPr>
          <w:p w14:paraId="26ACC52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1.498</w:t>
            </w:r>
          </w:p>
        </w:tc>
        <w:tc>
          <w:tcPr>
            <w:tcW w:w="720" w:type="dxa"/>
            <w:tcBorders>
              <w:top w:val="nil"/>
              <w:bottom w:val="nil"/>
            </w:tcBorders>
            <w:shd w:val="clear" w:color="auto" w:fill="auto"/>
            <w:noWrap/>
            <w:vAlign w:val="bottom"/>
            <w:hideMark/>
          </w:tcPr>
          <w:p w14:paraId="4D132CB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0.769</w:t>
            </w:r>
          </w:p>
        </w:tc>
      </w:tr>
      <w:tr w:rsidR="0037350E" w:rsidRPr="0037350E" w14:paraId="48CCC379" w14:textId="77777777" w:rsidTr="000606C7">
        <w:trPr>
          <w:trHeight w:val="87"/>
        </w:trPr>
        <w:tc>
          <w:tcPr>
            <w:tcW w:w="2330" w:type="dxa"/>
            <w:tcBorders>
              <w:top w:val="nil"/>
              <w:left w:val="nil"/>
              <w:bottom w:val="nil"/>
            </w:tcBorders>
            <w:shd w:val="clear" w:color="auto" w:fill="auto"/>
            <w:noWrap/>
            <w:vAlign w:val="bottom"/>
            <w:hideMark/>
          </w:tcPr>
          <w:p w14:paraId="7F276585"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 vs. Inactive</w:t>
            </w:r>
          </w:p>
        </w:tc>
        <w:tc>
          <w:tcPr>
            <w:tcW w:w="630" w:type="dxa"/>
            <w:tcBorders>
              <w:top w:val="nil"/>
              <w:bottom w:val="nil"/>
            </w:tcBorders>
            <w:shd w:val="clear" w:color="auto" w:fill="auto"/>
            <w:noWrap/>
            <w:vAlign w:val="bottom"/>
            <w:hideMark/>
          </w:tcPr>
          <w:p w14:paraId="256E89A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-0.803</w:t>
            </w:r>
          </w:p>
        </w:tc>
        <w:tc>
          <w:tcPr>
            <w:tcW w:w="810" w:type="dxa"/>
            <w:tcBorders>
              <w:top w:val="nil"/>
              <w:bottom w:val="nil"/>
            </w:tcBorders>
            <w:shd w:val="clear" w:color="auto" w:fill="auto"/>
            <w:noWrap/>
            <w:vAlign w:val="bottom"/>
            <w:hideMark/>
          </w:tcPr>
          <w:p w14:paraId="1CA328D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0.194</w:t>
            </w:r>
          </w:p>
        </w:tc>
        <w:tc>
          <w:tcPr>
            <w:tcW w:w="720" w:type="dxa"/>
            <w:tcBorders>
              <w:top w:val="nil"/>
              <w:bottom w:val="nil"/>
            </w:tcBorders>
            <w:shd w:val="clear" w:color="auto" w:fill="auto"/>
            <w:noWrap/>
            <w:vAlign w:val="bottom"/>
            <w:hideMark/>
          </w:tcPr>
          <w:p w14:paraId="3A62151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5FD02FE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-1.138</w:t>
            </w:r>
          </w:p>
        </w:tc>
        <w:tc>
          <w:tcPr>
            <w:tcW w:w="810" w:type="dxa"/>
            <w:tcBorders>
              <w:top w:val="nil"/>
              <w:bottom w:val="nil"/>
            </w:tcBorders>
            <w:shd w:val="clear" w:color="auto" w:fill="auto"/>
            <w:noWrap/>
            <w:vAlign w:val="bottom"/>
            <w:hideMark/>
          </w:tcPr>
          <w:p w14:paraId="50C9B5B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0.250</w:t>
            </w:r>
          </w:p>
        </w:tc>
        <w:tc>
          <w:tcPr>
            <w:tcW w:w="720" w:type="dxa"/>
            <w:tcBorders>
              <w:top w:val="nil"/>
              <w:bottom w:val="nil"/>
            </w:tcBorders>
            <w:shd w:val="clear" w:color="auto" w:fill="auto"/>
            <w:noWrap/>
            <w:vAlign w:val="bottom"/>
            <w:hideMark/>
          </w:tcPr>
          <w:p w14:paraId="654DD5D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7610C20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0.301</w:t>
            </w:r>
          </w:p>
        </w:tc>
        <w:tc>
          <w:tcPr>
            <w:tcW w:w="810" w:type="dxa"/>
            <w:tcBorders>
              <w:top w:val="nil"/>
              <w:bottom w:val="nil"/>
            </w:tcBorders>
            <w:shd w:val="clear" w:color="auto" w:fill="auto"/>
            <w:noWrap/>
            <w:vAlign w:val="bottom"/>
            <w:hideMark/>
          </w:tcPr>
          <w:p w14:paraId="7BF0D0E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0.202</w:t>
            </w:r>
          </w:p>
        </w:tc>
        <w:tc>
          <w:tcPr>
            <w:tcW w:w="720" w:type="dxa"/>
            <w:tcBorders>
              <w:top w:val="nil"/>
              <w:bottom w:val="nil"/>
            </w:tcBorders>
            <w:shd w:val="clear" w:color="auto" w:fill="auto"/>
            <w:noWrap/>
            <w:vAlign w:val="bottom"/>
            <w:hideMark/>
          </w:tcPr>
          <w:p w14:paraId="608BDF1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0.136</w:t>
            </w:r>
          </w:p>
        </w:tc>
        <w:tc>
          <w:tcPr>
            <w:tcW w:w="630" w:type="dxa"/>
            <w:tcBorders>
              <w:top w:val="nil"/>
              <w:bottom w:val="nil"/>
            </w:tcBorders>
            <w:shd w:val="clear" w:color="auto" w:fill="auto"/>
            <w:noWrap/>
            <w:vAlign w:val="bottom"/>
            <w:hideMark/>
          </w:tcPr>
          <w:p w14:paraId="70FABB8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1.279</w:t>
            </w:r>
          </w:p>
        </w:tc>
        <w:tc>
          <w:tcPr>
            <w:tcW w:w="810" w:type="dxa"/>
            <w:tcBorders>
              <w:top w:val="nil"/>
              <w:bottom w:val="nil"/>
            </w:tcBorders>
            <w:shd w:val="clear" w:color="auto" w:fill="auto"/>
            <w:noWrap/>
            <w:vAlign w:val="bottom"/>
            <w:hideMark/>
          </w:tcPr>
          <w:p w14:paraId="5DF987D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1.592</w:t>
            </w:r>
          </w:p>
        </w:tc>
        <w:tc>
          <w:tcPr>
            <w:tcW w:w="720" w:type="dxa"/>
            <w:tcBorders>
              <w:top w:val="nil"/>
              <w:bottom w:val="nil"/>
            </w:tcBorders>
            <w:shd w:val="clear" w:color="auto" w:fill="auto"/>
            <w:noWrap/>
            <w:vAlign w:val="bottom"/>
            <w:hideMark/>
          </w:tcPr>
          <w:p w14:paraId="48DCC30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0.428</w:t>
            </w:r>
          </w:p>
        </w:tc>
        <w:tc>
          <w:tcPr>
            <w:tcW w:w="630" w:type="dxa"/>
            <w:tcBorders>
              <w:top w:val="nil"/>
              <w:bottom w:val="nil"/>
            </w:tcBorders>
            <w:shd w:val="clear" w:color="auto" w:fill="auto"/>
            <w:noWrap/>
            <w:vAlign w:val="bottom"/>
            <w:hideMark/>
          </w:tcPr>
          <w:p w14:paraId="5832DCC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0.258</w:t>
            </w:r>
          </w:p>
        </w:tc>
        <w:tc>
          <w:tcPr>
            <w:tcW w:w="810" w:type="dxa"/>
            <w:tcBorders>
              <w:top w:val="nil"/>
              <w:bottom w:val="nil"/>
            </w:tcBorders>
            <w:shd w:val="clear" w:color="auto" w:fill="auto"/>
            <w:noWrap/>
            <w:vAlign w:val="bottom"/>
            <w:hideMark/>
          </w:tcPr>
          <w:p w14:paraId="324C941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1.883</w:t>
            </w:r>
          </w:p>
        </w:tc>
        <w:tc>
          <w:tcPr>
            <w:tcW w:w="720" w:type="dxa"/>
            <w:tcBorders>
              <w:top w:val="nil"/>
              <w:bottom w:val="nil"/>
            </w:tcBorders>
            <w:shd w:val="clear" w:color="auto" w:fill="auto"/>
            <w:noWrap/>
            <w:vAlign w:val="bottom"/>
            <w:hideMark/>
          </w:tcPr>
          <w:p w14:paraId="3ED9E90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0.891</w:t>
            </w:r>
          </w:p>
        </w:tc>
      </w:tr>
      <w:tr w:rsidR="0037350E" w:rsidRPr="0037350E" w14:paraId="3826380C" w14:textId="77777777" w:rsidTr="000606C7">
        <w:trPr>
          <w:trHeight w:val="87"/>
        </w:trPr>
        <w:tc>
          <w:tcPr>
            <w:tcW w:w="2330" w:type="dxa"/>
            <w:tcBorders>
              <w:top w:val="nil"/>
              <w:left w:val="nil"/>
              <w:bottom w:val="nil"/>
            </w:tcBorders>
            <w:shd w:val="clear" w:color="auto" w:fill="auto"/>
            <w:noWrap/>
            <w:vAlign w:val="bottom"/>
            <w:hideMark/>
          </w:tcPr>
          <w:p w14:paraId="7273D950"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Active vs. Inactive</w:t>
            </w:r>
          </w:p>
        </w:tc>
        <w:tc>
          <w:tcPr>
            <w:tcW w:w="630" w:type="dxa"/>
            <w:tcBorders>
              <w:top w:val="nil"/>
              <w:bottom w:val="nil"/>
            </w:tcBorders>
            <w:shd w:val="clear" w:color="auto" w:fill="auto"/>
            <w:noWrap/>
            <w:vAlign w:val="bottom"/>
            <w:hideMark/>
          </w:tcPr>
          <w:p w14:paraId="6164C28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0.097</w:t>
            </w:r>
          </w:p>
        </w:tc>
        <w:tc>
          <w:tcPr>
            <w:tcW w:w="810" w:type="dxa"/>
            <w:tcBorders>
              <w:top w:val="nil"/>
              <w:bottom w:val="nil"/>
            </w:tcBorders>
            <w:shd w:val="clear" w:color="auto" w:fill="auto"/>
            <w:noWrap/>
            <w:vAlign w:val="bottom"/>
            <w:hideMark/>
          </w:tcPr>
          <w:p w14:paraId="7187A79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0.181</w:t>
            </w:r>
          </w:p>
        </w:tc>
        <w:tc>
          <w:tcPr>
            <w:tcW w:w="720" w:type="dxa"/>
            <w:tcBorders>
              <w:top w:val="nil"/>
              <w:bottom w:val="nil"/>
            </w:tcBorders>
            <w:shd w:val="clear" w:color="auto" w:fill="auto"/>
            <w:noWrap/>
            <w:vAlign w:val="bottom"/>
            <w:hideMark/>
          </w:tcPr>
          <w:p w14:paraId="7C35DB1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0.591</w:t>
            </w:r>
          </w:p>
        </w:tc>
        <w:tc>
          <w:tcPr>
            <w:tcW w:w="630" w:type="dxa"/>
            <w:tcBorders>
              <w:top w:val="nil"/>
              <w:bottom w:val="nil"/>
            </w:tcBorders>
            <w:shd w:val="clear" w:color="auto" w:fill="auto"/>
            <w:noWrap/>
            <w:vAlign w:val="bottom"/>
            <w:hideMark/>
          </w:tcPr>
          <w:p w14:paraId="3923163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-0.165</w:t>
            </w:r>
          </w:p>
        </w:tc>
        <w:tc>
          <w:tcPr>
            <w:tcW w:w="810" w:type="dxa"/>
            <w:tcBorders>
              <w:top w:val="nil"/>
              <w:bottom w:val="nil"/>
            </w:tcBorders>
            <w:shd w:val="clear" w:color="auto" w:fill="auto"/>
            <w:noWrap/>
            <w:vAlign w:val="bottom"/>
            <w:hideMark/>
          </w:tcPr>
          <w:p w14:paraId="1218F90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0.237</w:t>
            </w:r>
          </w:p>
        </w:tc>
        <w:tc>
          <w:tcPr>
            <w:tcW w:w="720" w:type="dxa"/>
            <w:tcBorders>
              <w:top w:val="nil"/>
              <w:bottom w:val="nil"/>
            </w:tcBorders>
            <w:shd w:val="clear" w:color="auto" w:fill="auto"/>
            <w:noWrap/>
            <w:vAlign w:val="bottom"/>
            <w:hideMark/>
          </w:tcPr>
          <w:p w14:paraId="631562D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0.487</w:t>
            </w:r>
          </w:p>
        </w:tc>
        <w:tc>
          <w:tcPr>
            <w:tcW w:w="630" w:type="dxa"/>
            <w:tcBorders>
              <w:top w:val="nil"/>
              <w:bottom w:val="nil"/>
            </w:tcBorders>
            <w:shd w:val="clear" w:color="auto" w:fill="auto"/>
            <w:noWrap/>
            <w:vAlign w:val="bottom"/>
            <w:hideMark/>
          </w:tcPr>
          <w:p w14:paraId="467DDD3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0.275</w:t>
            </w:r>
          </w:p>
        </w:tc>
        <w:tc>
          <w:tcPr>
            <w:tcW w:w="810" w:type="dxa"/>
            <w:tcBorders>
              <w:top w:val="nil"/>
              <w:bottom w:val="nil"/>
            </w:tcBorders>
            <w:shd w:val="clear" w:color="auto" w:fill="auto"/>
            <w:noWrap/>
            <w:vAlign w:val="bottom"/>
            <w:hideMark/>
          </w:tcPr>
          <w:p w14:paraId="659D9F7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0.183</w:t>
            </w:r>
          </w:p>
        </w:tc>
        <w:tc>
          <w:tcPr>
            <w:tcW w:w="720" w:type="dxa"/>
            <w:tcBorders>
              <w:top w:val="nil"/>
              <w:bottom w:val="nil"/>
            </w:tcBorders>
            <w:shd w:val="clear" w:color="auto" w:fill="auto"/>
            <w:noWrap/>
            <w:vAlign w:val="bottom"/>
            <w:hideMark/>
          </w:tcPr>
          <w:p w14:paraId="6AFC63F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0.132</w:t>
            </w:r>
          </w:p>
        </w:tc>
        <w:tc>
          <w:tcPr>
            <w:tcW w:w="630" w:type="dxa"/>
            <w:tcBorders>
              <w:top w:val="nil"/>
              <w:bottom w:val="nil"/>
            </w:tcBorders>
            <w:shd w:val="clear" w:color="auto" w:fill="auto"/>
            <w:noWrap/>
            <w:vAlign w:val="bottom"/>
            <w:hideMark/>
          </w:tcPr>
          <w:p w14:paraId="6F92CCB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-0.476</w:t>
            </w:r>
          </w:p>
        </w:tc>
        <w:tc>
          <w:tcPr>
            <w:tcW w:w="810" w:type="dxa"/>
            <w:tcBorders>
              <w:top w:val="nil"/>
              <w:bottom w:val="nil"/>
            </w:tcBorders>
            <w:shd w:val="clear" w:color="auto" w:fill="auto"/>
            <w:noWrap/>
            <w:vAlign w:val="bottom"/>
            <w:hideMark/>
          </w:tcPr>
          <w:p w14:paraId="6DC59E3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1.434</w:t>
            </w:r>
          </w:p>
        </w:tc>
        <w:tc>
          <w:tcPr>
            <w:tcW w:w="720" w:type="dxa"/>
            <w:tcBorders>
              <w:top w:val="nil"/>
              <w:bottom w:val="nil"/>
            </w:tcBorders>
            <w:shd w:val="clear" w:color="auto" w:fill="auto"/>
            <w:noWrap/>
            <w:vAlign w:val="bottom"/>
            <w:hideMark/>
          </w:tcPr>
          <w:p w14:paraId="5153944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0.741</w:t>
            </w:r>
          </w:p>
        </w:tc>
        <w:tc>
          <w:tcPr>
            <w:tcW w:w="630" w:type="dxa"/>
            <w:tcBorders>
              <w:top w:val="nil"/>
              <w:bottom w:val="nil"/>
            </w:tcBorders>
            <w:shd w:val="clear" w:color="auto" w:fill="auto"/>
            <w:noWrap/>
            <w:vAlign w:val="bottom"/>
            <w:hideMark/>
          </w:tcPr>
          <w:p w14:paraId="0E6D0C3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1.222</w:t>
            </w:r>
          </w:p>
        </w:tc>
        <w:tc>
          <w:tcPr>
            <w:tcW w:w="810" w:type="dxa"/>
            <w:tcBorders>
              <w:top w:val="nil"/>
              <w:bottom w:val="nil"/>
            </w:tcBorders>
            <w:shd w:val="clear" w:color="auto" w:fill="auto"/>
            <w:noWrap/>
            <w:vAlign w:val="bottom"/>
            <w:hideMark/>
          </w:tcPr>
          <w:p w14:paraId="087B57D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1.083</w:t>
            </w:r>
          </w:p>
        </w:tc>
        <w:tc>
          <w:tcPr>
            <w:tcW w:w="720" w:type="dxa"/>
            <w:tcBorders>
              <w:top w:val="nil"/>
              <w:bottom w:val="nil"/>
            </w:tcBorders>
            <w:shd w:val="clear" w:color="auto" w:fill="auto"/>
            <w:noWrap/>
            <w:vAlign w:val="bottom"/>
            <w:hideMark/>
          </w:tcPr>
          <w:p w14:paraId="7EE5276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0.260</w:t>
            </w:r>
          </w:p>
        </w:tc>
      </w:tr>
      <w:tr w:rsidR="0037350E" w:rsidRPr="0037350E" w14:paraId="5A55FD40" w14:textId="77777777" w:rsidTr="000606C7">
        <w:trPr>
          <w:trHeight w:val="87"/>
        </w:trPr>
        <w:tc>
          <w:tcPr>
            <w:tcW w:w="2330" w:type="dxa"/>
            <w:tcBorders>
              <w:top w:val="nil"/>
              <w:left w:val="nil"/>
              <w:bottom w:val="nil"/>
            </w:tcBorders>
            <w:shd w:val="clear" w:color="auto" w:fill="auto"/>
            <w:noWrap/>
            <w:vAlign w:val="bottom"/>
            <w:hideMark/>
          </w:tcPr>
          <w:p w14:paraId="2D40E7B9" w14:textId="54B11ABF" w:rsidR="0037350E" w:rsidRPr="0037350E" w:rsidRDefault="00225956" w:rsidP="0037350E">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Total p</w:t>
            </w:r>
            <w:r w:rsidR="0037350E" w:rsidRPr="0037350E">
              <w:rPr>
                <w:rFonts w:ascii="Times New Roman" w:eastAsia="Times New Roman" w:hAnsi="Times New Roman" w:cs="Times New Roman"/>
                <w:color w:val="000000"/>
                <w:sz w:val="14"/>
                <w:szCs w:val="14"/>
              </w:rPr>
              <w:t>erch</w:t>
            </w:r>
          </w:p>
        </w:tc>
        <w:tc>
          <w:tcPr>
            <w:tcW w:w="630" w:type="dxa"/>
            <w:tcBorders>
              <w:top w:val="nil"/>
              <w:bottom w:val="nil"/>
            </w:tcBorders>
            <w:shd w:val="clear" w:color="auto" w:fill="auto"/>
            <w:noWrap/>
            <w:vAlign w:val="bottom"/>
            <w:hideMark/>
          </w:tcPr>
          <w:p w14:paraId="2E06630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-0.131</w:t>
            </w:r>
          </w:p>
        </w:tc>
        <w:tc>
          <w:tcPr>
            <w:tcW w:w="810" w:type="dxa"/>
            <w:tcBorders>
              <w:top w:val="nil"/>
              <w:bottom w:val="nil"/>
            </w:tcBorders>
            <w:shd w:val="clear" w:color="auto" w:fill="auto"/>
            <w:noWrap/>
            <w:vAlign w:val="bottom"/>
            <w:hideMark/>
          </w:tcPr>
          <w:p w14:paraId="4610B2B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0.058</w:t>
            </w:r>
          </w:p>
        </w:tc>
        <w:tc>
          <w:tcPr>
            <w:tcW w:w="720" w:type="dxa"/>
            <w:tcBorders>
              <w:top w:val="nil"/>
              <w:bottom w:val="nil"/>
            </w:tcBorders>
            <w:shd w:val="clear" w:color="auto" w:fill="auto"/>
            <w:noWrap/>
            <w:vAlign w:val="bottom"/>
            <w:hideMark/>
          </w:tcPr>
          <w:p w14:paraId="09A50DC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0.025*</w:t>
            </w:r>
          </w:p>
        </w:tc>
        <w:tc>
          <w:tcPr>
            <w:tcW w:w="630" w:type="dxa"/>
            <w:tcBorders>
              <w:top w:val="nil"/>
              <w:bottom w:val="nil"/>
            </w:tcBorders>
            <w:shd w:val="clear" w:color="auto" w:fill="auto"/>
            <w:noWrap/>
            <w:vAlign w:val="bottom"/>
            <w:hideMark/>
          </w:tcPr>
          <w:p w14:paraId="1C0DF8A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-0.108</w:t>
            </w:r>
          </w:p>
        </w:tc>
        <w:tc>
          <w:tcPr>
            <w:tcW w:w="810" w:type="dxa"/>
            <w:tcBorders>
              <w:top w:val="nil"/>
              <w:bottom w:val="nil"/>
            </w:tcBorders>
            <w:shd w:val="clear" w:color="auto" w:fill="auto"/>
            <w:noWrap/>
            <w:vAlign w:val="bottom"/>
            <w:hideMark/>
          </w:tcPr>
          <w:p w14:paraId="5F08564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0.058</w:t>
            </w:r>
          </w:p>
        </w:tc>
        <w:tc>
          <w:tcPr>
            <w:tcW w:w="720" w:type="dxa"/>
            <w:tcBorders>
              <w:top w:val="nil"/>
              <w:bottom w:val="nil"/>
            </w:tcBorders>
            <w:shd w:val="clear" w:color="auto" w:fill="auto"/>
            <w:noWrap/>
            <w:vAlign w:val="bottom"/>
            <w:hideMark/>
          </w:tcPr>
          <w:p w14:paraId="5DE31CE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0.059*</w:t>
            </w:r>
          </w:p>
        </w:tc>
        <w:tc>
          <w:tcPr>
            <w:tcW w:w="630" w:type="dxa"/>
            <w:tcBorders>
              <w:top w:val="nil"/>
              <w:bottom w:val="nil"/>
            </w:tcBorders>
            <w:shd w:val="clear" w:color="auto" w:fill="auto"/>
            <w:noWrap/>
            <w:vAlign w:val="bottom"/>
            <w:hideMark/>
          </w:tcPr>
          <w:p w14:paraId="6CD81FA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0.031</w:t>
            </w:r>
          </w:p>
        </w:tc>
        <w:tc>
          <w:tcPr>
            <w:tcW w:w="810" w:type="dxa"/>
            <w:tcBorders>
              <w:top w:val="nil"/>
              <w:bottom w:val="nil"/>
            </w:tcBorders>
            <w:shd w:val="clear" w:color="auto" w:fill="auto"/>
            <w:noWrap/>
            <w:vAlign w:val="bottom"/>
            <w:hideMark/>
          </w:tcPr>
          <w:p w14:paraId="3A435F2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0.056</w:t>
            </w:r>
          </w:p>
        </w:tc>
        <w:tc>
          <w:tcPr>
            <w:tcW w:w="720" w:type="dxa"/>
            <w:tcBorders>
              <w:top w:val="nil"/>
              <w:bottom w:val="nil"/>
            </w:tcBorders>
            <w:shd w:val="clear" w:color="auto" w:fill="auto"/>
            <w:noWrap/>
            <w:vAlign w:val="bottom"/>
            <w:hideMark/>
          </w:tcPr>
          <w:p w14:paraId="45A61D0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0.576</w:t>
            </w:r>
          </w:p>
        </w:tc>
        <w:tc>
          <w:tcPr>
            <w:tcW w:w="630" w:type="dxa"/>
            <w:tcBorders>
              <w:top w:val="nil"/>
              <w:bottom w:val="nil"/>
            </w:tcBorders>
            <w:shd w:val="clear" w:color="auto" w:fill="auto"/>
            <w:noWrap/>
            <w:vAlign w:val="bottom"/>
            <w:hideMark/>
          </w:tcPr>
          <w:p w14:paraId="10B488C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0.288</w:t>
            </w:r>
          </w:p>
        </w:tc>
        <w:tc>
          <w:tcPr>
            <w:tcW w:w="810" w:type="dxa"/>
            <w:tcBorders>
              <w:top w:val="nil"/>
              <w:bottom w:val="nil"/>
            </w:tcBorders>
            <w:shd w:val="clear" w:color="auto" w:fill="auto"/>
            <w:noWrap/>
            <w:vAlign w:val="bottom"/>
            <w:hideMark/>
          </w:tcPr>
          <w:p w14:paraId="78F0486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0.434</w:t>
            </w:r>
          </w:p>
        </w:tc>
        <w:tc>
          <w:tcPr>
            <w:tcW w:w="720" w:type="dxa"/>
            <w:tcBorders>
              <w:top w:val="nil"/>
              <w:bottom w:val="nil"/>
            </w:tcBorders>
            <w:shd w:val="clear" w:color="auto" w:fill="auto"/>
            <w:noWrap/>
            <w:vAlign w:val="bottom"/>
            <w:hideMark/>
          </w:tcPr>
          <w:p w14:paraId="351793C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0.511</w:t>
            </w:r>
          </w:p>
        </w:tc>
        <w:tc>
          <w:tcPr>
            <w:tcW w:w="630" w:type="dxa"/>
            <w:tcBorders>
              <w:top w:val="nil"/>
              <w:bottom w:val="nil"/>
            </w:tcBorders>
            <w:shd w:val="clear" w:color="auto" w:fill="auto"/>
            <w:noWrap/>
            <w:vAlign w:val="bottom"/>
            <w:hideMark/>
          </w:tcPr>
          <w:p w14:paraId="648C2D4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-0.272</w:t>
            </w:r>
          </w:p>
        </w:tc>
        <w:tc>
          <w:tcPr>
            <w:tcW w:w="810" w:type="dxa"/>
            <w:tcBorders>
              <w:top w:val="nil"/>
              <w:bottom w:val="nil"/>
            </w:tcBorders>
            <w:shd w:val="clear" w:color="auto" w:fill="auto"/>
            <w:noWrap/>
            <w:vAlign w:val="bottom"/>
            <w:hideMark/>
          </w:tcPr>
          <w:p w14:paraId="70B0DDC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0.396</w:t>
            </w:r>
          </w:p>
        </w:tc>
        <w:tc>
          <w:tcPr>
            <w:tcW w:w="720" w:type="dxa"/>
            <w:tcBorders>
              <w:top w:val="nil"/>
              <w:bottom w:val="nil"/>
            </w:tcBorders>
            <w:shd w:val="clear" w:color="auto" w:fill="auto"/>
            <w:noWrap/>
            <w:vAlign w:val="bottom"/>
            <w:hideMark/>
          </w:tcPr>
          <w:p w14:paraId="4C39A40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0.492</w:t>
            </w:r>
          </w:p>
        </w:tc>
      </w:tr>
      <w:tr w:rsidR="0037350E" w:rsidRPr="0037350E" w14:paraId="36265CBD" w14:textId="77777777" w:rsidTr="000606C7">
        <w:trPr>
          <w:trHeight w:val="87"/>
        </w:trPr>
        <w:tc>
          <w:tcPr>
            <w:tcW w:w="2330" w:type="dxa"/>
            <w:tcBorders>
              <w:top w:val="nil"/>
              <w:left w:val="nil"/>
              <w:bottom w:val="nil"/>
            </w:tcBorders>
            <w:shd w:val="clear" w:color="auto" w:fill="auto"/>
            <w:noWrap/>
            <w:vAlign w:val="bottom"/>
            <w:hideMark/>
          </w:tcPr>
          <w:p w14:paraId="2FE16B40" w14:textId="43743791" w:rsidR="0037350E" w:rsidRPr="0037350E" w:rsidRDefault="00225956" w:rsidP="0037350E">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Total r</w:t>
            </w:r>
            <w:r w:rsidR="0037350E" w:rsidRPr="0037350E">
              <w:rPr>
                <w:rFonts w:ascii="Times New Roman" w:eastAsia="Times New Roman" w:hAnsi="Times New Roman" w:cs="Times New Roman"/>
                <w:color w:val="000000"/>
                <w:sz w:val="14"/>
                <w:szCs w:val="14"/>
              </w:rPr>
              <w:t>oad</w:t>
            </w:r>
          </w:p>
        </w:tc>
        <w:tc>
          <w:tcPr>
            <w:tcW w:w="630" w:type="dxa"/>
            <w:tcBorders>
              <w:top w:val="nil"/>
              <w:bottom w:val="nil"/>
            </w:tcBorders>
            <w:shd w:val="clear" w:color="auto" w:fill="auto"/>
            <w:noWrap/>
            <w:vAlign w:val="bottom"/>
            <w:hideMark/>
          </w:tcPr>
          <w:p w14:paraId="75DC386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-0.174</w:t>
            </w:r>
          </w:p>
        </w:tc>
        <w:tc>
          <w:tcPr>
            <w:tcW w:w="810" w:type="dxa"/>
            <w:tcBorders>
              <w:top w:val="nil"/>
              <w:bottom w:val="nil"/>
            </w:tcBorders>
            <w:shd w:val="clear" w:color="auto" w:fill="auto"/>
            <w:noWrap/>
            <w:vAlign w:val="bottom"/>
            <w:hideMark/>
          </w:tcPr>
          <w:p w14:paraId="1C6CFCE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0.217</w:t>
            </w:r>
          </w:p>
        </w:tc>
        <w:tc>
          <w:tcPr>
            <w:tcW w:w="720" w:type="dxa"/>
            <w:tcBorders>
              <w:top w:val="nil"/>
              <w:bottom w:val="nil"/>
            </w:tcBorders>
            <w:shd w:val="clear" w:color="auto" w:fill="auto"/>
            <w:noWrap/>
            <w:vAlign w:val="bottom"/>
            <w:hideMark/>
          </w:tcPr>
          <w:p w14:paraId="1C2EB4A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0.423</w:t>
            </w:r>
          </w:p>
        </w:tc>
        <w:tc>
          <w:tcPr>
            <w:tcW w:w="630" w:type="dxa"/>
            <w:tcBorders>
              <w:top w:val="nil"/>
              <w:bottom w:val="nil"/>
            </w:tcBorders>
            <w:shd w:val="clear" w:color="auto" w:fill="auto"/>
            <w:noWrap/>
            <w:vAlign w:val="bottom"/>
            <w:hideMark/>
          </w:tcPr>
          <w:p w14:paraId="46D483B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-0.225</w:t>
            </w:r>
          </w:p>
        </w:tc>
        <w:tc>
          <w:tcPr>
            <w:tcW w:w="810" w:type="dxa"/>
            <w:tcBorders>
              <w:top w:val="nil"/>
              <w:bottom w:val="nil"/>
            </w:tcBorders>
            <w:shd w:val="clear" w:color="auto" w:fill="auto"/>
            <w:noWrap/>
            <w:vAlign w:val="bottom"/>
            <w:hideMark/>
          </w:tcPr>
          <w:p w14:paraId="61CDEDA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0.214</w:t>
            </w:r>
          </w:p>
        </w:tc>
        <w:tc>
          <w:tcPr>
            <w:tcW w:w="720" w:type="dxa"/>
            <w:tcBorders>
              <w:top w:val="nil"/>
              <w:bottom w:val="nil"/>
            </w:tcBorders>
            <w:shd w:val="clear" w:color="auto" w:fill="auto"/>
            <w:noWrap/>
            <w:vAlign w:val="bottom"/>
            <w:hideMark/>
          </w:tcPr>
          <w:p w14:paraId="3423084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0.295</w:t>
            </w:r>
          </w:p>
        </w:tc>
        <w:tc>
          <w:tcPr>
            <w:tcW w:w="630" w:type="dxa"/>
            <w:tcBorders>
              <w:top w:val="nil"/>
              <w:bottom w:val="nil"/>
            </w:tcBorders>
            <w:shd w:val="clear" w:color="auto" w:fill="auto"/>
            <w:noWrap/>
            <w:vAlign w:val="bottom"/>
            <w:hideMark/>
          </w:tcPr>
          <w:p w14:paraId="3F01086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0.226</w:t>
            </w:r>
          </w:p>
        </w:tc>
        <w:tc>
          <w:tcPr>
            <w:tcW w:w="810" w:type="dxa"/>
            <w:tcBorders>
              <w:top w:val="nil"/>
              <w:bottom w:val="nil"/>
            </w:tcBorders>
            <w:shd w:val="clear" w:color="auto" w:fill="auto"/>
            <w:noWrap/>
            <w:vAlign w:val="bottom"/>
            <w:hideMark/>
          </w:tcPr>
          <w:p w14:paraId="25ACEA6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0.230</w:t>
            </w:r>
          </w:p>
        </w:tc>
        <w:tc>
          <w:tcPr>
            <w:tcW w:w="720" w:type="dxa"/>
            <w:tcBorders>
              <w:top w:val="nil"/>
              <w:bottom w:val="nil"/>
            </w:tcBorders>
            <w:shd w:val="clear" w:color="auto" w:fill="auto"/>
            <w:noWrap/>
            <w:vAlign w:val="bottom"/>
            <w:hideMark/>
          </w:tcPr>
          <w:p w14:paraId="75A9631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0.281</w:t>
            </w:r>
          </w:p>
        </w:tc>
        <w:tc>
          <w:tcPr>
            <w:tcW w:w="630" w:type="dxa"/>
            <w:tcBorders>
              <w:top w:val="nil"/>
              <w:bottom w:val="nil"/>
            </w:tcBorders>
            <w:shd w:val="clear" w:color="auto" w:fill="auto"/>
            <w:noWrap/>
            <w:vAlign w:val="bottom"/>
            <w:hideMark/>
          </w:tcPr>
          <w:p w14:paraId="7E4B0B8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2.128</w:t>
            </w:r>
          </w:p>
        </w:tc>
        <w:tc>
          <w:tcPr>
            <w:tcW w:w="810" w:type="dxa"/>
            <w:tcBorders>
              <w:top w:val="nil"/>
              <w:bottom w:val="nil"/>
            </w:tcBorders>
            <w:shd w:val="clear" w:color="auto" w:fill="auto"/>
            <w:noWrap/>
            <w:vAlign w:val="bottom"/>
            <w:hideMark/>
          </w:tcPr>
          <w:p w14:paraId="2005E6E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1.571</w:t>
            </w:r>
          </w:p>
        </w:tc>
        <w:tc>
          <w:tcPr>
            <w:tcW w:w="720" w:type="dxa"/>
            <w:tcBorders>
              <w:top w:val="nil"/>
              <w:bottom w:val="nil"/>
            </w:tcBorders>
            <w:shd w:val="clear" w:color="auto" w:fill="auto"/>
            <w:noWrap/>
            <w:vAlign w:val="bottom"/>
            <w:hideMark/>
          </w:tcPr>
          <w:p w14:paraId="1D78E47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0.184</w:t>
            </w:r>
          </w:p>
        </w:tc>
        <w:tc>
          <w:tcPr>
            <w:tcW w:w="630" w:type="dxa"/>
            <w:tcBorders>
              <w:top w:val="nil"/>
              <w:bottom w:val="nil"/>
            </w:tcBorders>
            <w:shd w:val="clear" w:color="auto" w:fill="auto"/>
            <w:noWrap/>
            <w:vAlign w:val="bottom"/>
            <w:hideMark/>
          </w:tcPr>
          <w:p w14:paraId="41E0B4C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0.112</w:t>
            </w:r>
          </w:p>
        </w:tc>
        <w:tc>
          <w:tcPr>
            <w:tcW w:w="810" w:type="dxa"/>
            <w:tcBorders>
              <w:top w:val="nil"/>
              <w:bottom w:val="nil"/>
            </w:tcBorders>
            <w:shd w:val="clear" w:color="auto" w:fill="auto"/>
            <w:noWrap/>
            <w:vAlign w:val="bottom"/>
            <w:hideMark/>
          </w:tcPr>
          <w:p w14:paraId="64849F3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1.332</w:t>
            </w:r>
          </w:p>
        </w:tc>
        <w:tc>
          <w:tcPr>
            <w:tcW w:w="720" w:type="dxa"/>
            <w:tcBorders>
              <w:top w:val="nil"/>
              <w:bottom w:val="nil"/>
            </w:tcBorders>
            <w:shd w:val="clear" w:color="auto" w:fill="auto"/>
            <w:noWrap/>
            <w:vAlign w:val="bottom"/>
            <w:hideMark/>
          </w:tcPr>
          <w:p w14:paraId="4EDE030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0.933</w:t>
            </w:r>
          </w:p>
        </w:tc>
      </w:tr>
      <w:tr w:rsidR="0037350E" w:rsidRPr="0037350E" w14:paraId="647B006E" w14:textId="77777777" w:rsidTr="000606C7">
        <w:trPr>
          <w:trHeight w:val="87"/>
        </w:trPr>
        <w:tc>
          <w:tcPr>
            <w:tcW w:w="2330" w:type="dxa"/>
            <w:tcBorders>
              <w:top w:val="nil"/>
              <w:left w:val="nil"/>
              <w:bottom w:val="nil"/>
            </w:tcBorders>
            <w:shd w:val="clear" w:color="auto" w:fill="auto"/>
            <w:noWrap/>
            <w:vAlign w:val="bottom"/>
            <w:hideMark/>
          </w:tcPr>
          <w:p w14:paraId="78C07F8B" w14:textId="4B8464E7" w:rsidR="0037350E" w:rsidRPr="0037350E" w:rsidRDefault="00225956" w:rsidP="0037350E">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Exotic v</w:t>
            </w:r>
            <w:r w:rsidR="0037350E" w:rsidRPr="0037350E">
              <w:rPr>
                <w:rFonts w:ascii="Times New Roman" w:eastAsia="Times New Roman" w:hAnsi="Times New Roman" w:cs="Times New Roman"/>
                <w:color w:val="000000"/>
                <w:sz w:val="14"/>
                <w:szCs w:val="14"/>
              </w:rPr>
              <w:t>egetation</w:t>
            </w:r>
          </w:p>
        </w:tc>
        <w:tc>
          <w:tcPr>
            <w:tcW w:w="630" w:type="dxa"/>
            <w:tcBorders>
              <w:top w:val="nil"/>
              <w:bottom w:val="nil"/>
            </w:tcBorders>
            <w:shd w:val="clear" w:color="auto" w:fill="auto"/>
            <w:noWrap/>
            <w:vAlign w:val="bottom"/>
            <w:hideMark/>
          </w:tcPr>
          <w:p w14:paraId="0BEA033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-0.018</w:t>
            </w:r>
          </w:p>
        </w:tc>
        <w:tc>
          <w:tcPr>
            <w:tcW w:w="810" w:type="dxa"/>
            <w:tcBorders>
              <w:top w:val="nil"/>
              <w:bottom w:val="nil"/>
            </w:tcBorders>
            <w:shd w:val="clear" w:color="auto" w:fill="auto"/>
            <w:noWrap/>
            <w:vAlign w:val="bottom"/>
            <w:hideMark/>
          </w:tcPr>
          <w:p w14:paraId="2B8B0BD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0.016</w:t>
            </w:r>
          </w:p>
        </w:tc>
        <w:tc>
          <w:tcPr>
            <w:tcW w:w="720" w:type="dxa"/>
            <w:tcBorders>
              <w:top w:val="nil"/>
              <w:bottom w:val="nil"/>
            </w:tcBorders>
            <w:shd w:val="clear" w:color="auto" w:fill="auto"/>
            <w:noWrap/>
            <w:vAlign w:val="bottom"/>
            <w:hideMark/>
          </w:tcPr>
          <w:p w14:paraId="1052C27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0.261</w:t>
            </w:r>
          </w:p>
        </w:tc>
        <w:tc>
          <w:tcPr>
            <w:tcW w:w="630" w:type="dxa"/>
            <w:tcBorders>
              <w:top w:val="nil"/>
              <w:bottom w:val="nil"/>
            </w:tcBorders>
            <w:shd w:val="clear" w:color="auto" w:fill="auto"/>
            <w:noWrap/>
            <w:vAlign w:val="bottom"/>
            <w:hideMark/>
          </w:tcPr>
          <w:p w14:paraId="51FA933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-0.068</w:t>
            </w:r>
          </w:p>
        </w:tc>
        <w:tc>
          <w:tcPr>
            <w:tcW w:w="810" w:type="dxa"/>
            <w:tcBorders>
              <w:top w:val="nil"/>
              <w:bottom w:val="nil"/>
            </w:tcBorders>
            <w:shd w:val="clear" w:color="auto" w:fill="auto"/>
            <w:noWrap/>
            <w:vAlign w:val="bottom"/>
            <w:hideMark/>
          </w:tcPr>
          <w:p w14:paraId="14EE6BD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0.021</w:t>
            </w:r>
          </w:p>
        </w:tc>
        <w:tc>
          <w:tcPr>
            <w:tcW w:w="720" w:type="dxa"/>
            <w:tcBorders>
              <w:top w:val="nil"/>
              <w:bottom w:val="nil"/>
            </w:tcBorders>
            <w:shd w:val="clear" w:color="auto" w:fill="auto"/>
            <w:noWrap/>
            <w:vAlign w:val="bottom"/>
            <w:hideMark/>
          </w:tcPr>
          <w:p w14:paraId="19ACD0A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0.001*</w:t>
            </w:r>
          </w:p>
        </w:tc>
        <w:tc>
          <w:tcPr>
            <w:tcW w:w="630" w:type="dxa"/>
            <w:tcBorders>
              <w:top w:val="nil"/>
              <w:bottom w:val="nil"/>
            </w:tcBorders>
            <w:shd w:val="clear" w:color="auto" w:fill="auto"/>
            <w:noWrap/>
            <w:vAlign w:val="bottom"/>
            <w:hideMark/>
          </w:tcPr>
          <w:p w14:paraId="15CE836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-0.002</w:t>
            </w:r>
          </w:p>
        </w:tc>
        <w:tc>
          <w:tcPr>
            <w:tcW w:w="810" w:type="dxa"/>
            <w:tcBorders>
              <w:top w:val="nil"/>
              <w:bottom w:val="nil"/>
            </w:tcBorders>
            <w:shd w:val="clear" w:color="auto" w:fill="auto"/>
            <w:noWrap/>
            <w:vAlign w:val="bottom"/>
            <w:hideMark/>
          </w:tcPr>
          <w:p w14:paraId="2E94826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0.015</w:t>
            </w:r>
          </w:p>
        </w:tc>
        <w:tc>
          <w:tcPr>
            <w:tcW w:w="720" w:type="dxa"/>
            <w:tcBorders>
              <w:top w:val="nil"/>
              <w:bottom w:val="nil"/>
            </w:tcBorders>
            <w:shd w:val="clear" w:color="auto" w:fill="auto"/>
            <w:noWrap/>
            <w:vAlign w:val="bottom"/>
            <w:hideMark/>
          </w:tcPr>
          <w:p w14:paraId="125B7DC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0.900</w:t>
            </w:r>
          </w:p>
        </w:tc>
        <w:tc>
          <w:tcPr>
            <w:tcW w:w="630" w:type="dxa"/>
            <w:tcBorders>
              <w:top w:val="nil"/>
              <w:bottom w:val="nil"/>
            </w:tcBorders>
            <w:shd w:val="clear" w:color="auto" w:fill="auto"/>
            <w:noWrap/>
            <w:vAlign w:val="bottom"/>
            <w:hideMark/>
          </w:tcPr>
          <w:p w14:paraId="5AF5761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0.099</w:t>
            </w:r>
          </w:p>
        </w:tc>
        <w:tc>
          <w:tcPr>
            <w:tcW w:w="810" w:type="dxa"/>
            <w:tcBorders>
              <w:top w:val="nil"/>
              <w:bottom w:val="nil"/>
            </w:tcBorders>
            <w:shd w:val="clear" w:color="auto" w:fill="auto"/>
            <w:noWrap/>
            <w:vAlign w:val="bottom"/>
            <w:hideMark/>
          </w:tcPr>
          <w:p w14:paraId="15C023A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0.118</w:t>
            </w:r>
          </w:p>
        </w:tc>
        <w:tc>
          <w:tcPr>
            <w:tcW w:w="720" w:type="dxa"/>
            <w:tcBorders>
              <w:top w:val="nil"/>
              <w:bottom w:val="nil"/>
            </w:tcBorders>
            <w:shd w:val="clear" w:color="auto" w:fill="auto"/>
            <w:noWrap/>
            <w:vAlign w:val="bottom"/>
            <w:hideMark/>
          </w:tcPr>
          <w:p w14:paraId="07257D1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0.400</w:t>
            </w:r>
          </w:p>
        </w:tc>
        <w:tc>
          <w:tcPr>
            <w:tcW w:w="630" w:type="dxa"/>
            <w:tcBorders>
              <w:top w:val="nil"/>
              <w:bottom w:val="nil"/>
            </w:tcBorders>
            <w:shd w:val="clear" w:color="auto" w:fill="auto"/>
            <w:noWrap/>
            <w:vAlign w:val="bottom"/>
            <w:hideMark/>
          </w:tcPr>
          <w:p w14:paraId="443C9BA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0.019</w:t>
            </w:r>
          </w:p>
        </w:tc>
        <w:tc>
          <w:tcPr>
            <w:tcW w:w="810" w:type="dxa"/>
            <w:tcBorders>
              <w:top w:val="nil"/>
              <w:bottom w:val="nil"/>
            </w:tcBorders>
            <w:shd w:val="clear" w:color="auto" w:fill="auto"/>
            <w:noWrap/>
            <w:vAlign w:val="bottom"/>
            <w:hideMark/>
          </w:tcPr>
          <w:p w14:paraId="642BDCE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0.086</w:t>
            </w:r>
          </w:p>
        </w:tc>
        <w:tc>
          <w:tcPr>
            <w:tcW w:w="720" w:type="dxa"/>
            <w:tcBorders>
              <w:top w:val="nil"/>
              <w:bottom w:val="nil"/>
            </w:tcBorders>
            <w:shd w:val="clear" w:color="auto" w:fill="auto"/>
            <w:noWrap/>
            <w:vAlign w:val="bottom"/>
            <w:hideMark/>
          </w:tcPr>
          <w:p w14:paraId="01C7AE6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0.826</w:t>
            </w:r>
          </w:p>
        </w:tc>
      </w:tr>
      <w:tr w:rsidR="0037350E" w:rsidRPr="0037350E" w14:paraId="6035418D" w14:textId="77777777" w:rsidTr="000606C7">
        <w:trPr>
          <w:trHeight w:val="345"/>
        </w:trPr>
        <w:tc>
          <w:tcPr>
            <w:tcW w:w="2330" w:type="dxa"/>
            <w:tcBorders>
              <w:top w:val="nil"/>
              <w:left w:val="nil"/>
              <w:bottom w:val="nil"/>
            </w:tcBorders>
            <w:shd w:val="clear" w:color="auto" w:fill="auto"/>
            <w:noWrap/>
            <w:vAlign w:val="bottom"/>
            <w:hideMark/>
          </w:tcPr>
          <w:p w14:paraId="5DCC79B1" w14:textId="7F7E816A" w:rsidR="0037350E" w:rsidRPr="0037350E" w:rsidRDefault="004C29AF" w:rsidP="0037350E">
            <w:pPr>
              <w:spacing w:after="0" w:line="240" w:lineRule="auto"/>
              <w:jc w:val="center"/>
              <w:rPr>
                <w:rFonts w:ascii="Times New Roman" w:eastAsia="Times New Roman" w:hAnsi="Times New Roman" w:cs="Times New Roman"/>
                <w:i/>
                <w:iCs/>
                <w:color w:val="000000"/>
                <w:sz w:val="14"/>
                <w:szCs w:val="14"/>
              </w:rPr>
            </w:pPr>
            <w:r>
              <w:rPr>
                <w:rFonts w:ascii="Times New Roman" w:eastAsia="Times New Roman" w:hAnsi="Times New Roman" w:cs="Times New Roman"/>
                <w:i/>
                <w:iCs/>
                <w:color w:val="000000"/>
                <w:sz w:val="14"/>
                <w:szCs w:val="14"/>
              </w:rPr>
              <w:t>Hectare s</w:t>
            </w:r>
            <w:r w:rsidR="0037350E" w:rsidRPr="0037350E">
              <w:rPr>
                <w:rFonts w:ascii="Times New Roman" w:eastAsia="Times New Roman" w:hAnsi="Times New Roman" w:cs="Times New Roman"/>
                <w:i/>
                <w:iCs/>
                <w:color w:val="000000"/>
                <w:sz w:val="14"/>
                <w:szCs w:val="14"/>
              </w:rPr>
              <w:t>cale</w:t>
            </w:r>
          </w:p>
        </w:tc>
        <w:tc>
          <w:tcPr>
            <w:tcW w:w="630" w:type="dxa"/>
            <w:tcBorders>
              <w:top w:val="nil"/>
              <w:bottom w:val="nil"/>
            </w:tcBorders>
            <w:shd w:val="clear" w:color="auto" w:fill="auto"/>
            <w:noWrap/>
            <w:vAlign w:val="bottom"/>
            <w:hideMark/>
          </w:tcPr>
          <w:p w14:paraId="0865643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c>
          <w:tcPr>
            <w:tcW w:w="810" w:type="dxa"/>
            <w:tcBorders>
              <w:top w:val="nil"/>
              <w:bottom w:val="nil"/>
            </w:tcBorders>
            <w:shd w:val="clear" w:color="auto" w:fill="auto"/>
            <w:noWrap/>
            <w:vAlign w:val="bottom"/>
            <w:hideMark/>
          </w:tcPr>
          <w:p w14:paraId="34C1DDC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720" w:type="dxa"/>
            <w:tcBorders>
              <w:top w:val="nil"/>
              <w:bottom w:val="nil"/>
            </w:tcBorders>
            <w:shd w:val="clear" w:color="auto" w:fill="auto"/>
            <w:noWrap/>
            <w:vAlign w:val="bottom"/>
            <w:hideMark/>
          </w:tcPr>
          <w:p w14:paraId="0C651E2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c>
          <w:tcPr>
            <w:tcW w:w="630" w:type="dxa"/>
            <w:tcBorders>
              <w:top w:val="nil"/>
              <w:bottom w:val="nil"/>
            </w:tcBorders>
            <w:shd w:val="clear" w:color="auto" w:fill="auto"/>
            <w:noWrap/>
            <w:vAlign w:val="bottom"/>
            <w:hideMark/>
          </w:tcPr>
          <w:p w14:paraId="1E42FE1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810" w:type="dxa"/>
            <w:tcBorders>
              <w:top w:val="nil"/>
              <w:bottom w:val="nil"/>
            </w:tcBorders>
            <w:shd w:val="clear" w:color="auto" w:fill="auto"/>
            <w:noWrap/>
            <w:vAlign w:val="bottom"/>
            <w:hideMark/>
          </w:tcPr>
          <w:p w14:paraId="0B196643" w14:textId="77777777" w:rsidR="0037350E" w:rsidRPr="0037350E" w:rsidRDefault="0037350E" w:rsidP="0037350E">
            <w:pPr>
              <w:spacing w:after="0" w:line="240" w:lineRule="auto"/>
              <w:jc w:val="center"/>
              <w:rPr>
                <w:rFonts w:ascii="Times New Roman" w:eastAsia="Times New Roman" w:hAnsi="Times New Roman" w:cs="Times New Roman"/>
                <w:sz w:val="14"/>
                <w:szCs w:val="14"/>
              </w:rPr>
            </w:pPr>
          </w:p>
        </w:tc>
        <w:tc>
          <w:tcPr>
            <w:tcW w:w="720" w:type="dxa"/>
            <w:tcBorders>
              <w:top w:val="nil"/>
              <w:bottom w:val="nil"/>
            </w:tcBorders>
            <w:shd w:val="clear" w:color="auto" w:fill="auto"/>
            <w:noWrap/>
            <w:vAlign w:val="bottom"/>
            <w:hideMark/>
          </w:tcPr>
          <w:p w14:paraId="6874BF86" w14:textId="77777777" w:rsidR="0037350E" w:rsidRPr="0037350E" w:rsidRDefault="0037350E" w:rsidP="0037350E">
            <w:pPr>
              <w:spacing w:after="0" w:line="240" w:lineRule="auto"/>
              <w:jc w:val="center"/>
              <w:rPr>
                <w:rFonts w:ascii="Times New Roman" w:eastAsia="Times New Roman" w:hAnsi="Times New Roman" w:cs="Times New Roman"/>
                <w:sz w:val="14"/>
                <w:szCs w:val="14"/>
              </w:rPr>
            </w:pPr>
          </w:p>
        </w:tc>
        <w:tc>
          <w:tcPr>
            <w:tcW w:w="630" w:type="dxa"/>
            <w:tcBorders>
              <w:top w:val="nil"/>
              <w:bottom w:val="nil"/>
            </w:tcBorders>
            <w:shd w:val="clear" w:color="auto" w:fill="auto"/>
            <w:noWrap/>
            <w:vAlign w:val="bottom"/>
            <w:hideMark/>
          </w:tcPr>
          <w:p w14:paraId="61E477C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c>
          <w:tcPr>
            <w:tcW w:w="810" w:type="dxa"/>
            <w:tcBorders>
              <w:top w:val="nil"/>
              <w:bottom w:val="nil"/>
            </w:tcBorders>
            <w:shd w:val="clear" w:color="auto" w:fill="auto"/>
            <w:noWrap/>
            <w:vAlign w:val="bottom"/>
            <w:hideMark/>
          </w:tcPr>
          <w:p w14:paraId="14D50AE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720" w:type="dxa"/>
            <w:tcBorders>
              <w:top w:val="nil"/>
              <w:bottom w:val="nil"/>
            </w:tcBorders>
            <w:shd w:val="clear" w:color="auto" w:fill="auto"/>
            <w:noWrap/>
            <w:vAlign w:val="bottom"/>
            <w:hideMark/>
          </w:tcPr>
          <w:p w14:paraId="4C101D6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c>
          <w:tcPr>
            <w:tcW w:w="630" w:type="dxa"/>
            <w:tcBorders>
              <w:top w:val="nil"/>
              <w:bottom w:val="nil"/>
            </w:tcBorders>
            <w:shd w:val="clear" w:color="auto" w:fill="auto"/>
            <w:noWrap/>
            <w:vAlign w:val="bottom"/>
            <w:hideMark/>
          </w:tcPr>
          <w:p w14:paraId="2145D2D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810" w:type="dxa"/>
            <w:tcBorders>
              <w:top w:val="nil"/>
              <w:bottom w:val="nil"/>
            </w:tcBorders>
            <w:shd w:val="clear" w:color="auto" w:fill="auto"/>
            <w:noWrap/>
            <w:vAlign w:val="bottom"/>
            <w:hideMark/>
          </w:tcPr>
          <w:p w14:paraId="0EB544D7" w14:textId="77777777" w:rsidR="0037350E" w:rsidRPr="0037350E" w:rsidRDefault="0037350E" w:rsidP="0037350E">
            <w:pPr>
              <w:spacing w:after="0" w:line="240" w:lineRule="auto"/>
              <w:jc w:val="center"/>
              <w:rPr>
                <w:rFonts w:ascii="Times New Roman" w:eastAsia="Times New Roman" w:hAnsi="Times New Roman" w:cs="Times New Roman"/>
                <w:sz w:val="14"/>
                <w:szCs w:val="14"/>
              </w:rPr>
            </w:pPr>
          </w:p>
        </w:tc>
        <w:tc>
          <w:tcPr>
            <w:tcW w:w="720" w:type="dxa"/>
            <w:tcBorders>
              <w:top w:val="nil"/>
              <w:bottom w:val="nil"/>
            </w:tcBorders>
            <w:shd w:val="clear" w:color="auto" w:fill="auto"/>
            <w:noWrap/>
            <w:vAlign w:val="bottom"/>
            <w:hideMark/>
          </w:tcPr>
          <w:p w14:paraId="5B1EA653" w14:textId="77777777" w:rsidR="0037350E" w:rsidRPr="0037350E" w:rsidRDefault="0037350E" w:rsidP="0037350E">
            <w:pPr>
              <w:spacing w:after="0" w:line="240" w:lineRule="auto"/>
              <w:jc w:val="center"/>
              <w:rPr>
                <w:rFonts w:ascii="Times New Roman" w:eastAsia="Times New Roman" w:hAnsi="Times New Roman" w:cs="Times New Roman"/>
                <w:sz w:val="14"/>
                <w:szCs w:val="14"/>
              </w:rPr>
            </w:pPr>
          </w:p>
        </w:tc>
        <w:tc>
          <w:tcPr>
            <w:tcW w:w="630" w:type="dxa"/>
            <w:tcBorders>
              <w:top w:val="nil"/>
              <w:bottom w:val="nil"/>
            </w:tcBorders>
            <w:shd w:val="clear" w:color="auto" w:fill="auto"/>
            <w:noWrap/>
            <w:vAlign w:val="bottom"/>
            <w:hideMark/>
          </w:tcPr>
          <w:p w14:paraId="41DF9D2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c>
          <w:tcPr>
            <w:tcW w:w="810" w:type="dxa"/>
            <w:tcBorders>
              <w:top w:val="nil"/>
              <w:bottom w:val="nil"/>
            </w:tcBorders>
            <w:shd w:val="clear" w:color="auto" w:fill="auto"/>
            <w:noWrap/>
            <w:vAlign w:val="bottom"/>
            <w:hideMark/>
          </w:tcPr>
          <w:p w14:paraId="3A9D140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p>
        </w:tc>
        <w:tc>
          <w:tcPr>
            <w:tcW w:w="720" w:type="dxa"/>
            <w:tcBorders>
              <w:top w:val="nil"/>
              <w:bottom w:val="nil"/>
            </w:tcBorders>
            <w:shd w:val="clear" w:color="auto" w:fill="auto"/>
            <w:noWrap/>
            <w:vAlign w:val="bottom"/>
            <w:hideMark/>
          </w:tcPr>
          <w:p w14:paraId="3715F3C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 </w:t>
            </w:r>
          </w:p>
        </w:tc>
      </w:tr>
      <w:tr w:rsidR="0037350E" w:rsidRPr="0037350E" w14:paraId="7732A78A" w14:textId="77777777" w:rsidTr="000606C7">
        <w:trPr>
          <w:trHeight w:val="306"/>
        </w:trPr>
        <w:tc>
          <w:tcPr>
            <w:tcW w:w="2330" w:type="dxa"/>
            <w:tcBorders>
              <w:top w:val="nil"/>
              <w:left w:val="nil"/>
              <w:bottom w:val="nil"/>
            </w:tcBorders>
            <w:shd w:val="clear" w:color="auto" w:fill="auto"/>
            <w:noWrap/>
            <w:vAlign w:val="bottom"/>
            <w:hideMark/>
          </w:tcPr>
          <w:p w14:paraId="7620A386" w14:textId="6330EDF5" w:rsidR="0037350E" w:rsidRPr="0037350E" w:rsidRDefault="00225956" w:rsidP="0037350E">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Control*D vs. Oil w</w:t>
            </w:r>
            <w:r w:rsidR="0037350E" w:rsidRPr="0037350E">
              <w:rPr>
                <w:rFonts w:ascii="Times New Roman" w:eastAsia="Times New Roman" w:hAnsi="Times New Roman" w:cs="Times New Roman"/>
                <w:color w:val="000000"/>
                <w:sz w:val="14"/>
                <w:szCs w:val="14"/>
              </w:rPr>
              <w:t>ells*D</w:t>
            </w:r>
          </w:p>
        </w:tc>
        <w:tc>
          <w:tcPr>
            <w:tcW w:w="630" w:type="dxa"/>
            <w:tcBorders>
              <w:top w:val="nil"/>
              <w:bottom w:val="nil"/>
            </w:tcBorders>
            <w:shd w:val="clear" w:color="auto" w:fill="auto"/>
            <w:noWrap/>
            <w:vAlign w:val="bottom"/>
            <w:hideMark/>
          </w:tcPr>
          <w:p w14:paraId="5D2E3BB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0.439</w:t>
            </w:r>
          </w:p>
        </w:tc>
        <w:tc>
          <w:tcPr>
            <w:tcW w:w="810" w:type="dxa"/>
            <w:tcBorders>
              <w:top w:val="nil"/>
              <w:bottom w:val="nil"/>
            </w:tcBorders>
            <w:shd w:val="clear" w:color="auto" w:fill="auto"/>
            <w:noWrap/>
            <w:vAlign w:val="bottom"/>
            <w:hideMark/>
          </w:tcPr>
          <w:p w14:paraId="51B50AC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0.164</w:t>
            </w:r>
          </w:p>
        </w:tc>
        <w:tc>
          <w:tcPr>
            <w:tcW w:w="720" w:type="dxa"/>
            <w:tcBorders>
              <w:top w:val="nil"/>
              <w:bottom w:val="nil"/>
            </w:tcBorders>
            <w:shd w:val="clear" w:color="auto" w:fill="auto"/>
            <w:noWrap/>
            <w:vAlign w:val="bottom"/>
            <w:hideMark/>
          </w:tcPr>
          <w:p w14:paraId="296B82C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0.007*</w:t>
            </w:r>
          </w:p>
        </w:tc>
        <w:tc>
          <w:tcPr>
            <w:tcW w:w="630" w:type="dxa"/>
            <w:tcBorders>
              <w:top w:val="nil"/>
              <w:bottom w:val="nil"/>
            </w:tcBorders>
            <w:shd w:val="clear" w:color="auto" w:fill="auto"/>
            <w:noWrap/>
            <w:vAlign w:val="bottom"/>
            <w:hideMark/>
          </w:tcPr>
          <w:p w14:paraId="1C86051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0.823</w:t>
            </w:r>
          </w:p>
        </w:tc>
        <w:tc>
          <w:tcPr>
            <w:tcW w:w="810" w:type="dxa"/>
            <w:tcBorders>
              <w:top w:val="nil"/>
              <w:bottom w:val="nil"/>
            </w:tcBorders>
            <w:shd w:val="clear" w:color="auto" w:fill="auto"/>
            <w:noWrap/>
            <w:vAlign w:val="bottom"/>
            <w:hideMark/>
          </w:tcPr>
          <w:p w14:paraId="5C7EC8B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0.222</w:t>
            </w:r>
          </w:p>
        </w:tc>
        <w:tc>
          <w:tcPr>
            <w:tcW w:w="720" w:type="dxa"/>
            <w:tcBorders>
              <w:top w:val="nil"/>
              <w:bottom w:val="nil"/>
            </w:tcBorders>
            <w:shd w:val="clear" w:color="auto" w:fill="auto"/>
            <w:noWrap/>
            <w:vAlign w:val="bottom"/>
            <w:hideMark/>
          </w:tcPr>
          <w:p w14:paraId="06E690D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564E32D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-0.247</w:t>
            </w:r>
          </w:p>
        </w:tc>
        <w:tc>
          <w:tcPr>
            <w:tcW w:w="810" w:type="dxa"/>
            <w:tcBorders>
              <w:top w:val="nil"/>
              <w:bottom w:val="nil"/>
            </w:tcBorders>
            <w:shd w:val="clear" w:color="auto" w:fill="auto"/>
            <w:noWrap/>
            <w:vAlign w:val="bottom"/>
            <w:hideMark/>
          </w:tcPr>
          <w:p w14:paraId="1101FDB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0.298</w:t>
            </w:r>
          </w:p>
        </w:tc>
        <w:tc>
          <w:tcPr>
            <w:tcW w:w="720" w:type="dxa"/>
            <w:tcBorders>
              <w:top w:val="nil"/>
              <w:bottom w:val="nil"/>
            </w:tcBorders>
            <w:shd w:val="clear" w:color="auto" w:fill="auto"/>
            <w:noWrap/>
            <w:vAlign w:val="bottom"/>
            <w:hideMark/>
          </w:tcPr>
          <w:p w14:paraId="146EF62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0.407</w:t>
            </w:r>
          </w:p>
        </w:tc>
        <w:tc>
          <w:tcPr>
            <w:tcW w:w="630" w:type="dxa"/>
            <w:tcBorders>
              <w:top w:val="nil"/>
              <w:bottom w:val="nil"/>
            </w:tcBorders>
            <w:shd w:val="clear" w:color="auto" w:fill="auto"/>
            <w:noWrap/>
            <w:vAlign w:val="bottom"/>
            <w:hideMark/>
          </w:tcPr>
          <w:p w14:paraId="7FE5F12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0.101</w:t>
            </w:r>
          </w:p>
        </w:tc>
        <w:tc>
          <w:tcPr>
            <w:tcW w:w="810" w:type="dxa"/>
            <w:tcBorders>
              <w:top w:val="nil"/>
              <w:bottom w:val="nil"/>
            </w:tcBorders>
            <w:shd w:val="clear" w:color="auto" w:fill="auto"/>
            <w:noWrap/>
            <w:vAlign w:val="bottom"/>
            <w:hideMark/>
          </w:tcPr>
          <w:p w14:paraId="3360A3A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0.152</w:t>
            </w:r>
          </w:p>
        </w:tc>
        <w:tc>
          <w:tcPr>
            <w:tcW w:w="720" w:type="dxa"/>
            <w:tcBorders>
              <w:top w:val="nil"/>
              <w:bottom w:val="nil"/>
            </w:tcBorders>
            <w:shd w:val="clear" w:color="auto" w:fill="auto"/>
            <w:noWrap/>
            <w:vAlign w:val="bottom"/>
            <w:hideMark/>
          </w:tcPr>
          <w:p w14:paraId="1D742DA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0.506</w:t>
            </w:r>
          </w:p>
        </w:tc>
        <w:tc>
          <w:tcPr>
            <w:tcW w:w="630" w:type="dxa"/>
            <w:tcBorders>
              <w:top w:val="nil"/>
              <w:bottom w:val="nil"/>
            </w:tcBorders>
            <w:shd w:val="clear" w:color="auto" w:fill="auto"/>
            <w:noWrap/>
            <w:vAlign w:val="bottom"/>
            <w:hideMark/>
          </w:tcPr>
          <w:p w14:paraId="0D07C7D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0.062</w:t>
            </w:r>
          </w:p>
        </w:tc>
        <w:tc>
          <w:tcPr>
            <w:tcW w:w="810" w:type="dxa"/>
            <w:tcBorders>
              <w:top w:val="nil"/>
              <w:bottom w:val="nil"/>
            </w:tcBorders>
            <w:shd w:val="clear" w:color="auto" w:fill="auto"/>
            <w:noWrap/>
            <w:vAlign w:val="bottom"/>
            <w:hideMark/>
          </w:tcPr>
          <w:p w14:paraId="7E8A661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0.515</w:t>
            </w:r>
          </w:p>
        </w:tc>
        <w:tc>
          <w:tcPr>
            <w:tcW w:w="720" w:type="dxa"/>
            <w:tcBorders>
              <w:top w:val="nil"/>
              <w:bottom w:val="nil"/>
            </w:tcBorders>
            <w:shd w:val="clear" w:color="auto" w:fill="auto"/>
            <w:noWrap/>
            <w:vAlign w:val="bottom"/>
            <w:hideMark/>
          </w:tcPr>
          <w:p w14:paraId="1E7B31C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0.904</w:t>
            </w:r>
          </w:p>
        </w:tc>
      </w:tr>
      <w:tr w:rsidR="0037350E" w:rsidRPr="0037350E" w14:paraId="7765A085" w14:textId="77777777" w:rsidTr="000606C7">
        <w:trPr>
          <w:trHeight w:val="118"/>
        </w:trPr>
        <w:tc>
          <w:tcPr>
            <w:tcW w:w="2330" w:type="dxa"/>
            <w:tcBorders>
              <w:top w:val="nil"/>
              <w:left w:val="nil"/>
              <w:bottom w:val="nil"/>
            </w:tcBorders>
            <w:shd w:val="clear" w:color="auto" w:fill="auto"/>
            <w:noWrap/>
            <w:vAlign w:val="bottom"/>
            <w:hideMark/>
          </w:tcPr>
          <w:p w14:paraId="6D525510"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Control*D vs. Gen.-powered PJ*D</w:t>
            </w:r>
          </w:p>
        </w:tc>
        <w:tc>
          <w:tcPr>
            <w:tcW w:w="630" w:type="dxa"/>
            <w:tcBorders>
              <w:top w:val="nil"/>
              <w:bottom w:val="nil"/>
            </w:tcBorders>
            <w:shd w:val="clear" w:color="auto" w:fill="auto"/>
            <w:noWrap/>
            <w:vAlign w:val="bottom"/>
            <w:hideMark/>
          </w:tcPr>
          <w:p w14:paraId="0A96317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0.540</w:t>
            </w:r>
          </w:p>
        </w:tc>
        <w:tc>
          <w:tcPr>
            <w:tcW w:w="810" w:type="dxa"/>
            <w:tcBorders>
              <w:top w:val="nil"/>
              <w:bottom w:val="nil"/>
            </w:tcBorders>
            <w:shd w:val="clear" w:color="auto" w:fill="auto"/>
            <w:noWrap/>
            <w:vAlign w:val="bottom"/>
            <w:hideMark/>
          </w:tcPr>
          <w:p w14:paraId="3EF35B7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0.192</w:t>
            </w:r>
          </w:p>
        </w:tc>
        <w:tc>
          <w:tcPr>
            <w:tcW w:w="720" w:type="dxa"/>
            <w:tcBorders>
              <w:top w:val="nil"/>
              <w:bottom w:val="nil"/>
            </w:tcBorders>
            <w:shd w:val="clear" w:color="auto" w:fill="auto"/>
            <w:noWrap/>
            <w:vAlign w:val="bottom"/>
            <w:hideMark/>
          </w:tcPr>
          <w:p w14:paraId="1908026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0.005*</w:t>
            </w:r>
          </w:p>
        </w:tc>
        <w:tc>
          <w:tcPr>
            <w:tcW w:w="630" w:type="dxa"/>
            <w:tcBorders>
              <w:top w:val="nil"/>
              <w:bottom w:val="nil"/>
            </w:tcBorders>
            <w:shd w:val="clear" w:color="auto" w:fill="auto"/>
            <w:noWrap/>
            <w:vAlign w:val="bottom"/>
            <w:hideMark/>
          </w:tcPr>
          <w:p w14:paraId="634FEE2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0.867</w:t>
            </w:r>
          </w:p>
        </w:tc>
        <w:tc>
          <w:tcPr>
            <w:tcW w:w="810" w:type="dxa"/>
            <w:tcBorders>
              <w:top w:val="nil"/>
              <w:bottom w:val="nil"/>
            </w:tcBorders>
            <w:shd w:val="clear" w:color="auto" w:fill="auto"/>
            <w:noWrap/>
            <w:vAlign w:val="bottom"/>
            <w:hideMark/>
          </w:tcPr>
          <w:p w14:paraId="0C70EAE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0.279</w:t>
            </w:r>
          </w:p>
        </w:tc>
        <w:tc>
          <w:tcPr>
            <w:tcW w:w="720" w:type="dxa"/>
            <w:tcBorders>
              <w:top w:val="nil"/>
              <w:bottom w:val="nil"/>
            </w:tcBorders>
            <w:shd w:val="clear" w:color="auto" w:fill="auto"/>
            <w:noWrap/>
            <w:vAlign w:val="bottom"/>
            <w:hideMark/>
          </w:tcPr>
          <w:p w14:paraId="62F0360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0.002*</w:t>
            </w:r>
          </w:p>
        </w:tc>
        <w:tc>
          <w:tcPr>
            <w:tcW w:w="630" w:type="dxa"/>
            <w:tcBorders>
              <w:top w:val="nil"/>
              <w:bottom w:val="nil"/>
            </w:tcBorders>
            <w:shd w:val="clear" w:color="auto" w:fill="auto"/>
            <w:noWrap/>
            <w:vAlign w:val="bottom"/>
            <w:hideMark/>
          </w:tcPr>
          <w:p w14:paraId="34554E0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-0.142</w:t>
            </w:r>
          </w:p>
        </w:tc>
        <w:tc>
          <w:tcPr>
            <w:tcW w:w="810" w:type="dxa"/>
            <w:tcBorders>
              <w:top w:val="nil"/>
              <w:bottom w:val="nil"/>
            </w:tcBorders>
            <w:shd w:val="clear" w:color="auto" w:fill="auto"/>
            <w:noWrap/>
            <w:vAlign w:val="bottom"/>
            <w:hideMark/>
          </w:tcPr>
          <w:p w14:paraId="47A0730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0.345</w:t>
            </w:r>
          </w:p>
        </w:tc>
        <w:tc>
          <w:tcPr>
            <w:tcW w:w="720" w:type="dxa"/>
            <w:tcBorders>
              <w:top w:val="nil"/>
              <w:bottom w:val="nil"/>
            </w:tcBorders>
            <w:shd w:val="clear" w:color="auto" w:fill="auto"/>
            <w:noWrap/>
            <w:vAlign w:val="bottom"/>
            <w:hideMark/>
          </w:tcPr>
          <w:p w14:paraId="7169F51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0.967</w:t>
            </w:r>
          </w:p>
        </w:tc>
        <w:tc>
          <w:tcPr>
            <w:tcW w:w="630" w:type="dxa"/>
            <w:tcBorders>
              <w:top w:val="nil"/>
              <w:bottom w:val="nil"/>
            </w:tcBorders>
            <w:shd w:val="clear" w:color="auto" w:fill="auto"/>
            <w:noWrap/>
            <w:vAlign w:val="bottom"/>
            <w:hideMark/>
          </w:tcPr>
          <w:p w14:paraId="08EC3E8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-0.024</w:t>
            </w:r>
          </w:p>
        </w:tc>
        <w:tc>
          <w:tcPr>
            <w:tcW w:w="810" w:type="dxa"/>
            <w:tcBorders>
              <w:top w:val="nil"/>
              <w:bottom w:val="nil"/>
            </w:tcBorders>
            <w:shd w:val="clear" w:color="auto" w:fill="auto"/>
            <w:noWrap/>
            <w:vAlign w:val="bottom"/>
            <w:hideMark/>
          </w:tcPr>
          <w:p w14:paraId="6A26E24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0.109</w:t>
            </w:r>
          </w:p>
        </w:tc>
        <w:tc>
          <w:tcPr>
            <w:tcW w:w="720" w:type="dxa"/>
            <w:tcBorders>
              <w:top w:val="nil"/>
              <w:bottom w:val="nil"/>
            </w:tcBorders>
            <w:shd w:val="clear" w:color="auto" w:fill="auto"/>
            <w:noWrap/>
            <w:vAlign w:val="bottom"/>
            <w:hideMark/>
          </w:tcPr>
          <w:p w14:paraId="70C2E06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0.826</w:t>
            </w:r>
          </w:p>
        </w:tc>
        <w:tc>
          <w:tcPr>
            <w:tcW w:w="630" w:type="dxa"/>
            <w:tcBorders>
              <w:top w:val="nil"/>
              <w:bottom w:val="nil"/>
            </w:tcBorders>
            <w:shd w:val="clear" w:color="auto" w:fill="auto"/>
            <w:noWrap/>
            <w:vAlign w:val="bottom"/>
            <w:hideMark/>
          </w:tcPr>
          <w:p w14:paraId="7F28CFB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1.368</w:t>
            </w:r>
          </w:p>
        </w:tc>
        <w:tc>
          <w:tcPr>
            <w:tcW w:w="810" w:type="dxa"/>
            <w:tcBorders>
              <w:top w:val="nil"/>
              <w:bottom w:val="nil"/>
            </w:tcBorders>
            <w:shd w:val="clear" w:color="auto" w:fill="auto"/>
            <w:noWrap/>
            <w:vAlign w:val="bottom"/>
            <w:hideMark/>
          </w:tcPr>
          <w:p w14:paraId="5BB5DE7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0.691</w:t>
            </w:r>
          </w:p>
        </w:tc>
        <w:tc>
          <w:tcPr>
            <w:tcW w:w="720" w:type="dxa"/>
            <w:tcBorders>
              <w:top w:val="nil"/>
              <w:bottom w:val="nil"/>
            </w:tcBorders>
            <w:shd w:val="clear" w:color="auto" w:fill="auto"/>
            <w:noWrap/>
            <w:vAlign w:val="bottom"/>
            <w:hideMark/>
          </w:tcPr>
          <w:p w14:paraId="6B24A1F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0.048*</w:t>
            </w:r>
          </w:p>
        </w:tc>
      </w:tr>
      <w:tr w:rsidR="0037350E" w:rsidRPr="0037350E" w14:paraId="790567C8" w14:textId="77777777" w:rsidTr="000606C7">
        <w:trPr>
          <w:trHeight w:val="128"/>
        </w:trPr>
        <w:tc>
          <w:tcPr>
            <w:tcW w:w="2330" w:type="dxa"/>
            <w:tcBorders>
              <w:top w:val="nil"/>
              <w:left w:val="nil"/>
              <w:bottom w:val="nil"/>
            </w:tcBorders>
            <w:shd w:val="clear" w:color="auto" w:fill="auto"/>
            <w:noWrap/>
            <w:vAlign w:val="bottom"/>
            <w:hideMark/>
          </w:tcPr>
          <w:p w14:paraId="10CC05D5"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Control*D vs. Gen.-powered SP*D</w:t>
            </w:r>
          </w:p>
        </w:tc>
        <w:tc>
          <w:tcPr>
            <w:tcW w:w="630" w:type="dxa"/>
            <w:tcBorders>
              <w:top w:val="nil"/>
              <w:bottom w:val="nil"/>
            </w:tcBorders>
            <w:shd w:val="clear" w:color="auto" w:fill="auto"/>
            <w:noWrap/>
            <w:vAlign w:val="bottom"/>
            <w:hideMark/>
          </w:tcPr>
          <w:p w14:paraId="7E08651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0.400</w:t>
            </w:r>
          </w:p>
        </w:tc>
        <w:tc>
          <w:tcPr>
            <w:tcW w:w="810" w:type="dxa"/>
            <w:tcBorders>
              <w:top w:val="nil"/>
              <w:bottom w:val="nil"/>
            </w:tcBorders>
            <w:shd w:val="clear" w:color="auto" w:fill="auto"/>
            <w:noWrap/>
            <w:vAlign w:val="bottom"/>
            <w:hideMark/>
          </w:tcPr>
          <w:p w14:paraId="231A08D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0.283</w:t>
            </w:r>
          </w:p>
        </w:tc>
        <w:tc>
          <w:tcPr>
            <w:tcW w:w="720" w:type="dxa"/>
            <w:tcBorders>
              <w:top w:val="nil"/>
              <w:bottom w:val="nil"/>
            </w:tcBorders>
            <w:shd w:val="clear" w:color="auto" w:fill="auto"/>
            <w:noWrap/>
            <w:vAlign w:val="bottom"/>
            <w:hideMark/>
          </w:tcPr>
          <w:p w14:paraId="38D27EB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0.164</w:t>
            </w:r>
          </w:p>
        </w:tc>
        <w:tc>
          <w:tcPr>
            <w:tcW w:w="630" w:type="dxa"/>
            <w:tcBorders>
              <w:top w:val="nil"/>
              <w:bottom w:val="nil"/>
            </w:tcBorders>
            <w:shd w:val="clear" w:color="auto" w:fill="auto"/>
            <w:noWrap/>
            <w:vAlign w:val="bottom"/>
            <w:hideMark/>
          </w:tcPr>
          <w:p w14:paraId="7E54256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0.659</w:t>
            </w:r>
          </w:p>
        </w:tc>
        <w:tc>
          <w:tcPr>
            <w:tcW w:w="810" w:type="dxa"/>
            <w:tcBorders>
              <w:top w:val="nil"/>
              <w:bottom w:val="nil"/>
            </w:tcBorders>
            <w:shd w:val="clear" w:color="auto" w:fill="auto"/>
            <w:noWrap/>
            <w:vAlign w:val="bottom"/>
            <w:hideMark/>
          </w:tcPr>
          <w:p w14:paraId="7D2C6C2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0.342</w:t>
            </w:r>
          </w:p>
        </w:tc>
        <w:tc>
          <w:tcPr>
            <w:tcW w:w="720" w:type="dxa"/>
            <w:tcBorders>
              <w:top w:val="nil"/>
              <w:bottom w:val="nil"/>
            </w:tcBorders>
            <w:shd w:val="clear" w:color="auto" w:fill="auto"/>
            <w:noWrap/>
            <w:vAlign w:val="bottom"/>
            <w:hideMark/>
          </w:tcPr>
          <w:p w14:paraId="2C3D54B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0.054*</w:t>
            </w:r>
          </w:p>
        </w:tc>
        <w:tc>
          <w:tcPr>
            <w:tcW w:w="630" w:type="dxa"/>
            <w:tcBorders>
              <w:top w:val="nil"/>
              <w:bottom w:val="nil"/>
            </w:tcBorders>
            <w:shd w:val="clear" w:color="auto" w:fill="auto"/>
            <w:noWrap/>
            <w:vAlign w:val="bottom"/>
            <w:hideMark/>
          </w:tcPr>
          <w:p w14:paraId="47E75D1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-1.082</w:t>
            </w:r>
          </w:p>
        </w:tc>
        <w:tc>
          <w:tcPr>
            <w:tcW w:w="810" w:type="dxa"/>
            <w:tcBorders>
              <w:top w:val="nil"/>
              <w:bottom w:val="nil"/>
            </w:tcBorders>
            <w:shd w:val="clear" w:color="auto" w:fill="auto"/>
            <w:noWrap/>
            <w:vAlign w:val="bottom"/>
            <w:hideMark/>
          </w:tcPr>
          <w:p w14:paraId="11EA7A0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0.403</w:t>
            </w:r>
          </w:p>
        </w:tc>
        <w:tc>
          <w:tcPr>
            <w:tcW w:w="720" w:type="dxa"/>
            <w:tcBorders>
              <w:top w:val="nil"/>
              <w:bottom w:val="nil"/>
            </w:tcBorders>
            <w:shd w:val="clear" w:color="auto" w:fill="auto"/>
            <w:noWrap/>
            <w:vAlign w:val="bottom"/>
            <w:hideMark/>
          </w:tcPr>
          <w:p w14:paraId="6B57DCA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0.007*</w:t>
            </w:r>
          </w:p>
        </w:tc>
        <w:tc>
          <w:tcPr>
            <w:tcW w:w="630" w:type="dxa"/>
            <w:tcBorders>
              <w:top w:val="nil"/>
              <w:bottom w:val="nil"/>
            </w:tcBorders>
            <w:shd w:val="clear" w:color="auto" w:fill="auto"/>
            <w:noWrap/>
            <w:vAlign w:val="bottom"/>
            <w:hideMark/>
          </w:tcPr>
          <w:p w14:paraId="24B9779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0.164</w:t>
            </w:r>
          </w:p>
        </w:tc>
        <w:tc>
          <w:tcPr>
            <w:tcW w:w="810" w:type="dxa"/>
            <w:tcBorders>
              <w:top w:val="nil"/>
              <w:bottom w:val="nil"/>
            </w:tcBorders>
            <w:shd w:val="clear" w:color="auto" w:fill="auto"/>
            <w:noWrap/>
            <w:vAlign w:val="bottom"/>
            <w:hideMark/>
          </w:tcPr>
          <w:p w14:paraId="7A2CE1C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0.150</w:t>
            </w:r>
          </w:p>
        </w:tc>
        <w:tc>
          <w:tcPr>
            <w:tcW w:w="720" w:type="dxa"/>
            <w:tcBorders>
              <w:top w:val="nil"/>
              <w:bottom w:val="nil"/>
            </w:tcBorders>
            <w:shd w:val="clear" w:color="auto" w:fill="auto"/>
            <w:noWrap/>
            <w:vAlign w:val="bottom"/>
            <w:hideMark/>
          </w:tcPr>
          <w:p w14:paraId="26DF2D1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0.273</w:t>
            </w:r>
          </w:p>
        </w:tc>
        <w:tc>
          <w:tcPr>
            <w:tcW w:w="630" w:type="dxa"/>
            <w:tcBorders>
              <w:top w:val="nil"/>
              <w:bottom w:val="nil"/>
            </w:tcBorders>
            <w:shd w:val="clear" w:color="auto" w:fill="auto"/>
            <w:noWrap/>
            <w:vAlign w:val="bottom"/>
            <w:hideMark/>
          </w:tcPr>
          <w:p w14:paraId="5AD0DCF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-0.451</w:t>
            </w:r>
          </w:p>
        </w:tc>
        <w:tc>
          <w:tcPr>
            <w:tcW w:w="810" w:type="dxa"/>
            <w:tcBorders>
              <w:top w:val="nil"/>
              <w:bottom w:val="nil"/>
            </w:tcBorders>
            <w:shd w:val="clear" w:color="auto" w:fill="auto"/>
            <w:noWrap/>
            <w:vAlign w:val="bottom"/>
            <w:hideMark/>
          </w:tcPr>
          <w:p w14:paraId="19BA9A6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0.657</w:t>
            </w:r>
          </w:p>
        </w:tc>
        <w:tc>
          <w:tcPr>
            <w:tcW w:w="720" w:type="dxa"/>
            <w:tcBorders>
              <w:top w:val="nil"/>
              <w:bottom w:val="nil"/>
            </w:tcBorders>
            <w:shd w:val="clear" w:color="auto" w:fill="auto"/>
            <w:noWrap/>
            <w:vAlign w:val="bottom"/>
            <w:hideMark/>
          </w:tcPr>
          <w:p w14:paraId="26C1EF4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0.492</w:t>
            </w:r>
          </w:p>
        </w:tc>
      </w:tr>
      <w:tr w:rsidR="0037350E" w:rsidRPr="0037350E" w14:paraId="52B24D83" w14:textId="77777777" w:rsidTr="000606C7">
        <w:trPr>
          <w:trHeight w:val="177"/>
        </w:trPr>
        <w:tc>
          <w:tcPr>
            <w:tcW w:w="2330" w:type="dxa"/>
            <w:tcBorders>
              <w:top w:val="nil"/>
              <w:left w:val="nil"/>
              <w:bottom w:val="nil"/>
            </w:tcBorders>
            <w:shd w:val="clear" w:color="auto" w:fill="auto"/>
            <w:noWrap/>
            <w:vAlign w:val="bottom"/>
            <w:hideMark/>
          </w:tcPr>
          <w:p w14:paraId="5F6B608F" w14:textId="71F2C515" w:rsidR="0037350E" w:rsidRPr="0037350E" w:rsidRDefault="00225956" w:rsidP="0037350E">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Gen.-powered PJ*D vs. Gen.</w:t>
            </w:r>
            <w:r w:rsidR="0037350E" w:rsidRPr="0037350E">
              <w:rPr>
                <w:rFonts w:ascii="Times New Roman" w:eastAsia="Times New Roman" w:hAnsi="Times New Roman" w:cs="Times New Roman"/>
                <w:color w:val="000000"/>
                <w:sz w:val="14"/>
                <w:szCs w:val="14"/>
              </w:rPr>
              <w:t>-powered SP*D</w:t>
            </w:r>
          </w:p>
        </w:tc>
        <w:tc>
          <w:tcPr>
            <w:tcW w:w="630" w:type="dxa"/>
            <w:tcBorders>
              <w:top w:val="nil"/>
              <w:bottom w:val="nil"/>
            </w:tcBorders>
            <w:shd w:val="clear" w:color="auto" w:fill="auto"/>
            <w:noWrap/>
            <w:vAlign w:val="bottom"/>
            <w:hideMark/>
          </w:tcPr>
          <w:p w14:paraId="3564465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-0.145</w:t>
            </w:r>
          </w:p>
        </w:tc>
        <w:tc>
          <w:tcPr>
            <w:tcW w:w="810" w:type="dxa"/>
            <w:tcBorders>
              <w:top w:val="nil"/>
              <w:bottom w:val="nil"/>
            </w:tcBorders>
            <w:shd w:val="clear" w:color="auto" w:fill="auto"/>
            <w:noWrap/>
            <w:vAlign w:val="bottom"/>
            <w:hideMark/>
          </w:tcPr>
          <w:p w14:paraId="62EC0D4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0.306</w:t>
            </w:r>
          </w:p>
        </w:tc>
        <w:tc>
          <w:tcPr>
            <w:tcW w:w="720" w:type="dxa"/>
            <w:tcBorders>
              <w:top w:val="nil"/>
              <w:bottom w:val="nil"/>
            </w:tcBorders>
            <w:shd w:val="clear" w:color="auto" w:fill="auto"/>
            <w:noWrap/>
            <w:vAlign w:val="bottom"/>
            <w:hideMark/>
          </w:tcPr>
          <w:p w14:paraId="14C6AFD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0.635</w:t>
            </w:r>
          </w:p>
        </w:tc>
        <w:tc>
          <w:tcPr>
            <w:tcW w:w="630" w:type="dxa"/>
            <w:tcBorders>
              <w:top w:val="nil"/>
              <w:bottom w:val="nil"/>
            </w:tcBorders>
            <w:shd w:val="clear" w:color="auto" w:fill="auto"/>
            <w:noWrap/>
            <w:vAlign w:val="bottom"/>
            <w:hideMark/>
          </w:tcPr>
          <w:p w14:paraId="2555A54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-0.222</w:t>
            </w:r>
          </w:p>
        </w:tc>
        <w:tc>
          <w:tcPr>
            <w:tcW w:w="810" w:type="dxa"/>
            <w:tcBorders>
              <w:top w:val="nil"/>
              <w:bottom w:val="nil"/>
            </w:tcBorders>
            <w:shd w:val="clear" w:color="auto" w:fill="auto"/>
            <w:noWrap/>
            <w:vAlign w:val="bottom"/>
            <w:hideMark/>
          </w:tcPr>
          <w:p w14:paraId="61B24F2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0.412</w:t>
            </w:r>
          </w:p>
        </w:tc>
        <w:tc>
          <w:tcPr>
            <w:tcW w:w="720" w:type="dxa"/>
            <w:tcBorders>
              <w:top w:val="nil"/>
              <w:bottom w:val="nil"/>
            </w:tcBorders>
            <w:shd w:val="clear" w:color="auto" w:fill="auto"/>
            <w:noWrap/>
            <w:vAlign w:val="bottom"/>
            <w:hideMark/>
          </w:tcPr>
          <w:p w14:paraId="1093C4D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0.590</w:t>
            </w:r>
          </w:p>
        </w:tc>
        <w:tc>
          <w:tcPr>
            <w:tcW w:w="630" w:type="dxa"/>
            <w:tcBorders>
              <w:top w:val="nil"/>
              <w:bottom w:val="nil"/>
            </w:tcBorders>
            <w:shd w:val="clear" w:color="auto" w:fill="auto"/>
            <w:noWrap/>
            <w:vAlign w:val="bottom"/>
            <w:hideMark/>
          </w:tcPr>
          <w:p w14:paraId="0FF349F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-1.066</w:t>
            </w:r>
          </w:p>
        </w:tc>
        <w:tc>
          <w:tcPr>
            <w:tcW w:w="810" w:type="dxa"/>
            <w:tcBorders>
              <w:top w:val="nil"/>
              <w:bottom w:val="nil"/>
            </w:tcBorders>
            <w:shd w:val="clear" w:color="auto" w:fill="auto"/>
            <w:noWrap/>
            <w:vAlign w:val="bottom"/>
            <w:hideMark/>
          </w:tcPr>
          <w:p w14:paraId="036A5F9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0.392</w:t>
            </w:r>
          </w:p>
        </w:tc>
        <w:tc>
          <w:tcPr>
            <w:tcW w:w="720" w:type="dxa"/>
            <w:tcBorders>
              <w:top w:val="nil"/>
              <w:bottom w:val="nil"/>
            </w:tcBorders>
            <w:shd w:val="clear" w:color="auto" w:fill="auto"/>
            <w:noWrap/>
            <w:vAlign w:val="bottom"/>
            <w:hideMark/>
          </w:tcPr>
          <w:p w14:paraId="22E277F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0.007*</w:t>
            </w:r>
          </w:p>
        </w:tc>
        <w:tc>
          <w:tcPr>
            <w:tcW w:w="630" w:type="dxa"/>
            <w:tcBorders>
              <w:top w:val="nil"/>
              <w:bottom w:val="nil"/>
            </w:tcBorders>
            <w:shd w:val="clear" w:color="auto" w:fill="auto"/>
            <w:noWrap/>
            <w:vAlign w:val="bottom"/>
            <w:hideMark/>
          </w:tcPr>
          <w:p w14:paraId="6521944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0.188</w:t>
            </w:r>
          </w:p>
        </w:tc>
        <w:tc>
          <w:tcPr>
            <w:tcW w:w="810" w:type="dxa"/>
            <w:tcBorders>
              <w:top w:val="nil"/>
              <w:bottom w:val="nil"/>
            </w:tcBorders>
            <w:shd w:val="clear" w:color="auto" w:fill="auto"/>
            <w:noWrap/>
            <w:vAlign w:val="bottom"/>
            <w:hideMark/>
          </w:tcPr>
          <w:p w14:paraId="5442353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0.155</w:t>
            </w:r>
          </w:p>
        </w:tc>
        <w:tc>
          <w:tcPr>
            <w:tcW w:w="720" w:type="dxa"/>
            <w:tcBorders>
              <w:top w:val="nil"/>
              <w:bottom w:val="nil"/>
            </w:tcBorders>
            <w:shd w:val="clear" w:color="auto" w:fill="auto"/>
            <w:noWrap/>
            <w:vAlign w:val="bottom"/>
            <w:hideMark/>
          </w:tcPr>
          <w:p w14:paraId="0AFF8AF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0.227</w:t>
            </w:r>
          </w:p>
        </w:tc>
        <w:tc>
          <w:tcPr>
            <w:tcW w:w="630" w:type="dxa"/>
            <w:tcBorders>
              <w:top w:val="nil"/>
              <w:bottom w:val="nil"/>
            </w:tcBorders>
            <w:shd w:val="clear" w:color="auto" w:fill="auto"/>
            <w:noWrap/>
            <w:vAlign w:val="bottom"/>
            <w:hideMark/>
          </w:tcPr>
          <w:p w14:paraId="0884053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-1.890</w:t>
            </w:r>
          </w:p>
        </w:tc>
        <w:tc>
          <w:tcPr>
            <w:tcW w:w="810" w:type="dxa"/>
            <w:tcBorders>
              <w:top w:val="nil"/>
              <w:bottom w:val="nil"/>
            </w:tcBorders>
            <w:shd w:val="clear" w:color="auto" w:fill="auto"/>
            <w:noWrap/>
            <w:vAlign w:val="bottom"/>
            <w:hideMark/>
          </w:tcPr>
          <w:p w14:paraId="4BC9121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0.799</w:t>
            </w:r>
          </w:p>
        </w:tc>
        <w:tc>
          <w:tcPr>
            <w:tcW w:w="720" w:type="dxa"/>
            <w:tcBorders>
              <w:top w:val="nil"/>
              <w:bottom w:val="nil"/>
            </w:tcBorders>
            <w:shd w:val="clear" w:color="auto" w:fill="auto"/>
            <w:noWrap/>
            <w:vAlign w:val="bottom"/>
            <w:hideMark/>
          </w:tcPr>
          <w:p w14:paraId="7BC86AB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0.018*</w:t>
            </w:r>
          </w:p>
        </w:tc>
      </w:tr>
      <w:tr w:rsidR="0037350E" w:rsidRPr="0037350E" w14:paraId="0154E5BA" w14:textId="77777777" w:rsidTr="000606C7">
        <w:trPr>
          <w:trHeight w:val="87"/>
        </w:trPr>
        <w:tc>
          <w:tcPr>
            <w:tcW w:w="2330" w:type="dxa"/>
            <w:tcBorders>
              <w:top w:val="nil"/>
              <w:left w:val="nil"/>
              <w:bottom w:val="nil"/>
            </w:tcBorders>
            <w:shd w:val="clear" w:color="auto" w:fill="auto"/>
            <w:noWrap/>
            <w:vAlign w:val="bottom"/>
            <w:hideMark/>
          </w:tcPr>
          <w:p w14:paraId="1D54776E"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Control*D vs. Grid-powered SP*D</w:t>
            </w:r>
          </w:p>
        </w:tc>
        <w:tc>
          <w:tcPr>
            <w:tcW w:w="630" w:type="dxa"/>
            <w:tcBorders>
              <w:top w:val="nil"/>
              <w:bottom w:val="nil"/>
            </w:tcBorders>
            <w:shd w:val="clear" w:color="auto" w:fill="auto"/>
            <w:noWrap/>
            <w:vAlign w:val="bottom"/>
            <w:hideMark/>
          </w:tcPr>
          <w:p w14:paraId="4C766C7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0.124</w:t>
            </w:r>
          </w:p>
        </w:tc>
        <w:tc>
          <w:tcPr>
            <w:tcW w:w="810" w:type="dxa"/>
            <w:tcBorders>
              <w:top w:val="nil"/>
              <w:bottom w:val="nil"/>
            </w:tcBorders>
            <w:shd w:val="clear" w:color="auto" w:fill="auto"/>
            <w:noWrap/>
            <w:vAlign w:val="bottom"/>
            <w:hideMark/>
          </w:tcPr>
          <w:p w14:paraId="762BB8D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0.314</w:t>
            </w:r>
          </w:p>
        </w:tc>
        <w:tc>
          <w:tcPr>
            <w:tcW w:w="720" w:type="dxa"/>
            <w:tcBorders>
              <w:top w:val="nil"/>
              <w:bottom w:val="nil"/>
            </w:tcBorders>
            <w:shd w:val="clear" w:color="auto" w:fill="auto"/>
            <w:noWrap/>
            <w:vAlign w:val="bottom"/>
            <w:hideMark/>
          </w:tcPr>
          <w:p w14:paraId="065FF9D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0.694</w:t>
            </w:r>
          </w:p>
        </w:tc>
        <w:tc>
          <w:tcPr>
            <w:tcW w:w="630" w:type="dxa"/>
            <w:tcBorders>
              <w:top w:val="nil"/>
              <w:bottom w:val="nil"/>
            </w:tcBorders>
            <w:shd w:val="clear" w:color="auto" w:fill="auto"/>
            <w:noWrap/>
            <w:vAlign w:val="bottom"/>
            <w:hideMark/>
          </w:tcPr>
          <w:p w14:paraId="2B01454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0.650</w:t>
            </w:r>
          </w:p>
        </w:tc>
        <w:tc>
          <w:tcPr>
            <w:tcW w:w="810" w:type="dxa"/>
            <w:tcBorders>
              <w:top w:val="nil"/>
              <w:bottom w:val="nil"/>
            </w:tcBorders>
            <w:shd w:val="clear" w:color="auto" w:fill="auto"/>
            <w:noWrap/>
            <w:vAlign w:val="bottom"/>
            <w:hideMark/>
          </w:tcPr>
          <w:p w14:paraId="6ACAFB1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0.342</w:t>
            </w:r>
          </w:p>
        </w:tc>
        <w:tc>
          <w:tcPr>
            <w:tcW w:w="720" w:type="dxa"/>
            <w:tcBorders>
              <w:top w:val="nil"/>
              <w:bottom w:val="nil"/>
            </w:tcBorders>
            <w:shd w:val="clear" w:color="auto" w:fill="auto"/>
            <w:noWrap/>
            <w:vAlign w:val="bottom"/>
            <w:hideMark/>
          </w:tcPr>
          <w:p w14:paraId="080FCD2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0.534*</w:t>
            </w:r>
          </w:p>
        </w:tc>
        <w:tc>
          <w:tcPr>
            <w:tcW w:w="630" w:type="dxa"/>
            <w:tcBorders>
              <w:top w:val="nil"/>
              <w:bottom w:val="nil"/>
            </w:tcBorders>
            <w:shd w:val="clear" w:color="auto" w:fill="auto"/>
            <w:noWrap/>
            <w:vAlign w:val="bottom"/>
            <w:hideMark/>
          </w:tcPr>
          <w:p w14:paraId="613EB16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-1.075</w:t>
            </w:r>
          </w:p>
        </w:tc>
        <w:tc>
          <w:tcPr>
            <w:tcW w:w="810" w:type="dxa"/>
            <w:tcBorders>
              <w:top w:val="nil"/>
              <w:bottom w:val="nil"/>
            </w:tcBorders>
            <w:shd w:val="clear" w:color="auto" w:fill="auto"/>
            <w:noWrap/>
            <w:vAlign w:val="bottom"/>
            <w:hideMark/>
          </w:tcPr>
          <w:p w14:paraId="3D29956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0.403</w:t>
            </w:r>
          </w:p>
        </w:tc>
        <w:tc>
          <w:tcPr>
            <w:tcW w:w="720" w:type="dxa"/>
            <w:tcBorders>
              <w:top w:val="nil"/>
              <w:bottom w:val="nil"/>
            </w:tcBorders>
            <w:shd w:val="clear" w:color="auto" w:fill="auto"/>
            <w:noWrap/>
            <w:vAlign w:val="bottom"/>
            <w:hideMark/>
          </w:tcPr>
          <w:p w14:paraId="7F54DB4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0.008*</w:t>
            </w:r>
          </w:p>
        </w:tc>
        <w:tc>
          <w:tcPr>
            <w:tcW w:w="630" w:type="dxa"/>
            <w:tcBorders>
              <w:top w:val="nil"/>
              <w:bottom w:val="nil"/>
            </w:tcBorders>
            <w:shd w:val="clear" w:color="auto" w:fill="auto"/>
            <w:noWrap/>
            <w:vAlign w:val="bottom"/>
            <w:hideMark/>
          </w:tcPr>
          <w:p w14:paraId="756DAE6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0.157</w:t>
            </w:r>
          </w:p>
        </w:tc>
        <w:tc>
          <w:tcPr>
            <w:tcW w:w="810" w:type="dxa"/>
            <w:tcBorders>
              <w:top w:val="nil"/>
              <w:bottom w:val="nil"/>
            </w:tcBorders>
            <w:shd w:val="clear" w:color="auto" w:fill="auto"/>
            <w:noWrap/>
            <w:vAlign w:val="bottom"/>
            <w:hideMark/>
          </w:tcPr>
          <w:p w14:paraId="0BC87D7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0.141</w:t>
            </w:r>
          </w:p>
        </w:tc>
        <w:tc>
          <w:tcPr>
            <w:tcW w:w="720" w:type="dxa"/>
            <w:tcBorders>
              <w:top w:val="nil"/>
              <w:bottom w:val="nil"/>
            </w:tcBorders>
            <w:shd w:val="clear" w:color="auto" w:fill="auto"/>
            <w:noWrap/>
            <w:vAlign w:val="bottom"/>
            <w:hideMark/>
          </w:tcPr>
          <w:p w14:paraId="2581DBD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0.268</w:t>
            </w:r>
          </w:p>
        </w:tc>
        <w:tc>
          <w:tcPr>
            <w:tcW w:w="630" w:type="dxa"/>
            <w:tcBorders>
              <w:top w:val="nil"/>
              <w:bottom w:val="nil"/>
            </w:tcBorders>
            <w:shd w:val="clear" w:color="auto" w:fill="auto"/>
            <w:noWrap/>
            <w:vAlign w:val="bottom"/>
            <w:hideMark/>
          </w:tcPr>
          <w:p w14:paraId="01DB243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-0.434</w:t>
            </w:r>
          </w:p>
        </w:tc>
        <w:tc>
          <w:tcPr>
            <w:tcW w:w="810" w:type="dxa"/>
            <w:tcBorders>
              <w:top w:val="nil"/>
              <w:bottom w:val="nil"/>
            </w:tcBorders>
            <w:shd w:val="clear" w:color="auto" w:fill="auto"/>
            <w:noWrap/>
            <w:vAlign w:val="bottom"/>
            <w:hideMark/>
          </w:tcPr>
          <w:p w14:paraId="4F082CE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0.602</w:t>
            </w:r>
          </w:p>
        </w:tc>
        <w:tc>
          <w:tcPr>
            <w:tcW w:w="720" w:type="dxa"/>
            <w:tcBorders>
              <w:top w:val="nil"/>
              <w:bottom w:val="nil"/>
            </w:tcBorders>
            <w:shd w:val="clear" w:color="auto" w:fill="auto"/>
            <w:noWrap/>
            <w:vAlign w:val="bottom"/>
            <w:hideMark/>
          </w:tcPr>
          <w:p w14:paraId="07AFE0E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0.470</w:t>
            </w:r>
          </w:p>
        </w:tc>
      </w:tr>
      <w:tr w:rsidR="0037350E" w:rsidRPr="0037350E" w14:paraId="470947D5" w14:textId="77777777" w:rsidTr="000606C7">
        <w:trPr>
          <w:trHeight w:val="87"/>
        </w:trPr>
        <w:tc>
          <w:tcPr>
            <w:tcW w:w="2330" w:type="dxa"/>
            <w:tcBorders>
              <w:top w:val="nil"/>
              <w:left w:val="nil"/>
              <w:bottom w:val="nil"/>
            </w:tcBorders>
            <w:shd w:val="clear" w:color="auto" w:fill="auto"/>
            <w:noWrap/>
            <w:vAlign w:val="bottom"/>
            <w:hideMark/>
          </w:tcPr>
          <w:p w14:paraId="30FDCD30"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Control*D vs. Generator-powered*D</w:t>
            </w:r>
          </w:p>
        </w:tc>
        <w:tc>
          <w:tcPr>
            <w:tcW w:w="630" w:type="dxa"/>
            <w:tcBorders>
              <w:top w:val="nil"/>
              <w:bottom w:val="nil"/>
            </w:tcBorders>
            <w:shd w:val="clear" w:color="auto" w:fill="auto"/>
            <w:noWrap/>
            <w:vAlign w:val="bottom"/>
            <w:hideMark/>
          </w:tcPr>
          <w:p w14:paraId="13B5824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0.394</w:t>
            </w:r>
          </w:p>
        </w:tc>
        <w:tc>
          <w:tcPr>
            <w:tcW w:w="810" w:type="dxa"/>
            <w:tcBorders>
              <w:top w:val="nil"/>
              <w:bottom w:val="nil"/>
            </w:tcBorders>
            <w:shd w:val="clear" w:color="auto" w:fill="auto"/>
            <w:noWrap/>
            <w:vAlign w:val="bottom"/>
            <w:hideMark/>
          </w:tcPr>
          <w:p w14:paraId="3552D87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0.283</w:t>
            </w:r>
          </w:p>
        </w:tc>
        <w:tc>
          <w:tcPr>
            <w:tcW w:w="720" w:type="dxa"/>
            <w:tcBorders>
              <w:top w:val="nil"/>
              <w:bottom w:val="nil"/>
            </w:tcBorders>
            <w:shd w:val="clear" w:color="auto" w:fill="auto"/>
            <w:noWrap/>
            <w:vAlign w:val="bottom"/>
            <w:hideMark/>
          </w:tcPr>
          <w:p w14:paraId="4646E4B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0.163</w:t>
            </w:r>
          </w:p>
        </w:tc>
        <w:tc>
          <w:tcPr>
            <w:tcW w:w="630" w:type="dxa"/>
            <w:tcBorders>
              <w:top w:val="nil"/>
              <w:bottom w:val="nil"/>
            </w:tcBorders>
            <w:shd w:val="clear" w:color="auto" w:fill="auto"/>
            <w:noWrap/>
            <w:vAlign w:val="bottom"/>
            <w:hideMark/>
          </w:tcPr>
          <w:p w14:paraId="28C151B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1.000</w:t>
            </w:r>
          </w:p>
        </w:tc>
        <w:tc>
          <w:tcPr>
            <w:tcW w:w="810" w:type="dxa"/>
            <w:tcBorders>
              <w:top w:val="nil"/>
              <w:bottom w:val="nil"/>
            </w:tcBorders>
            <w:shd w:val="clear" w:color="auto" w:fill="auto"/>
            <w:noWrap/>
            <w:vAlign w:val="bottom"/>
            <w:hideMark/>
          </w:tcPr>
          <w:p w14:paraId="1B693DD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0.478</w:t>
            </w:r>
          </w:p>
        </w:tc>
        <w:tc>
          <w:tcPr>
            <w:tcW w:w="720" w:type="dxa"/>
            <w:tcBorders>
              <w:top w:val="nil"/>
              <w:bottom w:val="nil"/>
            </w:tcBorders>
            <w:shd w:val="clear" w:color="auto" w:fill="auto"/>
            <w:noWrap/>
            <w:vAlign w:val="bottom"/>
            <w:hideMark/>
          </w:tcPr>
          <w:p w14:paraId="2F77135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0.037*</w:t>
            </w:r>
          </w:p>
        </w:tc>
        <w:tc>
          <w:tcPr>
            <w:tcW w:w="630" w:type="dxa"/>
            <w:tcBorders>
              <w:top w:val="nil"/>
              <w:bottom w:val="nil"/>
            </w:tcBorders>
            <w:shd w:val="clear" w:color="auto" w:fill="auto"/>
            <w:noWrap/>
            <w:vAlign w:val="bottom"/>
            <w:hideMark/>
          </w:tcPr>
          <w:p w14:paraId="062DB21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0.193</w:t>
            </w:r>
          </w:p>
        </w:tc>
        <w:tc>
          <w:tcPr>
            <w:tcW w:w="810" w:type="dxa"/>
            <w:tcBorders>
              <w:top w:val="nil"/>
              <w:bottom w:val="nil"/>
            </w:tcBorders>
            <w:shd w:val="clear" w:color="auto" w:fill="auto"/>
            <w:noWrap/>
            <w:vAlign w:val="bottom"/>
            <w:hideMark/>
          </w:tcPr>
          <w:p w14:paraId="2216131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0.387</w:t>
            </w:r>
          </w:p>
        </w:tc>
        <w:tc>
          <w:tcPr>
            <w:tcW w:w="720" w:type="dxa"/>
            <w:tcBorders>
              <w:top w:val="nil"/>
              <w:bottom w:val="nil"/>
            </w:tcBorders>
            <w:shd w:val="clear" w:color="auto" w:fill="auto"/>
            <w:noWrap/>
            <w:vAlign w:val="bottom"/>
            <w:hideMark/>
          </w:tcPr>
          <w:p w14:paraId="43E83BE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0.619</w:t>
            </w:r>
          </w:p>
        </w:tc>
        <w:tc>
          <w:tcPr>
            <w:tcW w:w="630" w:type="dxa"/>
            <w:tcBorders>
              <w:top w:val="nil"/>
              <w:bottom w:val="nil"/>
            </w:tcBorders>
            <w:shd w:val="clear" w:color="auto" w:fill="auto"/>
            <w:noWrap/>
            <w:vAlign w:val="bottom"/>
            <w:hideMark/>
          </w:tcPr>
          <w:p w14:paraId="3F4F6DE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0.163</w:t>
            </w:r>
          </w:p>
        </w:tc>
        <w:tc>
          <w:tcPr>
            <w:tcW w:w="810" w:type="dxa"/>
            <w:tcBorders>
              <w:top w:val="nil"/>
              <w:bottom w:val="nil"/>
            </w:tcBorders>
            <w:shd w:val="clear" w:color="auto" w:fill="auto"/>
            <w:noWrap/>
            <w:vAlign w:val="bottom"/>
            <w:hideMark/>
          </w:tcPr>
          <w:p w14:paraId="653908D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0.110</w:t>
            </w:r>
          </w:p>
        </w:tc>
        <w:tc>
          <w:tcPr>
            <w:tcW w:w="720" w:type="dxa"/>
            <w:tcBorders>
              <w:top w:val="nil"/>
              <w:bottom w:val="nil"/>
            </w:tcBorders>
            <w:shd w:val="clear" w:color="auto" w:fill="auto"/>
            <w:noWrap/>
            <w:vAlign w:val="bottom"/>
            <w:hideMark/>
          </w:tcPr>
          <w:p w14:paraId="581527F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0.140</w:t>
            </w:r>
          </w:p>
        </w:tc>
        <w:tc>
          <w:tcPr>
            <w:tcW w:w="630" w:type="dxa"/>
            <w:tcBorders>
              <w:top w:val="nil"/>
              <w:bottom w:val="nil"/>
            </w:tcBorders>
            <w:shd w:val="clear" w:color="auto" w:fill="auto"/>
            <w:noWrap/>
            <w:vAlign w:val="bottom"/>
            <w:hideMark/>
          </w:tcPr>
          <w:p w14:paraId="3EAA7B2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-1.117</w:t>
            </w:r>
          </w:p>
        </w:tc>
        <w:tc>
          <w:tcPr>
            <w:tcW w:w="810" w:type="dxa"/>
            <w:tcBorders>
              <w:top w:val="nil"/>
              <w:bottom w:val="nil"/>
            </w:tcBorders>
            <w:shd w:val="clear" w:color="auto" w:fill="auto"/>
            <w:noWrap/>
            <w:vAlign w:val="bottom"/>
            <w:hideMark/>
          </w:tcPr>
          <w:p w14:paraId="2D446EC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0.685</w:t>
            </w:r>
          </w:p>
        </w:tc>
        <w:tc>
          <w:tcPr>
            <w:tcW w:w="720" w:type="dxa"/>
            <w:tcBorders>
              <w:top w:val="nil"/>
              <w:bottom w:val="nil"/>
            </w:tcBorders>
            <w:shd w:val="clear" w:color="auto" w:fill="auto"/>
            <w:noWrap/>
            <w:vAlign w:val="bottom"/>
            <w:hideMark/>
          </w:tcPr>
          <w:p w14:paraId="355989D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0.103</w:t>
            </w:r>
          </w:p>
        </w:tc>
      </w:tr>
      <w:tr w:rsidR="0037350E" w:rsidRPr="0037350E" w14:paraId="7ABD234D" w14:textId="77777777" w:rsidTr="000606C7">
        <w:trPr>
          <w:trHeight w:val="87"/>
        </w:trPr>
        <w:tc>
          <w:tcPr>
            <w:tcW w:w="2330" w:type="dxa"/>
            <w:tcBorders>
              <w:top w:val="nil"/>
              <w:left w:val="nil"/>
              <w:bottom w:val="nil"/>
            </w:tcBorders>
            <w:shd w:val="clear" w:color="auto" w:fill="auto"/>
            <w:noWrap/>
            <w:vAlign w:val="bottom"/>
            <w:hideMark/>
          </w:tcPr>
          <w:p w14:paraId="4A158A99" w14:textId="324EE98D"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Gen</w:t>
            </w:r>
            <w:r w:rsidR="00225956">
              <w:rPr>
                <w:rFonts w:ascii="Times New Roman" w:eastAsia="Times New Roman" w:hAnsi="Times New Roman" w:cs="Times New Roman"/>
                <w:color w:val="000000"/>
                <w:sz w:val="14"/>
                <w:szCs w:val="14"/>
              </w:rPr>
              <w:t>.</w:t>
            </w:r>
            <w:r w:rsidRPr="0037350E">
              <w:rPr>
                <w:rFonts w:ascii="Times New Roman" w:eastAsia="Times New Roman" w:hAnsi="Times New Roman" w:cs="Times New Roman"/>
                <w:color w:val="000000"/>
                <w:sz w:val="14"/>
                <w:szCs w:val="14"/>
              </w:rPr>
              <w:t>-powered SP*D vs Grid-powered SP*D</w:t>
            </w:r>
          </w:p>
        </w:tc>
        <w:tc>
          <w:tcPr>
            <w:tcW w:w="630" w:type="dxa"/>
            <w:tcBorders>
              <w:top w:val="nil"/>
              <w:bottom w:val="nil"/>
            </w:tcBorders>
            <w:shd w:val="clear" w:color="auto" w:fill="auto"/>
            <w:noWrap/>
            <w:vAlign w:val="bottom"/>
            <w:hideMark/>
          </w:tcPr>
          <w:p w14:paraId="3772EFB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-0.271</w:t>
            </w:r>
          </w:p>
        </w:tc>
        <w:tc>
          <w:tcPr>
            <w:tcW w:w="810" w:type="dxa"/>
            <w:tcBorders>
              <w:top w:val="nil"/>
              <w:bottom w:val="nil"/>
            </w:tcBorders>
            <w:shd w:val="clear" w:color="auto" w:fill="auto"/>
            <w:noWrap/>
            <w:vAlign w:val="bottom"/>
            <w:hideMark/>
          </w:tcPr>
          <w:p w14:paraId="4F631B0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0.393</w:t>
            </w:r>
          </w:p>
        </w:tc>
        <w:tc>
          <w:tcPr>
            <w:tcW w:w="720" w:type="dxa"/>
            <w:tcBorders>
              <w:top w:val="nil"/>
              <w:bottom w:val="nil"/>
            </w:tcBorders>
            <w:shd w:val="clear" w:color="auto" w:fill="auto"/>
            <w:noWrap/>
            <w:vAlign w:val="bottom"/>
            <w:hideMark/>
          </w:tcPr>
          <w:p w14:paraId="28114D7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0.491</w:t>
            </w:r>
          </w:p>
        </w:tc>
        <w:tc>
          <w:tcPr>
            <w:tcW w:w="630" w:type="dxa"/>
            <w:tcBorders>
              <w:top w:val="nil"/>
              <w:bottom w:val="nil"/>
            </w:tcBorders>
            <w:shd w:val="clear" w:color="auto" w:fill="auto"/>
            <w:noWrap/>
            <w:vAlign w:val="bottom"/>
            <w:hideMark/>
          </w:tcPr>
          <w:p w14:paraId="3AD67BB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0.368</w:t>
            </w:r>
          </w:p>
        </w:tc>
        <w:tc>
          <w:tcPr>
            <w:tcW w:w="810" w:type="dxa"/>
            <w:tcBorders>
              <w:top w:val="nil"/>
              <w:bottom w:val="nil"/>
            </w:tcBorders>
            <w:shd w:val="clear" w:color="auto" w:fill="auto"/>
            <w:noWrap/>
            <w:vAlign w:val="bottom"/>
            <w:hideMark/>
          </w:tcPr>
          <w:p w14:paraId="5155FED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0.608</w:t>
            </w:r>
          </w:p>
        </w:tc>
        <w:tc>
          <w:tcPr>
            <w:tcW w:w="720" w:type="dxa"/>
            <w:tcBorders>
              <w:top w:val="nil"/>
              <w:bottom w:val="nil"/>
            </w:tcBorders>
            <w:shd w:val="clear" w:color="auto" w:fill="auto"/>
            <w:noWrap/>
            <w:vAlign w:val="bottom"/>
            <w:hideMark/>
          </w:tcPr>
          <w:p w14:paraId="6B1F522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0.545</w:t>
            </w:r>
          </w:p>
        </w:tc>
        <w:tc>
          <w:tcPr>
            <w:tcW w:w="630" w:type="dxa"/>
            <w:tcBorders>
              <w:top w:val="nil"/>
              <w:bottom w:val="nil"/>
            </w:tcBorders>
            <w:shd w:val="clear" w:color="auto" w:fill="auto"/>
            <w:noWrap/>
            <w:vAlign w:val="bottom"/>
            <w:hideMark/>
          </w:tcPr>
          <w:p w14:paraId="2B9EA0C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1.269</w:t>
            </w:r>
          </w:p>
        </w:tc>
        <w:tc>
          <w:tcPr>
            <w:tcW w:w="810" w:type="dxa"/>
            <w:tcBorders>
              <w:top w:val="nil"/>
              <w:bottom w:val="nil"/>
            </w:tcBorders>
            <w:shd w:val="clear" w:color="auto" w:fill="auto"/>
            <w:noWrap/>
            <w:vAlign w:val="bottom"/>
            <w:hideMark/>
          </w:tcPr>
          <w:p w14:paraId="7F8A64E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0.422</w:t>
            </w:r>
          </w:p>
        </w:tc>
        <w:tc>
          <w:tcPr>
            <w:tcW w:w="720" w:type="dxa"/>
            <w:tcBorders>
              <w:top w:val="nil"/>
              <w:bottom w:val="nil"/>
            </w:tcBorders>
            <w:shd w:val="clear" w:color="auto" w:fill="auto"/>
            <w:noWrap/>
            <w:vAlign w:val="bottom"/>
            <w:hideMark/>
          </w:tcPr>
          <w:p w14:paraId="7B4CF83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0.003*</w:t>
            </w:r>
          </w:p>
        </w:tc>
        <w:tc>
          <w:tcPr>
            <w:tcW w:w="630" w:type="dxa"/>
            <w:tcBorders>
              <w:top w:val="nil"/>
              <w:bottom w:val="nil"/>
            </w:tcBorders>
            <w:shd w:val="clear" w:color="auto" w:fill="auto"/>
            <w:noWrap/>
            <w:vAlign w:val="bottom"/>
            <w:hideMark/>
          </w:tcPr>
          <w:p w14:paraId="52DBF03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0.006</w:t>
            </w:r>
          </w:p>
        </w:tc>
        <w:tc>
          <w:tcPr>
            <w:tcW w:w="810" w:type="dxa"/>
            <w:tcBorders>
              <w:top w:val="nil"/>
              <w:bottom w:val="nil"/>
            </w:tcBorders>
            <w:shd w:val="clear" w:color="auto" w:fill="auto"/>
            <w:noWrap/>
            <w:vAlign w:val="bottom"/>
            <w:hideMark/>
          </w:tcPr>
          <w:p w14:paraId="5A9C10E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0.147</w:t>
            </w:r>
          </w:p>
        </w:tc>
        <w:tc>
          <w:tcPr>
            <w:tcW w:w="720" w:type="dxa"/>
            <w:tcBorders>
              <w:top w:val="nil"/>
              <w:bottom w:val="nil"/>
            </w:tcBorders>
            <w:shd w:val="clear" w:color="auto" w:fill="auto"/>
            <w:noWrap/>
            <w:vAlign w:val="bottom"/>
            <w:hideMark/>
          </w:tcPr>
          <w:p w14:paraId="304239D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0.965</w:t>
            </w:r>
          </w:p>
        </w:tc>
        <w:tc>
          <w:tcPr>
            <w:tcW w:w="630" w:type="dxa"/>
            <w:tcBorders>
              <w:top w:val="nil"/>
              <w:bottom w:val="nil"/>
            </w:tcBorders>
            <w:shd w:val="clear" w:color="auto" w:fill="auto"/>
            <w:noWrap/>
            <w:vAlign w:val="bottom"/>
            <w:hideMark/>
          </w:tcPr>
          <w:p w14:paraId="77B22D4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-0.676</w:t>
            </w:r>
          </w:p>
        </w:tc>
        <w:tc>
          <w:tcPr>
            <w:tcW w:w="810" w:type="dxa"/>
            <w:tcBorders>
              <w:top w:val="nil"/>
              <w:bottom w:val="nil"/>
            </w:tcBorders>
            <w:shd w:val="clear" w:color="auto" w:fill="auto"/>
            <w:noWrap/>
            <w:vAlign w:val="bottom"/>
            <w:hideMark/>
          </w:tcPr>
          <w:p w14:paraId="098092E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0.730</w:t>
            </w:r>
          </w:p>
        </w:tc>
        <w:tc>
          <w:tcPr>
            <w:tcW w:w="720" w:type="dxa"/>
            <w:tcBorders>
              <w:top w:val="nil"/>
              <w:bottom w:val="nil"/>
            </w:tcBorders>
            <w:shd w:val="clear" w:color="auto" w:fill="auto"/>
            <w:noWrap/>
            <w:vAlign w:val="bottom"/>
            <w:hideMark/>
          </w:tcPr>
          <w:p w14:paraId="2491718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0.355</w:t>
            </w:r>
          </w:p>
        </w:tc>
      </w:tr>
      <w:tr w:rsidR="0037350E" w:rsidRPr="0037350E" w14:paraId="35B3F7A5" w14:textId="77777777" w:rsidTr="000606C7">
        <w:trPr>
          <w:trHeight w:val="87"/>
        </w:trPr>
        <w:tc>
          <w:tcPr>
            <w:tcW w:w="2330" w:type="dxa"/>
            <w:tcBorders>
              <w:top w:val="nil"/>
              <w:left w:val="nil"/>
              <w:bottom w:val="nil"/>
            </w:tcBorders>
            <w:shd w:val="clear" w:color="auto" w:fill="auto"/>
            <w:noWrap/>
            <w:vAlign w:val="bottom"/>
            <w:hideMark/>
          </w:tcPr>
          <w:p w14:paraId="45004A51"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Control*D vs. Active*D</w:t>
            </w:r>
          </w:p>
        </w:tc>
        <w:tc>
          <w:tcPr>
            <w:tcW w:w="630" w:type="dxa"/>
            <w:tcBorders>
              <w:top w:val="nil"/>
              <w:bottom w:val="nil"/>
            </w:tcBorders>
            <w:shd w:val="clear" w:color="auto" w:fill="auto"/>
            <w:noWrap/>
            <w:vAlign w:val="bottom"/>
            <w:hideMark/>
          </w:tcPr>
          <w:p w14:paraId="372FDD5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1.408</w:t>
            </w:r>
          </w:p>
        </w:tc>
        <w:tc>
          <w:tcPr>
            <w:tcW w:w="810" w:type="dxa"/>
            <w:tcBorders>
              <w:top w:val="nil"/>
              <w:bottom w:val="nil"/>
            </w:tcBorders>
            <w:shd w:val="clear" w:color="auto" w:fill="auto"/>
            <w:noWrap/>
            <w:vAlign w:val="bottom"/>
            <w:hideMark/>
          </w:tcPr>
          <w:p w14:paraId="424A48B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0.567</w:t>
            </w:r>
          </w:p>
        </w:tc>
        <w:tc>
          <w:tcPr>
            <w:tcW w:w="720" w:type="dxa"/>
            <w:tcBorders>
              <w:top w:val="nil"/>
              <w:bottom w:val="nil"/>
            </w:tcBorders>
            <w:shd w:val="clear" w:color="auto" w:fill="auto"/>
            <w:noWrap/>
            <w:vAlign w:val="bottom"/>
            <w:hideMark/>
          </w:tcPr>
          <w:p w14:paraId="36D54C1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0.013*</w:t>
            </w:r>
          </w:p>
        </w:tc>
        <w:tc>
          <w:tcPr>
            <w:tcW w:w="630" w:type="dxa"/>
            <w:tcBorders>
              <w:top w:val="nil"/>
              <w:bottom w:val="nil"/>
            </w:tcBorders>
            <w:shd w:val="clear" w:color="auto" w:fill="auto"/>
            <w:noWrap/>
            <w:vAlign w:val="bottom"/>
            <w:hideMark/>
          </w:tcPr>
          <w:p w14:paraId="2FD592A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1.343</w:t>
            </w:r>
          </w:p>
        </w:tc>
        <w:tc>
          <w:tcPr>
            <w:tcW w:w="810" w:type="dxa"/>
            <w:tcBorders>
              <w:top w:val="nil"/>
              <w:bottom w:val="nil"/>
            </w:tcBorders>
            <w:shd w:val="clear" w:color="auto" w:fill="auto"/>
            <w:noWrap/>
            <w:vAlign w:val="bottom"/>
            <w:hideMark/>
          </w:tcPr>
          <w:p w14:paraId="2F68119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0.316</w:t>
            </w:r>
          </w:p>
        </w:tc>
        <w:tc>
          <w:tcPr>
            <w:tcW w:w="720" w:type="dxa"/>
            <w:tcBorders>
              <w:top w:val="nil"/>
              <w:bottom w:val="nil"/>
            </w:tcBorders>
            <w:shd w:val="clear" w:color="auto" w:fill="auto"/>
            <w:noWrap/>
            <w:vAlign w:val="bottom"/>
            <w:hideMark/>
          </w:tcPr>
          <w:p w14:paraId="4678CB6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231F91D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0.014</w:t>
            </w:r>
          </w:p>
        </w:tc>
        <w:tc>
          <w:tcPr>
            <w:tcW w:w="810" w:type="dxa"/>
            <w:tcBorders>
              <w:top w:val="nil"/>
              <w:bottom w:val="nil"/>
            </w:tcBorders>
            <w:shd w:val="clear" w:color="auto" w:fill="auto"/>
            <w:noWrap/>
            <w:vAlign w:val="bottom"/>
            <w:hideMark/>
          </w:tcPr>
          <w:p w14:paraId="0D2BE9F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0.356</w:t>
            </w:r>
          </w:p>
        </w:tc>
        <w:tc>
          <w:tcPr>
            <w:tcW w:w="720" w:type="dxa"/>
            <w:tcBorders>
              <w:top w:val="nil"/>
              <w:bottom w:val="nil"/>
            </w:tcBorders>
            <w:shd w:val="clear" w:color="auto" w:fill="auto"/>
            <w:noWrap/>
            <w:vAlign w:val="bottom"/>
            <w:hideMark/>
          </w:tcPr>
          <w:p w14:paraId="68BC377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0.969</w:t>
            </w:r>
          </w:p>
        </w:tc>
        <w:tc>
          <w:tcPr>
            <w:tcW w:w="630" w:type="dxa"/>
            <w:tcBorders>
              <w:top w:val="nil"/>
              <w:bottom w:val="nil"/>
            </w:tcBorders>
            <w:shd w:val="clear" w:color="auto" w:fill="auto"/>
            <w:noWrap/>
            <w:vAlign w:val="bottom"/>
            <w:hideMark/>
          </w:tcPr>
          <w:p w14:paraId="17A7F48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0.224</w:t>
            </w:r>
          </w:p>
        </w:tc>
        <w:tc>
          <w:tcPr>
            <w:tcW w:w="810" w:type="dxa"/>
            <w:tcBorders>
              <w:top w:val="nil"/>
              <w:bottom w:val="nil"/>
            </w:tcBorders>
            <w:shd w:val="clear" w:color="auto" w:fill="auto"/>
            <w:noWrap/>
            <w:vAlign w:val="bottom"/>
            <w:hideMark/>
          </w:tcPr>
          <w:p w14:paraId="215C5F9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0.104</w:t>
            </w:r>
          </w:p>
        </w:tc>
        <w:tc>
          <w:tcPr>
            <w:tcW w:w="720" w:type="dxa"/>
            <w:tcBorders>
              <w:top w:val="nil"/>
              <w:bottom w:val="nil"/>
            </w:tcBorders>
            <w:shd w:val="clear" w:color="auto" w:fill="auto"/>
            <w:noWrap/>
            <w:vAlign w:val="bottom"/>
            <w:hideMark/>
          </w:tcPr>
          <w:p w14:paraId="6FCB21E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0.032*</w:t>
            </w:r>
          </w:p>
        </w:tc>
        <w:tc>
          <w:tcPr>
            <w:tcW w:w="630" w:type="dxa"/>
            <w:tcBorders>
              <w:top w:val="nil"/>
              <w:bottom w:val="nil"/>
            </w:tcBorders>
            <w:shd w:val="clear" w:color="auto" w:fill="auto"/>
            <w:noWrap/>
            <w:vAlign w:val="bottom"/>
            <w:hideMark/>
          </w:tcPr>
          <w:p w14:paraId="5EE182A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0.176</w:t>
            </w:r>
          </w:p>
        </w:tc>
        <w:tc>
          <w:tcPr>
            <w:tcW w:w="810" w:type="dxa"/>
            <w:tcBorders>
              <w:top w:val="nil"/>
              <w:bottom w:val="nil"/>
            </w:tcBorders>
            <w:shd w:val="clear" w:color="auto" w:fill="auto"/>
            <w:noWrap/>
            <w:vAlign w:val="bottom"/>
            <w:hideMark/>
          </w:tcPr>
          <w:p w14:paraId="0C5DF66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0.552</w:t>
            </w:r>
          </w:p>
        </w:tc>
        <w:tc>
          <w:tcPr>
            <w:tcW w:w="720" w:type="dxa"/>
            <w:tcBorders>
              <w:top w:val="nil"/>
              <w:bottom w:val="nil"/>
            </w:tcBorders>
            <w:shd w:val="clear" w:color="auto" w:fill="auto"/>
            <w:noWrap/>
            <w:vAlign w:val="bottom"/>
            <w:hideMark/>
          </w:tcPr>
          <w:p w14:paraId="0BC23D3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0.750</w:t>
            </w:r>
          </w:p>
        </w:tc>
      </w:tr>
      <w:tr w:rsidR="0037350E" w:rsidRPr="0037350E" w14:paraId="719EF7BB" w14:textId="77777777" w:rsidTr="000606C7">
        <w:trPr>
          <w:trHeight w:val="87"/>
        </w:trPr>
        <w:tc>
          <w:tcPr>
            <w:tcW w:w="2330" w:type="dxa"/>
            <w:tcBorders>
              <w:top w:val="nil"/>
              <w:left w:val="nil"/>
              <w:bottom w:val="nil"/>
            </w:tcBorders>
            <w:shd w:val="clear" w:color="auto" w:fill="auto"/>
            <w:noWrap/>
            <w:vAlign w:val="bottom"/>
            <w:hideMark/>
          </w:tcPr>
          <w:p w14:paraId="54304E68"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Control*D vs. Inactive*D</w:t>
            </w:r>
          </w:p>
        </w:tc>
        <w:tc>
          <w:tcPr>
            <w:tcW w:w="630" w:type="dxa"/>
            <w:tcBorders>
              <w:top w:val="nil"/>
              <w:bottom w:val="nil"/>
            </w:tcBorders>
            <w:shd w:val="clear" w:color="auto" w:fill="auto"/>
            <w:noWrap/>
            <w:vAlign w:val="bottom"/>
            <w:hideMark/>
          </w:tcPr>
          <w:p w14:paraId="5C3CC0F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0.383</w:t>
            </w:r>
          </w:p>
        </w:tc>
        <w:tc>
          <w:tcPr>
            <w:tcW w:w="810" w:type="dxa"/>
            <w:tcBorders>
              <w:top w:val="nil"/>
              <w:bottom w:val="nil"/>
            </w:tcBorders>
            <w:shd w:val="clear" w:color="auto" w:fill="auto"/>
            <w:noWrap/>
            <w:vAlign w:val="bottom"/>
            <w:hideMark/>
          </w:tcPr>
          <w:p w14:paraId="21C3FE7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0.194</w:t>
            </w:r>
          </w:p>
        </w:tc>
        <w:tc>
          <w:tcPr>
            <w:tcW w:w="720" w:type="dxa"/>
            <w:tcBorders>
              <w:top w:val="nil"/>
              <w:bottom w:val="nil"/>
            </w:tcBorders>
            <w:shd w:val="clear" w:color="auto" w:fill="auto"/>
            <w:noWrap/>
            <w:vAlign w:val="bottom"/>
            <w:hideMark/>
          </w:tcPr>
          <w:p w14:paraId="7705747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0.048*</w:t>
            </w:r>
          </w:p>
        </w:tc>
        <w:tc>
          <w:tcPr>
            <w:tcW w:w="630" w:type="dxa"/>
            <w:tcBorders>
              <w:top w:val="nil"/>
              <w:bottom w:val="nil"/>
            </w:tcBorders>
            <w:shd w:val="clear" w:color="auto" w:fill="auto"/>
            <w:noWrap/>
            <w:vAlign w:val="bottom"/>
            <w:hideMark/>
          </w:tcPr>
          <w:p w14:paraId="2752E32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0.414</w:t>
            </w:r>
          </w:p>
        </w:tc>
        <w:tc>
          <w:tcPr>
            <w:tcW w:w="810" w:type="dxa"/>
            <w:tcBorders>
              <w:top w:val="nil"/>
              <w:bottom w:val="nil"/>
            </w:tcBorders>
            <w:shd w:val="clear" w:color="auto" w:fill="auto"/>
            <w:noWrap/>
            <w:vAlign w:val="bottom"/>
            <w:hideMark/>
          </w:tcPr>
          <w:p w14:paraId="31E075C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0.266</w:t>
            </w:r>
          </w:p>
        </w:tc>
        <w:tc>
          <w:tcPr>
            <w:tcW w:w="720" w:type="dxa"/>
            <w:tcBorders>
              <w:top w:val="nil"/>
              <w:bottom w:val="nil"/>
            </w:tcBorders>
            <w:shd w:val="clear" w:color="auto" w:fill="auto"/>
            <w:noWrap/>
            <w:vAlign w:val="bottom"/>
            <w:hideMark/>
          </w:tcPr>
          <w:p w14:paraId="0B1338C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0.120</w:t>
            </w:r>
          </w:p>
        </w:tc>
        <w:tc>
          <w:tcPr>
            <w:tcW w:w="630" w:type="dxa"/>
            <w:tcBorders>
              <w:top w:val="nil"/>
              <w:bottom w:val="nil"/>
            </w:tcBorders>
            <w:shd w:val="clear" w:color="auto" w:fill="auto"/>
            <w:noWrap/>
            <w:vAlign w:val="bottom"/>
            <w:hideMark/>
          </w:tcPr>
          <w:p w14:paraId="7B74CEF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-0.411</w:t>
            </w:r>
          </w:p>
        </w:tc>
        <w:tc>
          <w:tcPr>
            <w:tcW w:w="810" w:type="dxa"/>
            <w:tcBorders>
              <w:top w:val="nil"/>
              <w:bottom w:val="nil"/>
            </w:tcBorders>
            <w:shd w:val="clear" w:color="auto" w:fill="auto"/>
            <w:noWrap/>
            <w:vAlign w:val="bottom"/>
            <w:hideMark/>
          </w:tcPr>
          <w:p w14:paraId="4B35339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0.330</w:t>
            </w:r>
          </w:p>
        </w:tc>
        <w:tc>
          <w:tcPr>
            <w:tcW w:w="720" w:type="dxa"/>
            <w:tcBorders>
              <w:top w:val="nil"/>
              <w:bottom w:val="nil"/>
            </w:tcBorders>
            <w:shd w:val="clear" w:color="auto" w:fill="auto"/>
            <w:noWrap/>
            <w:vAlign w:val="bottom"/>
            <w:hideMark/>
          </w:tcPr>
          <w:p w14:paraId="530A3CB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0.214</w:t>
            </w:r>
          </w:p>
        </w:tc>
        <w:tc>
          <w:tcPr>
            <w:tcW w:w="630" w:type="dxa"/>
            <w:tcBorders>
              <w:top w:val="nil"/>
              <w:bottom w:val="nil"/>
            </w:tcBorders>
            <w:shd w:val="clear" w:color="auto" w:fill="auto"/>
            <w:noWrap/>
            <w:vAlign w:val="bottom"/>
            <w:hideMark/>
          </w:tcPr>
          <w:p w14:paraId="4AC73BA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-0.053</w:t>
            </w:r>
          </w:p>
        </w:tc>
        <w:tc>
          <w:tcPr>
            <w:tcW w:w="810" w:type="dxa"/>
            <w:tcBorders>
              <w:top w:val="nil"/>
              <w:bottom w:val="nil"/>
            </w:tcBorders>
            <w:shd w:val="clear" w:color="auto" w:fill="auto"/>
            <w:noWrap/>
            <w:vAlign w:val="bottom"/>
            <w:hideMark/>
          </w:tcPr>
          <w:p w14:paraId="584837F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0.101</w:t>
            </w:r>
          </w:p>
        </w:tc>
        <w:tc>
          <w:tcPr>
            <w:tcW w:w="720" w:type="dxa"/>
            <w:tcBorders>
              <w:top w:val="nil"/>
              <w:bottom w:val="nil"/>
            </w:tcBorders>
            <w:shd w:val="clear" w:color="auto" w:fill="auto"/>
            <w:noWrap/>
            <w:vAlign w:val="bottom"/>
            <w:hideMark/>
          </w:tcPr>
          <w:p w14:paraId="6598688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0.598</w:t>
            </w:r>
          </w:p>
        </w:tc>
        <w:tc>
          <w:tcPr>
            <w:tcW w:w="630" w:type="dxa"/>
            <w:tcBorders>
              <w:top w:val="nil"/>
              <w:bottom w:val="nil"/>
            </w:tcBorders>
            <w:shd w:val="clear" w:color="auto" w:fill="auto"/>
            <w:noWrap/>
            <w:vAlign w:val="bottom"/>
            <w:hideMark/>
          </w:tcPr>
          <w:p w14:paraId="22EE124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-0.034</w:t>
            </w:r>
          </w:p>
        </w:tc>
        <w:tc>
          <w:tcPr>
            <w:tcW w:w="810" w:type="dxa"/>
            <w:tcBorders>
              <w:top w:val="nil"/>
              <w:bottom w:val="nil"/>
            </w:tcBorders>
            <w:shd w:val="clear" w:color="auto" w:fill="auto"/>
            <w:noWrap/>
            <w:vAlign w:val="bottom"/>
            <w:hideMark/>
          </w:tcPr>
          <w:p w14:paraId="223FF97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0.574</w:t>
            </w:r>
          </w:p>
        </w:tc>
        <w:tc>
          <w:tcPr>
            <w:tcW w:w="720" w:type="dxa"/>
            <w:tcBorders>
              <w:top w:val="nil"/>
              <w:bottom w:val="nil"/>
            </w:tcBorders>
            <w:shd w:val="clear" w:color="auto" w:fill="auto"/>
            <w:noWrap/>
            <w:vAlign w:val="bottom"/>
            <w:hideMark/>
          </w:tcPr>
          <w:p w14:paraId="0B525BF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0.953</w:t>
            </w:r>
          </w:p>
        </w:tc>
      </w:tr>
      <w:tr w:rsidR="0037350E" w:rsidRPr="0037350E" w14:paraId="6661CA49" w14:textId="77777777" w:rsidTr="000606C7">
        <w:trPr>
          <w:trHeight w:val="87"/>
        </w:trPr>
        <w:tc>
          <w:tcPr>
            <w:tcW w:w="2330" w:type="dxa"/>
            <w:tcBorders>
              <w:top w:val="nil"/>
              <w:left w:val="nil"/>
              <w:bottom w:val="nil"/>
            </w:tcBorders>
            <w:shd w:val="clear" w:color="auto" w:fill="auto"/>
            <w:noWrap/>
            <w:vAlign w:val="bottom"/>
            <w:hideMark/>
          </w:tcPr>
          <w:p w14:paraId="7A92BB70" w14:textId="77777777" w:rsidR="0037350E" w:rsidRPr="0037350E" w:rsidRDefault="0037350E" w:rsidP="0037350E">
            <w:pPr>
              <w:spacing w:after="0" w:line="240" w:lineRule="auto"/>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Inactive*D vs. Active*D</w:t>
            </w:r>
          </w:p>
        </w:tc>
        <w:tc>
          <w:tcPr>
            <w:tcW w:w="630" w:type="dxa"/>
            <w:tcBorders>
              <w:top w:val="nil"/>
              <w:bottom w:val="nil"/>
            </w:tcBorders>
            <w:shd w:val="clear" w:color="auto" w:fill="auto"/>
            <w:noWrap/>
            <w:vAlign w:val="bottom"/>
            <w:hideMark/>
          </w:tcPr>
          <w:p w14:paraId="6A2DB74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0.133</w:t>
            </w:r>
          </w:p>
        </w:tc>
        <w:tc>
          <w:tcPr>
            <w:tcW w:w="810" w:type="dxa"/>
            <w:tcBorders>
              <w:top w:val="nil"/>
              <w:bottom w:val="nil"/>
            </w:tcBorders>
            <w:shd w:val="clear" w:color="auto" w:fill="auto"/>
            <w:noWrap/>
            <w:vAlign w:val="bottom"/>
            <w:hideMark/>
          </w:tcPr>
          <w:p w14:paraId="76DD789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0.249</w:t>
            </w:r>
          </w:p>
        </w:tc>
        <w:tc>
          <w:tcPr>
            <w:tcW w:w="720" w:type="dxa"/>
            <w:tcBorders>
              <w:top w:val="nil"/>
              <w:bottom w:val="nil"/>
            </w:tcBorders>
            <w:shd w:val="clear" w:color="auto" w:fill="auto"/>
            <w:noWrap/>
            <w:vAlign w:val="bottom"/>
            <w:hideMark/>
          </w:tcPr>
          <w:p w14:paraId="2968D3A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0.594</w:t>
            </w:r>
          </w:p>
        </w:tc>
        <w:tc>
          <w:tcPr>
            <w:tcW w:w="630" w:type="dxa"/>
            <w:tcBorders>
              <w:top w:val="nil"/>
              <w:bottom w:val="nil"/>
            </w:tcBorders>
            <w:shd w:val="clear" w:color="auto" w:fill="auto"/>
            <w:noWrap/>
            <w:vAlign w:val="bottom"/>
            <w:hideMark/>
          </w:tcPr>
          <w:p w14:paraId="358BDB7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0.929</w:t>
            </w:r>
          </w:p>
        </w:tc>
        <w:tc>
          <w:tcPr>
            <w:tcW w:w="810" w:type="dxa"/>
            <w:tcBorders>
              <w:top w:val="nil"/>
              <w:bottom w:val="nil"/>
            </w:tcBorders>
            <w:shd w:val="clear" w:color="auto" w:fill="auto"/>
            <w:noWrap/>
            <w:vAlign w:val="bottom"/>
            <w:hideMark/>
          </w:tcPr>
          <w:p w14:paraId="516F80D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0.365</w:t>
            </w:r>
          </w:p>
        </w:tc>
        <w:tc>
          <w:tcPr>
            <w:tcW w:w="720" w:type="dxa"/>
            <w:tcBorders>
              <w:top w:val="nil"/>
              <w:bottom w:val="nil"/>
            </w:tcBorders>
            <w:shd w:val="clear" w:color="auto" w:fill="auto"/>
            <w:noWrap/>
            <w:vAlign w:val="bottom"/>
            <w:hideMark/>
          </w:tcPr>
          <w:p w14:paraId="3DAE36F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0.011*</w:t>
            </w:r>
          </w:p>
        </w:tc>
        <w:tc>
          <w:tcPr>
            <w:tcW w:w="630" w:type="dxa"/>
            <w:tcBorders>
              <w:top w:val="nil"/>
              <w:bottom w:val="nil"/>
            </w:tcBorders>
            <w:shd w:val="clear" w:color="auto" w:fill="auto"/>
            <w:noWrap/>
            <w:vAlign w:val="bottom"/>
            <w:hideMark/>
          </w:tcPr>
          <w:p w14:paraId="5F801F9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0.420</w:t>
            </w:r>
          </w:p>
        </w:tc>
        <w:tc>
          <w:tcPr>
            <w:tcW w:w="810" w:type="dxa"/>
            <w:tcBorders>
              <w:top w:val="nil"/>
              <w:bottom w:val="nil"/>
            </w:tcBorders>
            <w:shd w:val="clear" w:color="auto" w:fill="auto"/>
            <w:noWrap/>
            <w:vAlign w:val="bottom"/>
            <w:hideMark/>
          </w:tcPr>
          <w:p w14:paraId="5148A69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0.327</w:t>
            </w:r>
          </w:p>
        </w:tc>
        <w:tc>
          <w:tcPr>
            <w:tcW w:w="720" w:type="dxa"/>
            <w:tcBorders>
              <w:top w:val="nil"/>
              <w:bottom w:val="nil"/>
            </w:tcBorders>
            <w:shd w:val="clear" w:color="auto" w:fill="auto"/>
            <w:noWrap/>
            <w:vAlign w:val="bottom"/>
            <w:hideMark/>
          </w:tcPr>
          <w:p w14:paraId="6B2CCF2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0.199</w:t>
            </w:r>
          </w:p>
        </w:tc>
        <w:tc>
          <w:tcPr>
            <w:tcW w:w="630" w:type="dxa"/>
            <w:tcBorders>
              <w:top w:val="nil"/>
              <w:bottom w:val="nil"/>
            </w:tcBorders>
            <w:shd w:val="clear" w:color="auto" w:fill="auto"/>
            <w:noWrap/>
            <w:vAlign w:val="bottom"/>
            <w:hideMark/>
          </w:tcPr>
          <w:p w14:paraId="3114814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0.279</w:t>
            </w:r>
          </w:p>
        </w:tc>
        <w:tc>
          <w:tcPr>
            <w:tcW w:w="810" w:type="dxa"/>
            <w:tcBorders>
              <w:top w:val="nil"/>
              <w:bottom w:val="nil"/>
            </w:tcBorders>
            <w:shd w:val="clear" w:color="auto" w:fill="auto"/>
            <w:noWrap/>
            <w:vAlign w:val="bottom"/>
            <w:hideMark/>
          </w:tcPr>
          <w:p w14:paraId="7AB181B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0.102</w:t>
            </w:r>
          </w:p>
        </w:tc>
        <w:tc>
          <w:tcPr>
            <w:tcW w:w="720" w:type="dxa"/>
            <w:tcBorders>
              <w:top w:val="nil"/>
              <w:bottom w:val="nil"/>
            </w:tcBorders>
            <w:shd w:val="clear" w:color="auto" w:fill="auto"/>
            <w:noWrap/>
            <w:vAlign w:val="bottom"/>
            <w:hideMark/>
          </w:tcPr>
          <w:p w14:paraId="06C98D3E"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0.006*</w:t>
            </w:r>
          </w:p>
        </w:tc>
        <w:tc>
          <w:tcPr>
            <w:tcW w:w="630" w:type="dxa"/>
            <w:tcBorders>
              <w:top w:val="nil"/>
              <w:bottom w:val="nil"/>
            </w:tcBorders>
            <w:shd w:val="clear" w:color="auto" w:fill="auto"/>
            <w:noWrap/>
            <w:vAlign w:val="bottom"/>
            <w:hideMark/>
          </w:tcPr>
          <w:p w14:paraId="7D3C357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0.211</w:t>
            </w:r>
          </w:p>
        </w:tc>
        <w:tc>
          <w:tcPr>
            <w:tcW w:w="810" w:type="dxa"/>
            <w:tcBorders>
              <w:top w:val="nil"/>
              <w:bottom w:val="nil"/>
            </w:tcBorders>
            <w:shd w:val="clear" w:color="auto" w:fill="auto"/>
            <w:noWrap/>
            <w:vAlign w:val="bottom"/>
            <w:hideMark/>
          </w:tcPr>
          <w:p w14:paraId="09DD4F4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0.568</w:t>
            </w:r>
          </w:p>
        </w:tc>
        <w:tc>
          <w:tcPr>
            <w:tcW w:w="720" w:type="dxa"/>
            <w:tcBorders>
              <w:top w:val="nil"/>
              <w:bottom w:val="nil"/>
            </w:tcBorders>
            <w:shd w:val="clear" w:color="auto" w:fill="auto"/>
            <w:noWrap/>
            <w:vAlign w:val="bottom"/>
            <w:hideMark/>
          </w:tcPr>
          <w:p w14:paraId="0A36763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0.711</w:t>
            </w:r>
          </w:p>
        </w:tc>
      </w:tr>
      <w:tr w:rsidR="0037350E" w:rsidRPr="0037350E" w14:paraId="6A863A5C" w14:textId="77777777" w:rsidTr="000606C7">
        <w:trPr>
          <w:trHeight w:val="128"/>
        </w:trPr>
        <w:tc>
          <w:tcPr>
            <w:tcW w:w="2330" w:type="dxa"/>
            <w:tcBorders>
              <w:top w:val="nil"/>
              <w:left w:val="nil"/>
              <w:bottom w:val="nil"/>
            </w:tcBorders>
            <w:shd w:val="clear" w:color="auto" w:fill="auto"/>
            <w:noWrap/>
            <w:vAlign w:val="bottom"/>
            <w:hideMark/>
          </w:tcPr>
          <w:p w14:paraId="509A3619" w14:textId="374389F0" w:rsidR="0037350E" w:rsidRPr="0037350E" w:rsidRDefault="00225956" w:rsidP="0037350E">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Distance to p</w:t>
            </w:r>
            <w:r w:rsidR="0037350E" w:rsidRPr="0037350E">
              <w:rPr>
                <w:rFonts w:ascii="Times New Roman" w:eastAsia="Times New Roman" w:hAnsi="Times New Roman" w:cs="Times New Roman"/>
                <w:color w:val="000000"/>
                <w:sz w:val="14"/>
                <w:szCs w:val="14"/>
              </w:rPr>
              <w:t>erch</w:t>
            </w:r>
          </w:p>
        </w:tc>
        <w:tc>
          <w:tcPr>
            <w:tcW w:w="630" w:type="dxa"/>
            <w:tcBorders>
              <w:top w:val="nil"/>
              <w:bottom w:val="nil"/>
            </w:tcBorders>
            <w:shd w:val="clear" w:color="auto" w:fill="auto"/>
            <w:noWrap/>
            <w:vAlign w:val="bottom"/>
            <w:hideMark/>
          </w:tcPr>
          <w:p w14:paraId="471A464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0.098</w:t>
            </w:r>
          </w:p>
        </w:tc>
        <w:tc>
          <w:tcPr>
            <w:tcW w:w="810" w:type="dxa"/>
            <w:tcBorders>
              <w:top w:val="nil"/>
              <w:bottom w:val="nil"/>
            </w:tcBorders>
            <w:shd w:val="clear" w:color="auto" w:fill="auto"/>
            <w:noWrap/>
            <w:vAlign w:val="bottom"/>
            <w:hideMark/>
          </w:tcPr>
          <w:p w14:paraId="560712E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0.072</w:t>
            </w:r>
          </w:p>
        </w:tc>
        <w:tc>
          <w:tcPr>
            <w:tcW w:w="720" w:type="dxa"/>
            <w:tcBorders>
              <w:top w:val="nil"/>
              <w:bottom w:val="nil"/>
            </w:tcBorders>
            <w:shd w:val="clear" w:color="auto" w:fill="auto"/>
            <w:noWrap/>
            <w:vAlign w:val="bottom"/>
            <w:hideMark/>
          </w:tcPr>
          <w:p w14:paraId="686CB3C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0.173</w:t>
            </w:r>
          </w:p>
        </w:tc>
        <w:tc>
          <w:tcPr>
            <w:tcW w:w="630" w:type="dxa"/>
            <w:tcBorders>
              <w:top w:val="nil"/>
              <w:bottom w:val="nil"/>
            </w:tcBorders>
            <w:shd w:val="clear" w:color="auto" w:fill="auto"/>
            <w:noWrap/>
            <w:vAlign w:val="bottom"/>
            <w:hideMark/>
          </w:tcPr>
          <w:p w14:paraId="2D38E7C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0.239</w:t>
            </w:r>
          </w:p>
        </w:tc>
        <w:tc>
          <w:tcPr>
            <w:tcW w:w="810" w:type="dxa"/>
            <w:tcBorders>
              <w:top w:val="nil"/>
              <w:bottom w:val="nil"/>
            </w:tcBorders>
            <w:shd w:val="clear" w:color="auto" w:fill="auto"/>
            <w:noWrap/>
            <w:vAlign w:val="bottom"/>
            <w:hideMark/>
          </w:tcPr>
          <w:p w14:paraId="7B20900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0.095</w:t>
            </w:r>
          </w:p>
        </w:tc>
        <w:tc>
          <w:tcPr>
            <w:tcW w:w="720" w:type="dxa"/>
            <w:tcBorders>
              <w:top w:val="nil"/>
              <w:bottom w:val="nil"/>
            </w:tcBorders>
            <w:shd w:val="clear" w:color="auto" w:fill="auto"/>
            <w:noWrap/>
            <w:vAlign w:val="bottom"/>
            <w:hideMark/>
          </w:tcPr>
          <w:p w14:paraId="2B41B15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0.012*</w:t>
            </w:r>
          </w:p>
        </w:tc>
        <w:tc>
          <w:tcPr>
            <w:tcW w:w="630" w:type="dxa"/>
            <w:tcBorders>
              <w:top w:val="nil"/>
              <w:bottom w:val="nil"/>
            </w:tcBorders>
            <w:shd w:val="clear" w:color="auto" w:fill="auto"/>
            <w:noWrap/>
            <w:vAlign w:val="bottom"/>
            <w:hideMark/>
          </w:tcPr>
          <w:p w14:paraId="123C050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-0.170</w:t>
            </w:r>
          </w:p>
        </w:tc>
        <w:tc>
          <w:tcPr>
            <w:tcW w:w="810" w:type="dxa"/>
            <w:tcBorders>
              <w:top w:val="nil"/>
              <w:bottom w:val="nil"/>
            </w:tcBorders>
            <w:shd w:val="clear" w:color="auto" w:fill="auto"/>
            <w:noWrap/>
            <w:vAlign w:val="bottom"/>
            <w:hideMark/>
          </w:tcPr>
          <w:p w14:paraId="2399DBE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0.086</w:t>
            </w:r>
          </w:p>
        </w:tc>
        <w:tc>
          <w:tcPr>
            <w:tcW w:w="720" w:type="dxa"/>
            <w:tcBorders>
              <w:top w:val="nil"/>
              <w:bottom w:val="nil"/>
            </w:tcBorders>
            <w:shd w:val="clear" w:color="auto" w:fill="auto"/>
            <w:noWrap/>
            <w:vAlign w:val="bottom"/>
            <w:hideMark/>
          </w:tcPr>
          <w:p w14:paraId="6094DD4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0.048*</w:t>
            </w:r>
          </w:p>
        </w:tc>
        <w:tc>
          <w:tcPr>
            <w:tcW w:w="630" w:type="dxa"/>
            <w:tcBorders>
              <w:top w:val="nil"/>
              <w:bottom w:val="nil"/>
            </w:tcBorders>
            <w:shd w:val="clear" w:color="auto" w:fill="auto"/>
            <w:noWrap/>
            <w:vAlign w:val="bottom"/>
            <w:hideMark/>
          </w:tcPr>
          <w:p w14:paraId="49FA539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-0.044</w:t>
            </w:r>
          </w:p>
        </w:tc>
        <w:tc>
          <w:tcPr>
            <w:tcW w:w="810" w:type="dxa"/>
            <w:tcBorders>
              <w:top w:val="nil"/>
              <w:bottom w:val="nil"/>
            </w:tcBorders>
            <w:shd w:val="clear" w:color="auto" w:fill="auto"/>
            <w:noWrap/>
            <w:vAlign w:val="bottom"/>
            <w:hideMark/>
          </w:tcPr>
          <w:p w14:paraId="2364F34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0.032</w:t>
            </w:r>
          </w:p>
        </w:tc>
        <w:tc>
          <w:tcPr>
            <w:tcW w:w="720" w:type="dxa"/>
            <w:tcBorders>
              <w:top w:val="nil"/>
              <w:bottom w:val="nil"/>
            </w:tcBorders>
            <w:shd w:val="clear" w:color="auto" w:fill="auto"/>
            <w:noWrap/>
            <w:vAlign w:val="bottom"/>
            <w:hideMark/>
          </w:tcPr>
          <w:p w14:paraId="72D5286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0.164</w:t>
            </w:r>
          </w:p>
        </w:tc>
        <w:tc>
          <w:tcPr>
            <w:tcW w:w="630" w:type="dxa"/>
            <w:tcBorders>
              <w:top w:val="nil"/>
              <w:bottom w:val="nil"/>
            </w:tcBorders>
            <w:shd w:val="clear" w:color="auto" w:fill="auto"/>
            <w:noWrap/>
            <w:vAlign w:val="bottom"/>
            <w:hideMark/>
          </w:tcPr>
          <w:p w14:paraId="767BFA2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0.295</w:t>
            </w:r>
          </w:p>
        </w:tc>
        <w:tc>
          <w:tcPr>
            <w:tcW w:w="810" w:type="dxa"/>
            <w:tcBorders>
              <w:top w:val="nil"/>
              <w:bottom w:val="nil"/>
            </w:tcBorders>
            <w:shd w:val="clear" w:color="auto" w:fill="auto"/>
            <w:noWrap/>
            <w:vAlign w:val="bottom"/>
            <w:hideMark/>
          </w:tcPr>
          <w:p w14:paraId="0D391C1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0.176</w:t>
            </w:r>
          </w:p>
        </w:tc>
        <w:tc>
          <w:tcPr>
            <w:tcW w:w="720" w:type="dxa"/>
            <w:tcBorders>
              <w:top w:val="nil"/>
              <w:bottom w:val="nil"/>
            </w:tcBorders>
            <w:shd w:val="clear" w:color="auto" w:fill="auto"/>
            <w:noWrap/>
            <w:vAlign w:val="bottom"/>
            <w:hideMark/>
          </w:tcPr>
          <w:p w14:paraId="62F84BF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0.093*</w:t>
            </w:r>
          </w:p>
        </w:tc>
      </w:tr>
      <w:tr w:rsidR="0037350E" w:rsidRPr="0037350E" w14:paraId="6BEF4CF5" w14:textId="77777777" w:rsidTr="000606C7">
        <w:trPr>
          <w:trHeight w:val="148"/>
        </w:trPr>
        <w:tc>
          <w:tcPr>
            <w:tcW w:w="2330" w:type="dxa"/>
            <w:tcBorders>
              <w:top w:val="nil"/>
              <w:left w:val="nil"/>
              <w:bottom w:val="nil"/>
            </w:tcBorders>
            <w:shd w:val="clear" w:color="auto" w:fill="auto"/>
            <w:noWrap/>
            <w:vAlign w:val="bottom"/>
            <w:hideMark/>
          </w:tcPr>
          <w:p w14:paraId="3A79C525" w14:textId="1B8742EE" w:rsidR="0037350E" w:rsidRPr="0037350E" w:rsidRDefault="00225956" w:rsidP="0037350E">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Distance to r</w:t>
            </w:r>
            <w:r w:rsidR="0037350E" w:rsidRPr="0037350E">
              <w:rPr>
                <w:rFonts w:ascii="Times New Roman" w:eastAsia="Times New Roman" w:hAnsi="Times New Roman" w:cs="Times New Roman"/>
                <w:color w:val="000000"/>
                <w:sz w:val="14"/>
                <w:szCs w:val="14"/>
              </w:rPr>
              <w:t>oad</w:t>
            </w:r>
          </w:p>
        </w:tc>
        <w:tc>
          <w:tcPr>
            <w:tcW w:w="630" w:type="dxa"/>
            <w:tcBorders>
              <w:top w:val="nil"/>
              <w:bottom w:val="nil"/>
            </w:tcBorders>
            <w:shd w:val="clear" w:color="auto" w:fill="auto"/>
            <w:noWrap/>
            <w:vAlign w:val="bottom"/>
            <w:hideMark/>
          </w:tcPr>
          <w:p w14:paraId="6C8D019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0.233</w:t>
            </w:r>
          </w:p>
        </w:tc>
        <w:tc>
          <w:tcPr>
            <w:tcW w:w="810" w:type="dxa"/>
            <w:tcBorders>
              <w:top w:val="nil"/>
              <w:bottom w:val="nil"/>
            </w:tcBorders>
            <w:shd w:val="clear" w:color="auto" w:fill="auto"/>
            <w:noWrap/>
            <w:vAlign w:val="bottom"/>
            <w:hideMark/>
          </w:tcPr>
          <w:p w14:paraId="7883064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0.063</w:t>
            </w:r>
          </w:p>
        </w:tc>
        <w:tc>
          <w:tcPr>
            <w:tcW w:w="720" w:type="dxa"/>
            <w:tcBorders>
              <w:top w:val="nil"/>
              <w:bottom w:val="nil"/>
            </w:tcBorders>
            <w:shd w:val="clear" w:color="auto" w:fill="auto"/>
            <w:noWrap/>
            <w:vAlign w:val="bottom"/>
            <w:hideMark/>
          </w:tcPr>
          <w:p w14:paraId="559588F8"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&lt;0.001*</w:t>
            </w:r>
          </w:p>
        </w:tc>
        <w:tc>
          <w:tcPr>
            <w:tcW w:w="630" w:type="dxa"/>
            <w:tcBorders>
              <w:top w:val="nil"/>
              <w:bottom w:val="nil"/>
            </w:tcBorders>
            <w:shd w:val="clear" w:color="auto" w:fill="auto"/>
            <w:noWrap/>
            <w:vAlign w:val="bottom"/>
            <w:hideMark/>
          </w:tcPr>
          <w:p w14:paraId="64B4799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0.229</w:t>
            </w:r>
          </w:p>
        </w:tc>
        <w:tc>
          <w:tcPr>
            <w:tcW w:w="810" w:type="dxa"/>
            <w:tcBorders>
              <w:top w:val="nil"/>
              <w:bottom w:val="nil"/>
            </w:tcBorders>
            <w:shd w:val="clear" w:color="auto" w:fill="auto"/>
            <w:noWrap/>
            <w:vAlign w:val="bottom"/>
            <w:hideMark/>
          </w:tcPr>
          <w:p w14:paraId="7AA8A9F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0.085</w:t>
            </w:r>
          </w:p>
        </w:tc>
        <w:tc>
          <w:tcPr>
            <w:tcW w:w="720" w:type="dxa"/>
            <w:tcBorders>
              <w:top w:val="nil"/>
              <w:bottom w:val="nil"/>
            </w:tcBorders>
            <w:shd w:val="clear" w:color="auto" w:fill="auto"/>
            <w:noWrap/>
            <w:vAlign w:val="bottom"/>
            <w:hideMark/>
          </w:tcPr>
          <w:p w14:paraId="338D06A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0.007*</w:t>
            </w:r>
          </w:p>
        </w:tc>
        <w:tc>
          <w:tcPr>
            <w:tcW w:w="630" w:type="dxa"/>
            <w:tcBorders>
              <w:top w:val="nil"/>
              <w:bottom w:val="nil"/>
            </w:tcBorders>
            <w:shd w:val="clear" w:color="auto" w:fill="auto"/>
            <w:noWrap/>
            <w:vAlign w:val="bottom"/>
            <w:hideMark/>
          </w:tcPr>
          <w:p w14:paraId="4444143F"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-0.014</w:t>
            </w:r>
          </w:p>
        </w:tc>
        <w:tc>
          <w:tcPr>
            <w:tcW w:w="810" w:type="dxa"/>
            <w:tcBorders>
              <w:top w:val="nil"/>
              <w:bottom w:val="nil"/>
            </w:tcBorders>
            <w:shd w:val="clear" w:color="auto" w:fill="auto"/>
            <w:noWrap/>
            <w:vAlign w:val="bottom"/>
            <w:hideMark/>
          </w:tcPr>
          <w:p w14:paraId="02C992D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0.081</w:t>
            </w:r>
          </w:p>
        </w:tc>
        <w:tc>
          <w:tcPr>
            <w:tcW w:w="720" w:type="dxa"/>
            <w:tcBorders>
              <w:top w:val="nil"/>
              <w:bottom w:val="nil"/>
            </w:tcBorders>
            <w:shd w:val="clear" w:color="auto" w:fill="auto"/>
            <w:noWrap/>
            <w:vAlign w:val="bottom"/>
            <w:hideMark/>
          </w:tcPr>
          <w:p w14:paraId="0A136022"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0.867</w:t>
            </w:r>
          </w:p>
        </w:tc>
        <w:tc>
          <w:tcPr>
            <w:tcW w:w="630" w:type="dxa"/>
            <w:tcBorders>
              <w:top w:val="nil"/>
              <w:bottom w:val="nil"/>
            </w:tcBorders>
            <w:shd w:val="clear" w:color="auto" w:fill="auto"/>
            <w:noWrap/>
            <w:vAlign w:val="bottom"/>
            <w:hideMark/>
          </w:tcPr>
          <w:p w14:paraId="245BAEE7"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0.038</w:t>
            </w:r>
          </w:p>
        </w:tc>
        <w:tc>
          <w:tcPr>
            <w:tcW w:w="810" w:type="dxa"/>
            <w:tcBorders>
              <w:top w:val="nil"/>
              <w:bottom w:val="nil"/>
            </w:tcBorders>
            <w:shd w:val="clear" w:color="auto" w:fill="auto"/>
            <w:noWrap/>
            <w:vAlign w:val="bottom"/>
            <w:hideMark/>
          </w:tcPr>
          <w:p w14:paraId="6C51A760"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0.031</w:t>
            </w:r>
          </w:p>
        </w:tc>
        <w:tc>
          <w:tcPr>
            <w:tcW w:w="720" w:type="dxa"/>
            <w:tcBorders>
              <w:top w:val="nil"/>
              <w:bottom w:val="nil"/>
            </w:tcBorders>
            <w:shd w:val="clear" w:color="auto" w:fill="auto"/>
            <w:noWrap/>
            <w:vAlign w:val="bottom"/>
            <w:hideMark/>
          </w:tcPr>
          <w:p w14:paraId="138F0C2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0.207</w:t>
            </w:r>
          </w:p>
        </w:tc>
        <w:tc>
          <w:tcPr>
            <w:tcW w:w="630" w:type="dxa"/>
            <w:tcBorders>
              <w:top w:val="nil"/>
              <w:bottom w:val="nil"/>
            </w:tcBorders>
            <w:shd w:val="clear" w:color="auto" w:fill="auto"/>
            <w:noWrap/>
            <w:vAlign w:val="bottom"/>
            <w:hideMark/>
          </w:tcPr>
          <w:p w14:paraId="71D29A4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-0.433</w:t>
            </w:r>
          </w:p>
        </w:tc>
        <w:tc>
          <w:tcPr>
            <w:tcW w:w="810" w:type="dxa"/>
            <w:tcBorders>
              <w:top w:val="nil"/>
              <w:bottom w:val="nil"/>
            </w:tcBorders>
            <w:shd w:val="clear" w:color="auto" w:fill="auto"/>
            <w:noWrap/>
            <w:vAlign w:val="bottom"/>
            <w:hideMark/>
          </w:tcPr>
          <w:p w14:paraId="3775424D"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0.182</w:t>
            </w:r>
          </w:p>
        </w:tc>
        <w:tc>
          <w:tcPr>
            <w:tcW w:w="720" w:type="dxa"/>
            <w:tcBorders>
              <w:top w:val="nil"/>
              <w:bottom w:val="nil"/>
            </w:tcBorders>
            <w:shd w:val="clear" w:color="auto" w:fill="auto"/>
            <w:noWrap/>
            <w:vAlign w:val="bottom"/>
            <w:hideMark/>
          </w:tcPr>
          <w:p w14:paraId="287D59E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0.017*</w:t>
            </w:r>
          </w:p>
        </w:tc>
      </w:tr>
      <w:tr w:rsidR="0037350E" w:rsidRPr="0037350E" w14:paraId="1AACA9F7" w14:textId="77777777" w:rsidTr="000606C7">
        <w:trPr>
          <w:trHeight w:val="98"/>
        </w:trPr>
        <w:tc>
          <w:tcPr>
            <w:tcW w:w="2330" w:type="dxa"/>
            <w:tcBorders>
              <w:top w:val="nil"/>
              <w:left w:val="nil"/>
              <w:bottom w:val="nil"/>
            </w:tcBorders>
            <w:shd w:val="clear" w:color="auto" w:fill="auto"/>
            <w:noWrap/>
            <w:vAlign w:val="bottom"/>
            <w:hideMark/>
          </w:tcPr>
          <w:p w14:paraId="566842DF" w14:textId="5FAE69E6" w:rsidR="0037350E" w:rsidRPr="0037350E" w:rsidRDefault="00225956" w:rsidP="0037350E">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Exotic v</w:t>
            </w:r>
            <w:r w:rsidR="0037350E" w:rsidRPr="0037350E">
              <w:rPr>
                <w:rFonts w:ascii="Times New Roman" w:eastAsia="Times New Roman" w:hAnsi="Times New Roman" w:cs="Times New Roman"/>
                <w:color w:val="000000"/>
                <w:sz w:val="14"/>
                <w:szCs w:val="14"/>
              </w:rPr>
              <w:t>egetation</w:t>
            </w:r>
          </w:p>
        </w:tc>
        <w:tc>
          <w:tcPr>
            <w:tcW w:w="630" w:type="dxa"/>
            <w:tcBorders>
              <w:top w:val="nil"/>
              <w:bottom w:val="nil"/>
            </w:tcBorders>
            <w:shd w:val="clear" w:color="auto" w:fill="auto"/>
            <w:noWrap/>
            <w:vAlign w:val="bottom"/>
            <w:hideMark/>
          </w:tcPr>
          <w:p w14:paraId="78DA463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-0.005</w:t>
            </w:r>
          </w:p>
        </w:tc>
        <w:tc>
          <w:tcPr>
            <w:tcW w:w="810" w:type="dxa"/>
            <w:tcBorders>
              <w:top w:val="nil"/>
              <w:bottom w:val="nil"/>
            </w:tcBorders>
            <w:shd w:val="clear" w:color="auto" w:fill="auto"/>
            <w:noWrap/>
            <w:vAlign w:val="bottom"/>
            <w:hideMark/>
          </w:tcPr>
          <w:p w14:paraId="68C3B63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0.005</w:t>
            </w:r>
          </w:p>
        </w:tc>
        <w:tc>
          <w:tcPr>
            <w:tcW w:w="720" w:type="dxa"/>
            <w:tcBorders>
              <w:top w:val="nil"/>
              <w:bottom w:val="nil"/>
            </w:tcBorders>
            <w:shd w:val="clear" w:color="auto" w:fill="auto"/>
            <w:noWrap/>
            <w:vAlign w:val="bottom"/>
            <w:hideMark/>
          </w:tcPr>
          <w:p w14:paraId="3731615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0.322</w:t>
            </w:r>
          </w:p>
        </w:tc>
        <w:tc>
          <w:tcPr>
            <w:tcW w:w="630" w:type="dxa"/>
            <w:tcBorders>
              <w:top w:val="nil"/>
              <w:bottom w:val="nil"/>
            </w:tcBorders>
            <w:shd w:val="clear" w:color="auto" w:fill="auto"/>
            <w:noWrap/>
            <w:vAlign w:val="bottom"/>
            <w:hideMark/>
          </w:tcPr>
          <w:p w14:paraId="7C6F79B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-0.008</w:t>
            </w:r>
          </w:p>
        </w:tc>
        <w:tc>
          <w:tcPr>
            <w:tcW w:w="810" w:type="dxa"/>
            <w:tcBorders>
              <w:top w:val="nil"/>
              <w:bottom w:val="nil"/>
            </w:tcBorders>
            <w:shd w:val="clear" w:color="auto" w:fill="auto"/>
            <w:noWrap/>
            <w:vAlign w:val="bottom"/>
            <w:hideMark/>
          </w:tcPr>
          <w:p w14:paraId="5B9DC6D6"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0.008</w:t>
            </w:r>
          </w:p>
        </w:tc>
        <w:tc>
          <w:tcPr>
            <w:tcW w:w="720" w:type="dxa"/>
            <w:tcBorders>
              <w:top w:val="nil"/>
              <w:bottom w:val="nil"/>
            </w:tcBorders>
            <w:shd w:val="clear" w:color="auto" w:fill="auto"/>
            <w:noWrap/>
            <w:vAlign w:val="bottom"/>
            <w:hideMark/>
          </w:tcPr>
          <w:p w14:paraId="4EE1D9B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0.307</w:t>
            </w:r>
          </w:p>
        </w:tc>
        <w:tc>
          <w:tcPr>
            <w:tcW w:w="630" w:type="dxa"/>
            <w:tcBorders>
              <w:top w:val="nil"/>
              <w:bottom w:val="nil"/>
            </w:tcBorders>
            <w:shd w:val="clear" w:color="auto" w:fill="auto"/>
            <w:noWrap/>
            <w:vAlign w:val="bottom"/>
            <w:hideMark/>
          </w:tcPr>
          <w:p w14:paraId="496ABA8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0.000</w:t>
            </w:r>
          </w:p>
        </w:tc>
        <w:tc>
          <w:tcPr>
            <w:tcW w:w="810" w:type="dxa"/>
            <w:tcBorders>
              <w:top w:val="nil"/>
              <w:bottom w:val="nil"/>
            </w:tcBorders>
            <w:shd w:val="clear" w:color="auto" w:fill="auto"/>
            <w:noWrap/>
            <w:vAlign w:val="bottom"/>
            <w:hideMark/>
          </w:tcPr>
          <w:p w14:paraId="1E8337A5"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0.005</w:t>
            </w:r>
          </w:p>
        </w:tc>
        <w:tc>
          <w:tcPr>
            <w:tcW w:w="720" w:type="dxa"/>
            <w:tcBorders>
              <w:top w:val="nil"/>
              <w:bottom w:val="nil"/>
            </w:tcBorders>
            <w:shd w:val="clear" w:color="auto" w:fill="auto"/>
            <w:noWrap/>
            <w:vAlign w:val="bottom"/>
            <w:hideMark/>
          </w:tcPr>
          <w:p w14:paraId="2AFA83EB"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0.979</w:t>
            </w:r>
          </w:p>
        </w:tc>
        <w:tc>
          <w:tcPr>
            <w:tcW w:w="630" w:type="dxa"/>
            <w:tcBorders>
              <w:top w:val="nil"/>
              <w:bottom w:val="nil"/>
            </w:tcBorders>
            <w:shd w:val="clear" w:color="auto" w:fill="auto"/>
            <w:noWrap/>
            <w:vAlign w:val="bottom"/>
            <w:hideMark/>
          </w:tcPr>
          <w:p w14:paraId="67A39314"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0.001</w:t>
            </w:r>
          </w:p>
        </w:tc>
        <w:tc>
          <w:tcPr>
            <w:tcW w:w="810" w:type="dxa"/>
            <w:tcBorders>
              <w:top w:val="nil"/>
              <w:bottom w:val="nil"/>
            </w:tcBorders>
            <w:shd w:val="clear" w:color="auto" w:fill="auto"/>
            <w:noWrap/>
            <w:vAlign w:val="bottom"/>
            <w:hideMark/>
          </w:tcPr>
          <w:p w14:paraId="094E55C3"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0.002</w:t>
            </w:r>
          </w:p>
        </w:tc>
        <w:tc>
          <w:tcPr>
            <w:tcW w:w="720" w:type="dxa"/>
            <w:tcBorders>
              <w:top w:val="nil"/>
              <w:bottom w:val="nil"/>
            </w:tcBorders>
            <w:shd w:val="clear" w:color="auto" w:fill="auto"/>
            <w:noWrap/>
            <w:vAlign w:val="bottom"/>
            <w:hideMark/>
          </w:tcPr>
          <w:p w14:paraId="1D3CD81C"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0.703</w:t>
            </w:r>
          </w:p>
        </w:tc>
        <w:tc>
          <w:tcPr>
            <w:tcW w:w="630" w:type="dxa"/>
            <w:tcBorders>
              <w:top w:val="nil"/>
              <w:bottom w:val="nil"/>
            </w:tcBorders>
            <w:shd w:val="clear" w:color="auto" w:fill="auto"/>
            <w:noWrap/>
            <w:vAlign w:val="bottom"/>
            <w:hideMark/>
          </w:tcPr>
          <w:p w14:paraId="423B5B7A"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-0.012</w:t>
            </w:r>
          </w:p>
        </w:tc>
        <w:tc>
          <w:tcPr>
            <w:tcW w:w="810" w:type="dxa"/>
            <w:tcBorders>
              <w:top w:val="nil"/>
              <w:bottom w:val="nil"/>
            </w:tcBorders>
            <w:shd w:val="clear" w:color="auto" w:fill="auto"/>
            <w:noWrap/>
            <w:vAlign w:val="bottom"/>
            <w:hideMark/>
          </w:tcPr>
          <w:p w14:paraId="7A311EB9"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0.013</w:t>
            </w:r>
          </w:p>
        </w:tc>
        <w:tc>
          <w:tcPr>
            <w:tcW w:w="720" w:type="dxa"/>
            <w:tcBorders>
              <w:top w:val="nil"/>
              <w:bottom w:val="nil"/>
            </w:tcBorders>
            <w:shd w:val="clear" w:color="auto" w:fill="auto"/>
            <w:noWrap/>
            <w:vAlign w:val="bottom"/>
            <w:hideMark/>
          </w:tcPr>
          <w:p w14:paraId="4974A361" w14:textId="77777777" w:rsidR="0037350E" w:rsidRPr="0037350E" w:rsidRDefault="0037350E" w:rsidP="0037350E">
            <w:pPr>
              <w:spacing w:after="0" w:line="240" w:lineRule="auto"/>
              <w:jc w:val="center"/>
              <w:rPr>
                <w:rFonts w:ascii="Times New Roman" w:eastAsia="Times New Roman" w:hAnsi="Times New Roman" w:cs="Times New Roman"/>
                <w:color w:val="000000"/>
                <w:sz w:val="14"/>
                <w:szCs w:val="14"/>
              </w:rPr>
            </w:pPr>
            <w:r w:rsidRPr="0037350E">
              <w:rPr>
                <w:rFonts w:ascii="Times New Roman" w:eastAsia="Times New Roman" w:hAnsi="Times New Roman" w:cs="Times New Roman"/>
                <w:color w:val="000000"/>
                <w:sz w:val="14"/>
                <w:szCs w:val="14"/>
              </w:rPr>
              <w:t>0.373</w:t>
            </w:r>
          </w:p>
        </w:tc>
      </w:tr>
    </w:tbl>
    <w:p w14:paraId="2381C21A" w14:textId="2CA83E29" w:rsidR="0037350E" w:rsidRPr="0037350E" w:rsidRDefault="009C5B21" w:rsidP="009C5B21">
      <w:pPr>
        <w:rPr>
          <w:rFonts w:ascii="Times New Roman" w:eastAsia="Cambria" w:hAnsi="Times New Roman" w:cs="Times New Roman"/>
          <w:sz w:val="16"/>
          <w:szCs w:val="16"/>
        </w:rPr>
        <w:sectPr w:rsidR="0037350E" w:rsidRPr="0037350E" w:rsidSect="009C5B21">
          <w:pgSz w:w="15840" w:h="12240" w:orient="landscape" w:code="1"/>
          <w:pgMar w:top="1440" w:right="1440" w:bottom="1440" w:left="1440" w:header="720" w:footer="720" w:gutter="0"/>
          <w:lnNumType w:countBy="1" w:restart="continuous"/>
          <w:cols w:space="720"/>
          <w:docGrid w:linePitch="299"/>
        </w:sectPr>
      </w:pPr>
      <w:r>
        <w:rPr>
          <w:rFonts w:ascii="Times New Roman" w:eastAsia="Cambria" w:hAnsi="Times New Roman" w:cs="Times New Roman"/>
          <w:sz w:val="16"/>
          <w:szCs w:val="16"/>
        </w:rPr>
        <w:br w:type="page"/>
      </w:r>
    </w:p>
    <w:p w14:paraId="68800CC2" w14:textId="3977FB4A" w:rsidR="008B41F9" w:rsidRPr="008B41F9" w:rsidRDefault="008B41F9" w:rsidP="009C5B21">
      <w:pPr>
        <w:spacing w:after="0" w:line="240" w:lineRule="auto"/>
        <w:rPr>
          <w:rFonts w:ascii="Times New Roman" w:eastAsia="Cambria" w:hAnsi="Times New Roman" w:cs="Times New Roman"/>
          <w:b/>
          <w:sz w:val="24"/>
          <w:szCs w:val="24"/>
        </w:rPr>
      </w:pPr>
      <w:r>
        <w:rPr>
          <w:rFonts w:ascii="Times New Roman" w:eastAsia="Cambria" w:hAnsi="Times New Roman" w:cs="Times New Roman"/>
          <w:b/>
          <w:sz w:val="24"/>
          <w:szCs w:val="24"/>
        </w:rPr>
        <w:lastRenderedPageBreak/>
        <w:t>10</w:t>
      </w:r>
      <w:r w:rsidR="00225956">
        <w:rPr>
          <w:rFonts w:ascii="Times New Roman" w:eastAsia="Cambria" w:hAnsi="Times New Roman" w:cs="Times New Roman"/>
          <w:b/>
          <w:sz w:val="24"/>
          <w:szCs w:val="24"/>
        </w:rPr>
        <w:t>.</w:t>
      </w:r>
      <w:r>
        <w:rPr>
          <w:rFonts w:ascii="Times New Roman" w:eastAsia="Cambria" w:hAnsi="Times New Roman" w:cs="Times New Roman"/>
          <w:b/>
          <w:sz w:val="24"/>
          <w:szCs w:val="24"/>
        </w:rPr>
        <w:t xml:space="preserve"> Figures</w:t>
      </w:r>
    </w:p>
    <w:p w14:paraId="7F2495C1" w14:textId="77777777" w:rsidR="009C5B21" w:rsidRPr="0037350E" w:rsidRDefault="009C5B21" w:rsidP="009C5B21">
      <w:pPr>
        <w:spacing w:after="0" w:line="240" w:lineRule="auto"/>
        <w:rPr>
          <w:rFonts w:ascii="Times New Roman" w:eastAsia="Cambria" w:hAnsi="Times New Roman" w:cs="Times New Roman"/>
          <w:sz w:val="24"/>
          <w:szCs w:val="24"/>
        </w:rPr>
      </w:pPr>
      <w:r>
        <w:rPr>
          <w:rFonts w:ascii="Times New Roman" w:eastAsia="Cambria" w:hAnsi="Times New Roman" w:cs="Times New Roman"/>
          <w:sz w:val="24"/>
          <w:szCs w:val="24"/>
        </w:rPr>
        <w:t>Figure 1.</w:t>
      </w:r>
    </w:p>
    <w:p w14:paraId="3991FD48" w14:textId="77777777" w:rsidR="009C5B21" w:rsidRPr="0037350E" w:rsidRDefault="009C5B21" w:rsidP="009C5B21">
      <w:pPr>
        <w:spacing w:after="0" w:line="48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i)</w:t>
      </w:r>
    </w:p>
    <w:p w14:paraId="30AE89D9" w14:textId="596DAF12" w:rsidR="009C5B21" w:rsidRPr="0037350E" w:rsidRDefault="00AE2213" w:rsidP="009C5B21">
      <w:pPr>
        <w:spacing w:after="0" w:line="480" w:lineRule="auto"/>
        <w:rPr>
          <w:rFonts w:ascii="Times New Roman" w:eastAsia="Cambria" w:hAnsi="Times New Roman" w:cs="Times New Roman"/>
          <w:sz w:val="24"/>
          <w:szCs w:val="24"/>
        </w:rPr>
      </w:pPr>
      <w:r>
        <w:rPr>
          <w:noProof/>
          <w:lang w:val="en-CA" w:eastAsia="en-CA"/>
        </w:rPr>
        <w:drawing>
          <wp:inline distT="0" distB="0" distL="0" distR="0" wp14:anchorId="5FE2187C" wp14:editId="2152FBC2">
            <wp:extent cx="4427855" cy="1912883"/>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2EB29BE" w14:textId="77777777" w:rsidR="009C5B21" w:rsidRPr="0037350E" w:rsidRDefault="009C5B21" w:rsidP="009C5B21">
      <w:pPr>
        <w:spacing w:after="0" w:line="48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ii)</w:t>
      </w:r>
    </w:p>
    <w:p w14:paraId="02AD24AF" w14:textId="5229326A" w:rsidR="009C5B21" w:rsidRPr="0037350E" w:rsidRDefault="00F76945" w:rsidP="009C5B21">
      <w:pPr>
        <w:spacing w:after="0" w:line="480" w:lineRule="auto"/>
        <w:rPr>
          <w:rFonts w:ascii="Times New Roman" w:eastAsia="Cambria" w:hAnsi="Times New Roman" w:cs="Times New Roman"/>
          <w:b/>
          <w:sz w:val="24"/>
          <w:szCs w:val="24"/>
        </w:rPr>
      </w:pPr>
      <w:r>
        <w:rPr>
          <w:noProof/>
          <w:lang w:val="en-CA" w:eastAsia="en-CA"/>
        </w:rPr>
        <w:drawing>
          <wp:inline distT="0" distB="0" distL="0" distR="0" wp14:anchorId="117FFDE1" wp14:editId="35E95584">
            <wp:extent cx="4562475" cy="2324100"/>
            <wp:effectExtent l="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7650C10" w14:textId="77777777" w:rsidR="009C5B21" w:rsidRPr="0037350E" w:rsidRDefault="009C5B21" w:rsidP="009C5B21">
      <w:pPr>
        <w:spacing w:after="0" w:line="48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iii)</w:t>
      </w:r>
    </w:p>
    <w:p w14:paraId="0A8CAE64" w14:textId="080CB0EA" w:rsidR="009C5B21" w:rsidRPr="0037350E" w:rsidRDefault="009C5B21" w:rsidP="009C5B21">
      <w:pPr>
        <w:tabs>
          <w:tab w:val="left" w:pos="1770"/>
        </w:tabs>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b/>
          <w:noProof/>
          <w:sz w:val="24"/>
          <w:szCs w:val="24"/>
        </w:rPr>
        <w:t xml:space="preserve"> </w:t>
      </w:r>
      <w:r w:rsidR="00F76945">
        <w:rPr>
          <w:noProof/>
          <w:lang w:val="en-CA" w:eastAsia="en-CA"/>
        </w:rPr>
        <w:drawing>
          <wp:inline distT="0" distB="0" distL="0" distR="0" wp14:anchorId="69EBAE7D" wp14:editId="6BD4854F">
            <wp:extent cx="4524375" cy="2179955"/>
            <wp:effectExtent l="0" t="0" r="952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D75249">
        <w:rPr>
          <w:rFonts w:ascii="Times New Roman" w:eastAsia="Cambria" w:hAnsi="Times New Roman" w:cs="Times New Roman"/>
          <w:sz w:val="24"/>
          <w:szCs w:val="24"/>
        </w:rPr>
        <w:br w:type="page"/>
      </w:r>
      <w:r>
        <w:rPr>
          <w:rFonts w:ascii="Times New Roman" w:eastAsia="Cambria" w:hAnsi="Times New Roman" w:cs="Times New Roman"/>
          <w:sz w:val="24"/>
          <w:szCs w:val="24"/>
        </w:rPr>
        <w:lastRenderedPageBreak/>
        <w:t>Figure 2.</w:t>
      </w:r>
    </w:p>
    <w:p w14:paraId="520ADE03" w14:textId="77777777" w:rsidR="009C5B21" w:rsidRPr="0037350E" w:rsidRDefault="009C5B21" w:rsidP="009C5B21">
      <w:pPr>
        <w:spacing w:after="0" w:line="48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i)</w:t>
      </w:r>
    </w:p>
    <w:p w14:paraId="05F3EEF6" w14:textId="77777777"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noProof/>
          <w:sz w:val="24"/>
          <w:szCs w:val="24"/>
          <w:lang w:val="en-CA" w:eastAsia="en-CA"/>
        </w:rPr>
        <w:drawing>
          <wp:inline distT="0" distB="0" distL="0" distR="0" wp14:anchorId="35AAF006" wp14:editId="579A4637">
            <wp:extent cx="4368800" cy="3131127"/>
            <wp:effectExtent l="0" t="0" r="12700" b="1270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37350E">
        <w:rPr>
          <w:rFonts w:ascii="Times New Roman" w:eastAsia="Cambria" w:hAnsi="Times New Roman" w:cs="Times New Roman"/>
          <w:sz w:val="24"/>
          <w:szCs w:val="24"/>
        </w:rPr>
        <w:t xml:space="preserve"> </w:t>
      </w:r>
    </w:p>
    <w:p w14:paraId="7A230CFC" w14:textId="77777777" w:rsidR="009C5B21" w:rsidRPr="0037350E" w:rsidRDefault="009C5B21" w:rsidP="009C5B21">
      <w:pPr>
        <w:spacing w:after="0" w:line="240" w:lineRule="auto"/>
        <w:rPr>
          <w:rFonts w:ascii="Times New Roman" w:eastAsia="Cambria" w:hAnsi="Times New Roman" w:cs="Times New Roman"/>
          <w:sz w:val="24"/>
          <w:szCs w:val="24"/>
        </w:rPr>
      </w:pPr>
    </w:p>
    <w:p w14:paraId="2DB6138A" w14:textId="77777777"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t>ii)</w:t>
      </w:r>
    </w:p>
    <w:p w14:paraId="3D184F81" w14:textId="77777777"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noProof/>
          <w:sz w:val="24"/>
          <w:szCs w:val="24"/>
          <w:lang w:val="en-CA" w:eastAsia="en-CA"/>
        </w:rPr>
        <w:drawing>
          <wp:inline distT="0" distB="0" distL="0" distR="0" wp14:anchorId="5C88E8CD" wp14:editId="5484890A">
            <wp:extent cx="5124450" cy="3217984"/>
            <wp:effectExtent l="0" t="0" r="0" b="190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8AECE72" w14:textId="77777777" w:rsidR="009C5B21"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br w:type="page"/>
      </w:r>
    </w:p>
    <w:p w14:paraId="1532C94D" w14:textId="77777777" w:rsidR="009C5B21" w:rsidRPr="0037350E" w:rsidRDefault="009C5B21" w:rsidP="009C5B21">
      <w:pPr>
        <w:spacing w:after="0" w:line="240" w:lineRule="auto"/>
        <w:rPr>
          <w:rFonts w:ascii="Times New Roman" w:eastAsia="Cambria" w:hAnsi="Times New Roman" w:cs="Times New Roman"/>
          <w:sz w:val="24"/>
          <w:szCs w:val="24"/>
        </w:rPr>
      </w:pPr>
      <w:r>
        <w:rPr>
          <w:rFonts w:ascii="Times New Roman" w:eastAsia="Cambria" w:hAnsi="Times New Roman" w:cs="Times New Roman"/>
          <w:sz w:val="24"/>
          <w:szCs w:val="24"/>
        </w:rPr>
        <w:lastRenderedPageBreak/>
        <w:t>Figure 3.</w:t>
      </w:r>
    </w:p>
    <w:p w14:paraId="5861594D" w14:textId="77777777" w:rsidR="009C5B21" w:rsidRPr="00D75249" w:rsidRDefault="009C5B21" w:rsidP="009C5B21">
      <w:pPr>
        <w:pStyle w:val="ListParagraph"/>
        <w:numPr>
          <w:ilvl w:val="0"/>
          <w:numId w:val="7"/>
        </w:numPr>
        <w:rPr>
          <w:rFonts w:eastAsia="Cambria" w:cs="Times New Roman"/>
        </w:rPr>
      </w:pPr>
      <w:r>
        <w:rPr>
          <w:rFonts w:eastAsia="Cambria" w:cs="Times New Roman"/>
        </w:rPr>
        <w:t xml:space="preserve">                                                               ii)</w:t>
      </w:r>
    </w:p>
    <w:p w14:paraId="29ABC002" w14:textId="77777777"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noProof/>
          <w:sz w:val="24"/>
          <w:szCs w:val="24"/>
          <w:lang w:val="en-CA" w:eastAsia="en-CA"/>
        </w:rPr>
        <w:drawing>
          <wp:inline distT="0" distB="0" distL="0" distR="0" wp14:anchorId="481955CC" wp14:editId="18F84FDE">
            <wp:extent cx="2958696" cy="2185035"/>
            <wp:effectExtent l="0" t="0" r="13335" b="571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37350E">
        <w:rPr>
          <w:rFonts w:ascii="Times New Roman" w:eastAsia="Cambria" w:hAnsi="Times New Roman" w:cs="Times New Roman"/>
          <w:noProof/>
          <w:sz w:val="24"/>
          <w:szCs w:val="24"/>
          <w:lang w:val="en-CA" w:eastAsia="en-CA"/>
        </w:rPr>
        <w:drawing>
          <wp:inline distT="0" distB="0" distL="0" distR="0" wp14:anchorId="285B027C" wp14:editId="78CA65EE">
            <wp:extent cx="2933065" cy="2172970"/>
            <wp:effectExtent l="0" t="0" r="635" b="1778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CF1C8D2" w14:textId="77777777" w:rsidR="009C5B21" w:rsidRPr="0037350E" w:rsidRDefault="009C5B21" w:rsidP="009C5B21">
      <w:pPr>
        <w:spacing w:after="0" w:line="240" w:lineRule="auto"/>
        <w:rPr>
          <w:rFonts w:ascii="Times New Roman" w:eastAsia="Cambria" w:hAnsi="Times New Roman" w:cs="Times New Roman"/>
          <w:sz w:val="24"/>
          <w:szCs w:val="24"/>
        </w:rPr>
      </w:pPr>
    </w:p>
    <w:p w14:paraId="22B1EDB1" w14:textId="77777777" w:rsidR="009C5B21" w:rsidRPr="00D75249" w:rsidRDefault="009C5B21" w:rsidP="009C5B21">
      <w:pPr>
        <w:pStyle w:val="ListParagraph"/>
        <w:numPr>
          <w:ilvl w:val="0"/>
          <w:numId w:val="8"/>
        </w:numPr>
        <w:rPr>
          <w:rFonts w:eastAsia="Cambria" w:cs="Times New Roman"/>
        </w:rPr>
      </w:pPr>
      <w:r w:rsidRPr="00D75249">
        <w:rPr>
          <w:rFonts w:eastAsia="Cambria" w:cs="Times New Roman"/>
        </w:rPr>
        <w:t xml:space="preserve">                    </w:t>
      </w:r>
      <w:r>
        <w:rPr>
          <w:rFonts w:eastAsia="Cambria" w:cs="Times New Roman"/>
        </w:rPr>
        <w:t xml:space="preserve">                                           iv) </w:t>
      </w:r>
    </w:p>
    <w:p w14:paraId="1EF86B21" w14:textId="77777777"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noProof/>
          <w:sz w:val="24"/>
          <w:szCs w:val="24"/>
          <w:lang w:val="en-CA" w:eastAsia="en-CA"/>
        </w:rPr>
        <w:drawing>
          <wp:inline distT="0" distB="0" distL="0" distR="0" wp14:anchorId="79029601" wp14:editId="2F8BCEC0">
            <wp:extent cx="2831335" cy="2545080"/>
            <wp:effectExtent l="0" t="0" r="7620" b="762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37350E">
        <w:rPr>
          <w:rFonts w:ascii="Times New Roman" w:eastAsia="Cambria" w:hAnsi="Times New Roman" w:cs="Times New Roman"/>
          <w:noProof/>
          <w:sz w:val="24"/>
          <w:szCs w:val="24"/>
          <w:lang w:val="en-CA" w:eastAsia="en-CA"/>
        </w:rPr>
        <w:drawing>
          <wp:inline distT="0" distB="0" distL="0" distR="0" wp14:anchorId="34D80884" wp14:editId="52DCF546">
            <wp:extent cx="2974340" cy="2550795"/>
            <wp:effectExtent l="0" t="0" r="16510" b="1905"/>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32A3EF" w14:textId="77777777" w:rsidR="009C5B21" w:rsidRPr="0037350E" w:rsidRDefault="009C5B21" w:rsidP="009C5B21">
      <w:pPr>
        <w:spacing w:after="0" w:line="240" w:lineRule="auto"/>
        <w:rPr>
          <w:rFonts w:ascii="Times New Roman" w:eastAsia="Cambria" w:hAnsi="Times New Roman" w:cs="Times New Roman"/>
          <w:sz w:val="24"/>
          <w:szCs w:val="24"/>
        </w:rPr>
      </w:pPr>
      <w:r>
        <w:rPr>
          <w:rFonts w:ascii="Times New Roman" w:eastAsia="Cambria" w:hAnsi="Times New Roman" w:cs="Times New Roman"/>
          <w:sz w:val="24"/>
          <w:szCs w:val="24"/>
        </w:rPr>
        <w:t xml:space="preserve">      </w:t>
      </w:r>
      <w:r w:rsidRPr="0037350E">
        <w:rPr>
          <w:rFonts w:ascii="Times New Roman" w:eastAsia="Cambria" w:hAnsi="Times New Roman" w:cs="Times New Roman"/>
          <w:sz w:val="24"/>
          <w:szCs w:val="24"/>
        </w:rPr>
        <w:t>v)</w:t>
      </w:r>
      <w:r>
        <w:rPr>
          <w:rFonts w:ascii="Times New Roman" w:eastAsia="Cambria" w:hAnsi="Times New Roman" w:cs="Times New Roman"/>
          <w:sz w:val="24"/>
          <w:szCs w:val="24"/>
        </w:rPr>
        <w:tab/>
      </w:r>
      <w:r>
        <w:rPr>
          <w:rFonts w:ascii="Times New Roman" w:eastAsia="Cambria" w:hAnsi="Times New Roman" w:cs="Times New Roman"/>
          <w:sz w:val="24"/>
          <w:szCs w:val="24"/>
        </w:rPr>
        <w:tab/>
      </w:r>
      <w:r>
        <w:rPr>
          <w:rFonts w:ascii="Times New Roman" w:eastAsia="Cambria" w:hAnsi="Times New Roman" w:cs="Times New Roman"/>
          <w:sz w:val="24"/>
          <w:szCs w:val="24"/>
        </w:rPr>
        <w:tab/>
      </w:r>
      <w:r>
        <w:rPr>
          <w:rFonts w:ascii="Times New Roman" w:eastAsia="Cambria" w:hAnsi="Times New Roman" w:cs="Times New Roman"/>
          <w:sz w:val="24"/>
          <w:szCs w:val="24"/>
        </w:rPr>
        <w:tab/>
      </w:r>
      <w:r>
        <w:rPr>
          <w:rFonts w:ascii="Times New Roman" w:eastAsia="Cambria" w:hAnsi="Times New Roman" w:cs="Times New Roman"/>
          <w:sz w:val="24"/>
          <w:szCs w:val="24"/>
        </w:rPr>
        <w:tab/>
      </w:r>
      <w:r>
        <w:rPr>
          <w:rFonts w:ascii="Times New Roman" w:eastAsia="Cambria" w:hAnsi="Times New Roman" w:cs="Times New Roman"/>
          <w:sz w:val="24"/>
          <w:szCs w:val="24"/>
        </w:rPr>
        <w:tab/>
        <w:t xml:space="preserve">         vi)</w:t>
      </w:r>
    </w:p>
    <w:p w14:paraId="20C7E496" w14:textId="77777777"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noProof/>
          <w:sz w:val="24"/>
          <w:szCs w:val="24"/>
          <w:lang w:val="en-CA" w:eastAsia="en-CA"/>
        </w:rPr>
        <w:drawing>
          <wp:inline distT="0" distB="0" distL="0" distR="0" wp14:anchorId="3E69E556" wp14:editId="2806EB99">
            <wp:extent cx="2915728" cy="2518914"/>
            <wp:effectExtent l="0" t="0" r="18415" b="1524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Pr>
          <w:noProof/>
          <w:lang w:val="en-CA" w:eastAsia="en-CA"/>
        </w:rPr>
        <w:drawing>
          <wp:inline distT="0" distB="0" distL="0" distR="0" wp14:anchorId="4FA1EDD1" wp14:editId="52C3432C">
            <wp:extent cx="2973070" cy="2561082"/>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F992363" w14:textId="77777777"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lastRenderedPageBreak/>
        <w:t xml:space="preserve">Figure </w:t>
      </w:r>
      <w:r>
        <w:rPr>
          <w:rFonts w:ascii="Times New Roman" w:eastAsia="Cambria" w:hAnsi="Times New Roman" w:cs="Times New Roman"/>
          <w:sz w:val="24"/>
          <w:szCs w:val="24"/>
        </w:rPr>
        <w:t>4</w:t>
      </w:r>
      <w:r w:rsidRPr="0037350E">
        <w:rPr>
          <w:rFonts w:ascii="Times New Roman" w:eastAsia="Cambria" w:hAnsi="Times New Roman" w:cs="Times New Roman"/>
          <w:sz w:val="24"/>
          <w:szCs w:val="24"/>
        </w:rPr>
        <w:t>.</w:t>
      </w:r>
    </w:p>
    <w:p w14:paraId="1A1FABD5" w14:textId="7A1EC440" w:rsidR="009C5B21" w:rsidRDefault="00DD2DDA" w:rsidP="009C5B21">
      <w:pPr>
        <w:spacing w:after="0" w:line="240" w:lineRule="auto"/>
        <w:rPr>
          <w:rFonts w:ascii="Times New Roman" w:eastAsia="Cambria" w:hAnsi="Times New Roman" w:cs="Times New Roman"/>
          <w:sz w:val="24"/>
          <w:szCs w:val="24"/>
        </w:rPr>
      </w:pPr>
      <w:r>
        <w:rPr>
          <w:rFonts w:ascii="Times New Roman" w:eastAsia="Cambria" w:hAnsi="Times New Roman" w:cs="Times New Roman"/>
          <w:sz w:val="24"/>
          <w:szCs w:val="24"/>
        </w:rPr>
        <w:t>i)</w:t>
      </w:r>
    </w:p>
    <w:p w14:paraId="5426A647" w14:textId="77777777" w:rsidR="00DD2DDA" w:rsidRDefault="00DD2DDA" w:rsidP="009C5B21">
      <w:pPr>
        <w:spacing w:after="0" w:line="240" w:lineRule="auto"/>
        <w:rPr>
          <w:rFonts w:ascii="Times New Roman" w:eastAsia="Cambria" w:hAnsi="Times New Roman" w:cs="Times New Roman"/>
          <w:sz w:val="24"/>
          <w:szCs w:val="24"/>
        </w:rPr>
      </w:pPr>
    </w:p>
    <w:p w14:paraId="69C5C603" w14:textId="56DE07C7" w:rsidR="00DD2DDA" w:rsidRPr="0037350E" w:rsidRDefault="00DD2DDA" w:rsidP="009C5B21">
      <w:pPr>
        <w:spacing w:after="0" w:line="240" w:lineRule="auto"/>
        <w:rPr>
          <w:rFonts w:ascii="Times New Roman" w:eastAsia="Cambria" w:hAnsi="Times New Roman" w:cs="Times New Roman"/>
          <w:sz w:val="24"/>
          <w:szCs w:val="24"/>
        </w:rPr>
      </w:pPr>
      <w:r>
        <w:rPr>
          <w:noProof/>
          <w:lang w:val="en-CA" w:eastAsia="en-CA"/>
        </w:rPr>
        <w:drawing>
          <wp:inline distT="0" distB="0" distL="0" distR="0" wp14:anchorId="1EDD50D6" wp14:editId="002F720F">
            <wp:extent cx="4718050" cy="3648075"/>
            <wp:effectExtent l="0" t="0" r="635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C0FBFE1" w14:textId="77777777" w:rsidR="009C5B21" w:rsidRPr="0037350E" w:rsidRDefault="009C5B21" w:rsidP="009C5B21">
      <w:pPr>
        <w:spacing w:after="0" w:line="240" w:lineRule="auto"/>
        <w:rPr>
          <w:rFonts w:ascii="Times New Roman" w:eastAsia="Cambria" w:hAnsi="Times New Roman" w:cs="Times New Roman"/>
          <w:sz w:val="24"/>
          <w:szCs w:val="24"/>
        </w:rPr>
      </w:pPr>
    </w:p>
    <w:p w14:paraId="1340E8BE" w14:textId="77777777" w:rsidR="009C5B21" w:rsidRPr="0037350E" w:rsidRDefault="009C5B21" w:rsidP="009C5B21">
      <w:pPr>
        <w:spacing w:after="0" w:line="240" w:lineRule="auto"/>
        <w:rPr>
          <w:rFonts w:ascii="Times New Roman" w:eastAsia="Cambria" w:hAnsi="Times New Roman" w:cs="Times New Roman"/>
          <w:sz w:val="24"/>
          <w:szCs w:val="24"/>
        </w:rPr>
      </w:pPr>
    </w:p>
    <w:p w14:paraId="3C2D77DF" w14:textId="77777777" w:rsidR="009C5B21" w:rsidRPr="0037350E" w:rsidRDefault="009C5B21" w:rsidP="009C5B21">
      <w:pPr>
        <w:spacing w:after="0" w:line="240" w:lineRule="auto"/>
        <w:rPr>
          <w:rFonts w:ascii="Times New Roman" w:eastAsia="Cambria" w:hAnsi="Times New Roman" w:cs="Times New Roman"/>
          <w:sz w:val="24"/>
          <w:szCs w:val="24"/>
        </w:rPr>
      </w:pPr>
    </w:p>
    <w:p w14:paraId="375C7E5A" w14:textId="77777777" w:rsidR="009C5B21" w:rsidRPr="0037350E" w:rsidRDefault="009C5B21" w:rsidP="009C5B21">
      <w:pPr>
        <w:spacing w:after="0" w:line="240" w:lineRule="auto"/>
        <w:rPr>
          <w:rFonts w:ascii="Times New Roman" w:eastAsia="Cambria" w:hAnsi="Times New Roman" w:cs="Times New Roman"/>
          <w:sz w:val="24"/>
          <w:szCs w:val="24"/>
        </w:rPr>
      </w:pPr>
    </w:p>
    <w:p w14:paraId="72682273" w14:textId="77777777" w:rsidR="009C5B21" w:rsidRPr="0037350E" w:rsidRDefault="009C5B21" w:rsidP="009C5B21">
      <w:pPr>
        <w:spacing w:after="0" w:line="240" w:lineRule="auto"/>
        <w:rPr>
          <w:rFonts w:ascii="Times New Roman" w:eastAsia="Cambria" w:hAnsi="Times New Roman" w:cs="Times New Roman"/>
          <w:sz w:val="24"/>
          <w:szCs w:val="24"/>
        </w:rPr>
      </w:pPr>
    </w:p>
    <w:p w14:paraId="1FFE9B3A" w14:textId="77777777" w:rsidR="009C5B21" w:rsidRPr="0037350E" w:rsidRDefault="009C5B21" w:rsidP="009C5B21">
      <w:pPr>
        <w:spacing w:after="0" w:line="240" w:lineRule="auto"/>
        <w:rPr>
          <w:rFonts w:ascii="Times New Roman" w:eastAsia="Cambria" w:hAnsi="Times New Roman" w:cs="Times New Roman"/>
          <w:sz w:val="24"/>
          <w:szCs w:val="24"/>
        </w:rPr>
      </w:pPr>
    </w:p>
    <w:p w14:paraId="0595C6E2" w14:textId="77777777" w:rsidR="009C5B21" w:rsidRPr="0037350E" w:rsidRDefault="009C5B21" w:rsidP="009C5B21">
      <w:pPr>
        <w:spacing w:after="0" w:line="240" w:lineRule="auto"/>
        <w:rPr>
          <w:rFonts w:ascii="Times New Roman" w:eastAsia="Cambria" w:hAnsi="Times New Roman" w:cs="Times New Roman"/>
          <w:sz w:val="24"/>
          <w:szCs w:val="24"/>
        </w:rPr>
      </w:pPr>
    </w:p>
    <w:p w14:paraId="5DFB722A" w14:textId="77777777" w:rsidR="009C5B21" w:rsidRPr="0037350E" w:rsidRDefault="009C5B21" w:rsidP="009C5B21">
      <w:pPr>
        <w:spacing w:after="0" w:line="240" w:lineRule="auto"/>
        <w:rPr>
          <w:rFonts w:ascii="Times New Roman" w:eastAsia="Cambria" w:hAnsi="Times New Roman" w:cs="Times New Roman"/>
          <w:sz w:val="24"/>
          <w:szCs w:val="24"/>
        </w:rPr>
      </w:pPr>
    </w:p>
    <w:p w14:paraId="12579997" w14:textId="77777777" w:rsidR="009C5B21" w:rsidRPr="0037350E" w:rsidRDefault="009C5B21" w:rsidP="009C5B21">
      <w:pPr>
        <w:spacing w:after="0" w:line="240" w:lineRule="auto"/>
        <w:rPr>
          <w:rFonts w:ascii="Times New Roman" w:eastAsia="Cambria" w:hAnsi="Times New Roman" w:cs="Times New Roman"/>
          <w:sz w:val="24"/>
          <w:szCs w:val="24"/>
        </w:rPr>
      </w:pPr>
    </w:p>
    <w:p w14:paraId="45ABF1A6" w14:textId="77777777" w:rsidR="009C5B21" w:rsidRPr="0037350E" w:rsidRDefault="009C5B21" w:rsidP="009C5B21">
      <w:pPr>
        <w:spacing w:after="0" w:line="240" w:lineRule="auto"/>
        <w:rPr>
          <w:rFonts w:ascii="Times New Roman" w:eastAsia="Cambria" w:hAnsi="Times New Roman" w:cs="Times New Roman"/>
          <w:sz w:val="24"/>
          <w:szCs w:val="24"/>
        </w:rPr>
      </w:pPr>
      <w:r w:rsidRPr="0037350E">
        <w:rPr>
          <w:rFonts w:ascii="Times New Roman" w:eastAsia="Cambria" w:hAnsi="Times New Roman" w:cs="Times New Roman"/>
          <w:sz w:val="24"/>
          <w:szCs w:val="24"/>
        </w:rPr>
        <w:br w:type="page"/>
      </w:r>
      <w:r w:rsidRPr="0037350E">
        <w:rPr>
          <w:rFonts w:ascii="Times New Roman" w:eastAsia="Cambria" w:hAnsi="Times New Roman" w:cs="Times New Roman"/>
          <w:sz w:val="24"/>
          <w:szCs w:val="24"/>
        </w:rPr>
        <w:lastRenderedPageBreak/>
        <w:t xml:space="preserve">Figure </w:t>
      </w:r>
      <w:r>
        <w:rPr>
          <w:rFonts w:ascii="Times New Roman" w:eastAsia="Cambria" w:hAnsi="Times New Roman" w:cs="Times New Roman"/>
          <w:sz w:val="24"/>
          <w:szCs w:val="24"/>
        </w:rPr>
        <w:t>5.</w:t>
      </w:r>
    </w:p>
    <w:p w14:paraId="70624531" w14:textId="77777777" w:rsidR="009C5B21" w:rsidRPr="0037350E" w:rsidRDefault="009C5B21" w:rsidP="009C5B21">
      <w:pPr>
        <w:spacing w:after="0" w:line="240" w:lineRule="auto"/>
        <w:rPr>
          <w:rFonts w:ascii="Times New Roman" w:eastAsia="Cambria" w:hAnsi="Times New Roman" w:cs="Times New Roman"/>
          <w:sz w:val="24"/>
          <w:szCs w:val="24"/>
        </w:rPr>
      </w:pPr>
      <w:r>
        <w:rPr>
          <w:rFonts w:ascii="Times New Roman" w:eastAsia="Cambria" w:hAnsi="Times New Roman" w:cs="Times New Roman"/>
          <w:sz w:val="24"/>
          <w:szCs w:val="24"/>
        </w:rPr>
        <w:t>i)                                                                     ii)</w:t>
      </w:r>
    </w:p>
    <w:p w14:paraId="05056B7B" w14:textId="3DE4C7DD" w:rsidR="009C5B21" w:rsidRDefault="00DD2DDA" w:rsidP="009C5B21">
      <w:pPr>
        <w:spacing w:after="0" w:line="240" w:lineRule="auto"/>
        <w:rPr>
          <w:rFonts w:ascii="Times New Roman" w:eastAsia="Cambria" w:hAnsi="Times New Roman" w:cs="Times New Roman"/>
          <w:sz w:val="24"/>
          <w:szCs w:val="24"/>
        </w:rPr>
      </w:pPr>
      <w:r>
        <w:rPr>
          <w:noProof/>
          <w:lang w:val="en-CA" w:eastAsia="en-CA"/>
        </w:rPr>
        <w:drawing>
          <wp:inline distT="0" distB="0" distL="0" distR="0" wp14:anchorId="2C620541" wp14:editId="4F181A02">
            <wp:extent cx="2933700" cy="2388870"/>
            <wp:effectExtent l="0" t="0" r="0" b="1143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86561F">
        <w:rPr>
          <w:noProof/>
          <w:lang w:val="en-CA" w:eastAsia="en-CA"/>
        </w:rPr>
        <w:drawing>
          <wp:inline distT="0" distB="0" distL="0" distR="0" wp14:anchorId="0CD43F75" wp14:editId="6AAAA514">
            <wp:extent cx="2999740" cy="2454910"/>
            <wp:effectExtent l="0" t="0" r="10160" b="254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BF8F8C5" w14:textId="77777777" w:rsidR="009C5B21" w:rsidRPr="00D75249" w:rsidRDefault="009C5B21" w:rsidP="009C5B21">
      <w:pPr>
        <w:rPr>
          <w:rFonts w:ascii="Times New Roman" w:eastAsia="Cambria" w:hAnsi="Times New Roman" w:cs="Times New Roman"/>
          <w:sz w:val="24"/>
          <w:szCs w:val="24"/>
        </w:rPr>
      </w:pPr>
      <w:r w:rsidRPr="00D75249">
        <w:rPr>
          <w:rFonts w:ascii="Times New Roman" w:eastAsia="Cambria" w:hAnsi="Times New Roman" w:cs="Times New Roman"/>
          <w:sz w:val="24"/>
          <w:szCs w:val="24"/>
        </w:rPr>
        <w:t xml:space="preserve">iii)           </w:t>
      </w:r>
      <w:r>
        <w:rPr>
          <w:rFonts w:ascii="Times New Roman" w:eastAsia="Cambria" w:hAnsi="Times New Roman" w:cs="Times New Roman"/>
          <w:sz w:val="24"/>
          <w:szCs w:val="24"/>
        </w:rPr>
        <w:t xml:space="preserve"> </w:t>
      </w:r>
      <w:r w:rsidRPr="00D75249">
        <w:rPr>
          <w:rFonts w:ascii="Times New Roman" w:eastAsia="Cambria" w:hAnsi="Times New Roman" w:cs="Times New Roman"/>
          <w:sz w:val="24"/>
          <w:szCs w:val="24"/>
        </w:rPr>
        <w:t xml:space="preserve">                                     </w:t>
      </w:r>
      <w:r>
        <w:rPr>
          <w:rFonts w:ascii="Times New Roman" w:eastAsia="Cambria" w:hAnsi="Times New Roman" w:cs="Times New Roman"/>
          <w:sz w:val="24"/>
          <w:szCs w:val="24"/>
        </w:rPr>
        <w:t xml:space="preserve">                   </w:t>
      </w:r>
      <w:r w:rsidRPr="00D75249">
        <w:rPr>
          <w:rFonts w:ascii="Times New Roman" w:eastAsia="Cambria" w:hAnsi="Times New Roman" w:cs="Times New Roman"/>
          <w:sz w:val="24"/>
          <w:szCs w:val="24"/>
        </w:rPr>
        <w:t xml:space="preserve"> iv)</w:t>
      </w:r>
    </w:p>
    <w:p w14:paraId="596C620D" w14:textId="4A6FCBDA" w:rsidR="009C5B21" w:rsidRDefault="00731C80" w:rsidP="009C5B21">
      <w:pPr>
        <w:spacing w:after="0" w:line="240" w:lineRule="auto"/>
        <w:rPr>
          <w:rFonts w:ascii="Times New Roman" w:eastAsia="Cambria" w:hAnsi="Times New Roman" w:cs="Times New Roman"/>
          <w:sz w:val="24"/>
          <w:szCs w:val="24"/>
        </w:rPr>
      </w:pPr>
      <w:r>
        <w:rPr>
          <w:noProof/>
          <w:lang w:val="en-CA" w:eastAsia="en-CA"/>
        </w:rPr>
        <w:drawing>
          <wp:inline distT="0" distB="0" distL="0" distR="0" wp14:anchorId="5DD6520F" wp14:editId="42CFA2EB">
            <wp:extent cx="2938145" cy="2637790"/>
            <wp:effectExtent l="0" t="0" r="14605" b="1016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9C5B21" w:rsidRPr="0037350E">
        <w:rPr>
          <w:rFonts w:ascii="Times New Roman" w:eastAsia="Cambria" w:hAnsi="Times New Roman" w:cs="Times New Roman"/>
          <w:noProof/>
          <w:sz w:val="24"/>
          <w:szCs w:val="24"/>
          <w:lang w:val="en-CA" w:eastAsia="en-CA"/>
        </w:rPr>
        <w:drawing>
          <wp:inline distT="0" distB="0" distL="0" distR="0" wp14:anchorId="338F6E8B" wp14:editId="07B4FBCB">
            <wp:extent cx="2914650" cy="2750820"/>
            <wp:effectExtent l="0" t="0" r="0" b="1143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9F46B32" w14:textId="60C15892" w:rsidR="003D6616" w:rsidRDefault="003D6616">
      <w:pPr>
        <w:rPr>
          <w:rFonts w:ascii="Times New Roman" w:eastAsia="Cambria" w:hAnsi="Times New Roman" w:cs="Times New Roman"/>
          <w:sz w:val="24"/>
          <w:szCs w:val="24"/>
        </w:rPr>
      </w:pPr>
      <w:r>
        <w:rPr>
          <w:rFonts w:ascii="Times New Roman" w:eastAsia="Cambria" w:hAnsi="Times New Roman" w:cs="Times New Roman"/>
          <w:sz w:val="24"/>
          <w:szCs w:val="24"/>
        </w:rPr>
        <w:br w:type="page"/>
      </w:r>
    </w:p>
    <w:p w14:paraId="3F321CA0" w14:textId="77777777" w:rsidR="003D6616" w:rsidRDefault="003D6616" w:rsidP="009C5B21">
      <w:pPr>
        <w:spacing w:after="0" w:line="240" w:lineRule="auto"/>
        <w:rPr>
          <w:rFonts w:ascii="Times New Roman" w:eastAsia="Cambria" w:hAnsi="Times New Roman" w:cs="Times New Roman"/>
          <w:sz w:val="24"/>
          <w:szCs w:val="24"/>
        </w:rPr>
        <w:sectPr w:rsidR="003D6616">
          <w:pgSz w:w="12240" w:h="15840"/>
          <w:pgMar w:top="1440" w:right="1440" w:bottom="1440" w:left="1440" w:header="720" w:footer="720" w:gutter="0"/>
          <w:cols w:space="720"/>
          <w:docGrid w:linePitch="360"/>
        </w:sectPr>
      </w:pPr>
    </w:p>
    <w:p w14:paraId="746FB918" w14:textId="16C08CE3" w:rsidR="003D6616" w:rsidRDefault="003D6616" w:rsidP="009C5B21">
      <w:pPr>
        <w:spacing w:after="0" w:line="240" w:lineRule="auto"/>
        <w:rPr>
          <w:rFonts w:ascii="Times New Roman" w:eastAsia="Cambria" w:hAnsi="Times New Roman" w:cs="Times New Roman"/>
          <w:b/>
          <w:sz w:val="24"/>
          <w:szCs w:val="24"/>
        </w:rPr>
      </w:pPr>
      <w:r>
        <w:rPr>
          <w:rFonts w:ascii="Times New Roman" w:eastAsia="Cambria" w:hAnsi="Times New Roman" w:cs="Times New Roman"/>
          <w:b/>
          <w:sz w:val="24"/>
          <w:szCs w:val="24"/>
        </w:rPr>
        <w:lastRenderedPageBreak/>
        <w:t>11. Appendices</w:t>
      </w:r>
    </w:p>
    <w:p w14:paraId="7A57D62E" w14:textId="77777777" w:rsidR="003D6616" w:rsidRDefault="003D6616" w:rsidP="009C5B21">
      <w:pPr>
        <w:spacing w:after="0" w:line="240" w:lineRule="auto"/>
        <w:rPr>
          <w:rFonts w:ascii="Times New Roman" w:eastAsia="Cambria" w:hAnsi="Times New Roman" w:cs="Times New Roman"/>
          <w:b/>
          <w:sz w:val="24"/>
          <w:szCs w:val="24"/>
        </w:rPr>
      </w:pPr>
    </w:p>
    <w:p w14:paraId="73E9A2C6" w14:textId="5F998D2B" w:rsidR="003D6616" w:rsidRPr="000606C7" w:rsidRDefault="003D6616" w:rsidP="000606C7">
      <w:pPr>
        <w:rPr>
          <w:rFonts w:ascii="Times New Roman" w:eastAsia="Cambria" w:hAnsi="Times New Roman" w:cs="Times New Roman"/>
          <w:sz w:val="24"/>
          <w:szCs w:val="24"/>
        </w:rPr>
      </w:pPr>
      <w:r>
        <w:rPr>
          <w:rFonts w:ascii="Times New Roman" w:eastAsia="Cambria" w:hAnsi="Times New Roman" w:cs="Times New Roman"/>
          <w:sz w:val="24"/>
          <w:szCs w:val="24"/>
        </w:rPr>
        <w:t>Appendix A</w:t>
      </w:r>
    </w:p>
    <w:p w14:paraId="65167C9D" w14:textId="051CFAF5" w:rsidR="003D6616" w:rsidRDefault="003D6616" w:rsidP="009C5B21">
      <w:pPr>
        <w:spacing w:after="0" w:line="240" w:lineRule="auto"/>
        <w:rPr>
          <w:rFonts w:ascii="Times New Roman" w:eastAsia="Cambria" w:hAnsi="Times New Roman" w:cs="Times New Roman"/>
          <w:sz w:val="24"/>
          <w:szCs w:val="24"/>
        </w:rPr>
      </w:pPr>
      <w:r>
        <w:rPr>
          <w:rFonts w:ascii="Times New Roman" w:eastAsia="Cambria" w:hAnsi="Times New Roman" w:cs="Times New Roman"/>
          <w:sz w:val="24"/>
          <w:szCs w:val="24"/>
        </w:rPr>
        <w:t xml:space="preserve">Preliminary analyses showing the difference in fit between arithmetic and log distance to infrastructure. df = residual degrees of freedom </w:t>
      </w:r>
    </w:p>
    <w:tbl>
      <w:tblPr>
        <w:tblW w:w="13840" w:type="dxa"/>
        <w:tblInd w:w="108" w:type="dxa"/>
        <w:tblLook w:val="04A0" w:firstRow="1" w:lastRow="0" w:firstColumn="1" w:lastColumn="0" w:noHBand="0" w:noVBand="1"/>
      </w:tblPr>
      <w:tblGrid>
        <w:gridCol w:w="880"/>
        <w:gridCol w:w="880"/>
        <w:gridCol w:w="880"/>
        <w:gridCol w:w="801"/>
        <w:gridCol w:w="1439"/>
        <w:gridCol w:w="801"/>
        <w:gridCol w:w="1439"/>
        <w:gridCol w:w="801"/>
        <w:gridCol w:w="1439"/>
        <w:gridCol w:w="801"/>
        <w:gridCol w:w="1269"/>
        <w:gridCol w:w="971"/>
        <w:gridCol w:w="1439"/>
      </w:tblGrid>
      <w:tr w:rsidR="003D6616" w:rsidRPr="003D6616" w14:paraId="6A708B9D" w14:textId="77777777" w:rsidTr="000606C7">
        <w:trPr>
          <w:trHeight w:val="315"/>
        </w:trPr>
        <w:tc>
          <w:tcPr>
            <w:tcW w:w="880" w:type="dxa"/>
            <w:tcBorders>
              <w:top w:val="nil"/>
              <w:left w:val="nil"/>
              <w:bottom w:val="nil"/>
              <w:right w:val="nil"/>
            </w:tcBorders>
            <w:shd w:val="clear" w:color="auto" w:fill="auto"/>
            <w:noWrap/>
            <w:vAlign w:val="bottom"/>
            <w:hideMark/>
          </w:tcPr>
          <w:p w14:paraId="4A607C55" w14:textId="77777777" w:rsidR="003D6616" w:rsidRPr="003D6616" w:rsidRDefault="003D6616" w:rsidP="003D6616">
            <w:pPr>
              <w:spacing w:after="0" w:line="240" w:lineRule="auto"/>
              <w:rPr>
                <w:rFonts w:ascii="Times New Roman" w:eastAsia="Times New Roman" w:hAnsi="Times New Roman" w:cs="Times New Roman"/>
                <w:sz w:val="24"/>
                <w:szCs w:val="24"/>
              </w:rPr>
            </w:pPr>
          </w:p>
        </w:tc>
        <w:tc>
          <w:tcPr>
            <w:tcW w:w="880" w:type="dxa"/>
            <w:tcBorders>
              <w:top w:val="nil"/>
              <w:left w:val="nil"/>
              <w:bottom w:val="nil"/>
              <w:right w:val="nil"/>
            </w:tcBorders>
            <w:shd w:val="clear" w:color="auto" w:fill="auto"/>
            <w:noWrap/>
            <w:vAlign w:val="bottom"/>
            <w:hideMark/>
          </w:tcPr>
          <w:p w14:paraId="728EB2D3"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880" w:type="dxa"/>
            <w:tcBorders>
              <w:top w:val="nil"/>
              <w:left w:val="nil"/>
              <w:bottom w:val="nil"/>
              <w:right w:val="nil"/>
            </w:tcBorders>
            <w:shd w:val="clear" w:color="auto" w:fill="auto"/>
            <w:noWrap/>
            <w:vAlign w:val="bottom"/>
            <w:hideMark/>
          </w:tcPr>
          <w:p w14:paraId="676F42B5"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2240" w:type="dxa"/>
            <w:gridSpan w:val="2"/>
            <w:tcBorders>
              <w:top w:val="nil"/>
              <w:left w:val="nil"/>
              <w:bottom w:val="nil"/>
              <w:right w:val="nil"/>
            </w:tcBorders>
            <w:shd w:val="clear" w:color="auto" w:fill="auto"/>
            <w:noWrap/>
            <w:vAlign w:val="bottom"/>
            <w:hideMark/>
          </w:tcPr>
          <w:p w14:paraId="325F15E9"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Sprague's pipit</w:t>
            </w:r>
          </w:p>
        </w:tc>
        <w:tc>
          <w:tcPr>
            <w:tcW w:w="2240" w:type="dxa"/>
            <w:gridSpan w:val="2"/>
            <w:tcBorders>
              <w:top w:val="nil"/>
              <w:left w:val="nil"/>
              <w:bottom w:val="nil"/>
              <w:right w:val="nil"/>
            </w:tcBorders>
            <w:shd w:val="clear" w:color="auto" w:fill="auto"/>
            <w:noWrap/>
            <w:vAlign w:val="bottom"/>
            <w:hideMark/>
          </w:tcPr>
          <w:p w14:paraId="04D864AA"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Baird's sparrow</w:t>
            </w:r>
          </w:p>
        </w:tc>
        <w:tc>
          <w:tcPr>
            <w:tcW w:w="2240" w:type="dxa"/>
            <w:gridSpan w:val="2"/>
            <w:tcBorders>
              <w:top w:val="nil"/>
              <w:left w:val="nil"/>
              <w:bottom w:val="nil"/>
              <w:right w:val="nil"/>
            </w:tcBorders>
            <w:shd w:val="clear" w:color="auto" w:fill="auto"/>
            <w:noWrap/>
            <w:vAlign w:val="bottom"/>
            <w:hideMark/>
          </w:tcPr>
          <w:p w14:paraId="7C9A7923"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Western Meadowlark</w:t>
            </w:r>
          </w:p>
        </w:tc>
        <w:tc>
          <w:tcPr>
            <w:tcW w:w="2070" w:type="dxa"/>
            <w:gridSpan w:val="2"/>
            <w:tcBorders>
              <w:top w:val="nil"/>
              <w:left w:val="nil"/>
              <w:bottom w:val="nil"/>
              <w:right w:val="nil"/>
            </w:tcBorders>
            <w:shd w:val="clear" w:color="auto" w:fill="auto"/>
            <w:noWrap/>
            <w:vAlign w:val="bottom"/>
            <w:hideMark/>
          </w:tcPr>
          <w:p w14:paraId="4D263A6F"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Savannah sparrow</w:t>
            </w:r>
          </w:p>
        </w:tc>
        <w:tc>
          <w:tcPr>
            <w:tcW w:w="2410" w:type="dxa"/>
            <w:gridSpan w:val="2"/>
            <w:tcBorders>
              <w:top w:val="nil"/>
              <w:left w:val="nil"/>
              <w:bottom w:val="nil"/>
              <w:right w:val="nil"/>
            </w:tcBorders>
            <w:shd w:val="clear" w:color="auto" w:fill="auto"/>
            <w:noWrap/>
            <w:vAlign w:val="bottom"/>
            <w:hideMark/>
          </w:tcPr>
          <w:p w14:paraId="4E9CA4F1"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Chestnut-collared longspur</w:t>
            </w:r>
          </w:p>
        </w:tc>
      </w:tr>
      <w:tr w:rsidR="000606C7" w:rsidRPr="003D6616" w14:paraId="09292C06" w14:textId="77777777" w:rsidTr="000606C7">
        <w:trPr>
          <w:trHeight w:val="315"/>
        </w:trPr>
        <w:tc>
          <w:tcPr>
            <w:tcW w:w="880" w:type="dxa"/>
            <w:tcBorders>
              <w:top w:val="nil"/>
              <w:left w:val="nil"/>
              <w:bottom w:val="nil"/>
              <w:right w:val="nil"/>
            </w:tcBorders>
            <w:shd w:val="clear" w:color="auto" w:fill="auto"/>
            <w:noWrap/>
            <w:vAlign w:val="bottom"/>
            <w:hideMark/>
          </w:tcPr>
          <w:p w14:paraId="7AA8EC9C"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80" w:type="dxa"/>
            <w:tcBorders>
              <w:top w:val="nil"/>
              <w:left w:val="nil"/>
              <w:bottom w:val="nil"/>
              <w:right w:val="nil"/>
            </w:tcBorders>
            <w:shd w:val="clear" w:color="auto" w:fill="auto"/>
            <w:noWrap/>
            <w:vAlign w:val="bottom"/>
            <w:hideMark/>
          </w:tcPr>
          <w:p w14:paraId="3D8A1010"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Test</w:t>
            </w:r>
          </w:p>
        </w:tc>
        <w:tc>
          <w:tcPr>
            <w:tcW w:w="880" w:type="dxa"/>
            <w:tcBorders>
              <w:top w:val="nil"/>
              <w:left w:val="nil"/>
              <w:bottom w:val="nil"/>
              <w:right w:val="nil"/>
            </w:tcBorders>
            <w:shd w:val="clear" w:color="auto" w:fill="auto"/>
            <w:noWrap/>
            <w:vAlign w:val="bottom"/>
            <w:hideMark/>
          </w:tcPr>
          <w:p w14:paraId="74970529"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801" w:type="dxa"/>
            <w:tcBorders>
              <w:top w:val="nil"/>
              <w:left w:val="nil"/>
              <w:bottom w:val="nil"/>
              <w:right w:val="nil"/>
            </w:tcBorders>
            <w:shd w:val="clear" w:color="auto" w:fill="auto"/>
            <w:noWrap/>
            <w:vAlign w:val="bottom"/>
            <w:hideMark/>
          </w:tcPr>
          <w:p w14:paraId="60ADDD72"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439" w:type="dxa"/>
            <w:tcBorders>
              <w:top w:val="nil"/>
              <w:left w:val="nil"/>
              <w:bottom w:val="nil"/>
              <w:right w:val="nil"/>
            </w:tcBorders>
            <w:shd w:val="clear" w:color="auto" w:fill="auto"/>
            <w:noWrap/>
            <w:vAlign w:val="bottom"/>
            <w:hideMark/>
          </w:tcPr>
          <w:p w14:paraId="09153975"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c>
          <w:tcPr>
            <w:tcW w:w="801" w:type="dxa"/>
            <w:tcBorders>
              <w:top w:val="nil"/>
              <w:left w:val="nil"/>
              <w:bottom w:val="nil"/>
              <w:right w:val="nil"/>
            </w:tcBorders>
            <w:shd w:val="clear" w:color="auto" w:fill="auto"/>
            <w:noWrap/>
            <w:vAlign w:val="bottom"/>
            <w:hideMark/>
          </w:tcPr>
          <w:p w14:paraId="0E49E538"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439" w:type="dxa"/>
            <w:tcBorders>
              <w:top w:val="nil"/>
              <w:left w:val="nil"/>
              <w:bottom w:val="nil"/>
              <w:right w:val="nil"/>
            </w:tcBorders>
            <w:shd w:val="clear" w:color="auto" w:fill="auto"/>
            <w:noWrap/>
            <w:vAlign w:val="bottom"/>
            <w:hideMark/>
          </w:tcPr>
          <w:p w14:paraId="43EB5329"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c>
          <w:tcPr>
            <w:tcW w:w="801" w:type="dxa"/>
            <w:tcBorders>
              <w:top w:val="nil"/>
              <w:left w:val="nil"/>
              <w:bottom w:val="nil"/>
              <w:right w:val="nil"/>
            </w:tcBorders>
            <w:shd w:val="clear" w:color="auto" w:fill="auto"/>
            <w:noWrap/>
            <w:vAlign w:val="bottom"/>
            <w:hideMark/>
          </w:tcPr>
          <w:p w14:paraId="35E2201D"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439" w:type="dxa"/>
            <w:tcBorders>
              <w:top w:val="nil"/>
              <w:left w:val="nil"/>
              <w:bottom w:val="nil"/>
              <w:right w:val="nil"/>
            </w:tcBorders>
            <w:shd w:val="clear" w:color="auto" w:fill="auto"/>
            <w:noWrap/>
            <w:vAlign w:val="bottom"/>
            <w:hideMark/>
          </w:tcPr>
          <w:p w14:paraId="3EF6D8AB"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c>
          <w:tcPr>
            <w:tcW w:w="801" w:type="dxa"/>
            <w:tcBorders>
              <w:top w:val="nil"/>
              <w:left w:val="nil"/>
              <w:bottom w:val="nil"/>
              <w:right w:val="nil"/>
            </w:tcBorders>
            <w:shd w:val="clear" w:color="auto" w:fill="auto"/>
            <w:noWrap/>
            <w:vAlign w:val="bottom"/>
            <w:hideMark/>
          </w:tcPr>
          <w:p w14:paraId="1EE2F3B0"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269" w:type="dxa"/>
            <w:tcBorders>
              <w:top w:val="nil"/>
              <w:left w:val="nil"/>
              <w:bottom w:val="nil"/>
              <w:right w:val="nil"/>
            </w:tcBorders>
            <w:shd w:val="clear" w:color="auto" w:fill="auto"/>
            <w:noWrap/>
            <w:vAlign w:val="bottom"/>
            <w:hideMark/>
          </w:tcPr>
          <w:p w14:paraId="03AB5912"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c>
          <w:tcPr>
            <w:tcW w:w="971" w:type="dxa"/>
            <w:tcBorders>
              <w:top w:val="nil"/>
              <w:left w:val="nil"/>
              <w:bottom w:val="nil"/>
              <w:right w:val="nil"/>
            </w:tcBorders>
            <w:shd w:val="clear" w:color="auto" w:fill="auto"/>
            <w:noWrap/>
            <w:vAlign w:val="bottom"/>
            <w:hideMark/>
          </w:tcPr>
          <w:p w14:paraId="5F84A882"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439" w:type="dxa"/>
            <w:tcBorders>
              <w:top w:val="nil"/>
              <w:left w:val="nil"/>
              <w:bottom w:val="nil"/>
              <w:right w:val="nil"/>
            </w:tcBorders>
            <w:shd w:val="clear" w:color="auto" w:fill="auto"/>
            <w:noWrap/>
            <w:vAlign w:val="bottom"/>
            <w:hideMark/>
          </w:tcPr>
          <w:p w14:paraId="7F415A11"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r>
      <w:tr w:rsidR="000606C7" w:rsidRPr="003D6616" w14:paraId="3CA672B9" w14:textId="77777777" w:rsidTr="000606C7">
        <w:trPr>
          <w:trHeight w:val="315"/>
        </w:trPr>
        <w:tc>
          <w:tcPr>
            <w:tcW w:w="2640" w:type="dxa"/>
            <w:gridSpan w:val="3"/>
            <w:tcBorders>
              <w:top w:val="nil"/>
              <w:left w:val="nil"/>
              <w:bottom w:val="nil"/>
              <w:right w:val="nil"/>
            </w:tcBorders>
            <w:shd w:val="clear" w:color="auto" w:fill="auto"/>
            <w:noWrap/>
            <w:vAlign w:val="bottom"/>
            <w:hideMark/>
          </w:tcPr>
          <w:p w14:paraId="0B8AA0C0"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Distance to infrastructure</w:t>
            </w:r>
          </w:p>
        </w:tc>
        <w:tc>
          <w:tcPr>
            <w:tcW w:w="801" w:type="dxa"/>
            <w:tcBorders>
              <w:top w:val="nil"/>
              <w:left w:val="nil"/>
              <w:bottom w:val="nil"/>
              <w:right w:val="nil"/>
            </w:tcBorders>
            <w:shd w:val="clear" w:color="auto" w:fill="auto"/>
            <w:noWrap/>
            <w:vAlign w:val="bottom"/>
            <w:hideMark/>
          </w:tcPr>
          <w:p w14:paraId="60458C90"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2001.0</w:t>
            </w:r>
          </w:p>
        </w:tc>
        <w:tc>
          <w:tcPr>
            <w:tcW w:w="1439" w:type="dxa"/>
            <w:tcBorders>
              <w:top w:val="nil"/>
              <w:left w:val="nil"/>
              <w:bottom w:val="nil"/>
              <w:right w:val="nil"/>
            </w:tcBorders>
            <w:shd w:val="clear" w:color="auto" w:fill="auto"/>
            <w:noWrap/>
            <w:vAlign w:val="bottom"/>
            <w:hideMark/>
          </w:tcPr>
          <w:p w14:paraId="672E4D99"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1.52</w:t>
            </w:r>
          </w:p>
        </w:tc>
        <w:tc>
          <w:tcPr>
            <w:tcW w:w="801" w:type="dxa"/>
            <w:tcBorders>
              <w:top w:val="nil"/>
              <w:left w:val="nil"/>
              <w:bottom w:val="nil"/>
              <w:right w:val="nil"/>
            </w:tcBorders>
            <w:shd w:val="clear" w:color="auto" w:fill="auto"/>
            <w:noWrap/>
            <w:vAlign w:val="bottom"/>
            <w:hideMark/>
          </w:tcPr>
          <w:p w14:paraId="7663C5E3"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1518.9</w:t>
            </w:r>
          </w:p>
        </w:tc>
        <w:tc>
          <w:tcPr>
            <w:tcW w:w="1439" w:type="dxa"/>
            <w:tcBorders>
              <w:top w:val="nil"/>
              <w:left w:val="nil"/>
              <w:bottom w:val="nil"/>
              <w:right w:val="nil"/>
            </w:tcBorders>
            <w:shd w:val="clear" w:color="auto" w:fill="auto"/>
            <w:noWrap/>
            <w:vAlign w:val="bottom"/>
            <w:hideMark/>
          </w:tcPr>
          <w:p w14:paraId="6CAB9777"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1.15</w:t>
            </w:r>
          </w:p>
        </w:tc>
        <w:tc>
          <w:tcPr>
            <w:tcW w:w="801" w:type="dxa"/>
            <w:tcBorders>
              <w:top w:val="nil"/>
              <w:left w:val="nil"/>
              <w:bottom w:val="nil"/>
              <w:right w:val="nil"/>
            </w:tcBorders>
            <w:shd w:val="clear" w:color="auto" w:fill="auto"/>
            <w:noWrap/>
            <w:vAlign w:val="bottom"/>
            <w:hideMark/>
          </w:tcPr>
          <w:p w14:paraId="0DDE8FC4"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1512.3</w:t>
            </w:r>
          </w:p>
        </w:tc>
        <w:tc>
          <w:tcPr>
            <w:tcW w:w="1439" w:type="dxa"/>
            <w:tcBorders>
              <w:top w:val="nil"/>
              <w:left w:val="nil"/>
              <w:bottom w:val="nil"/>
              <w:right w:val="nil"/>
            </w:tcBorders>
            <w:shd w:val="clear" w:color="auto" w:fill="auto"/>
            <w:noWrap/>
            <w:vAlign w:val="bottom"/>
            <w:hideMark/>
          </w:tcPr>
          <w:p w14:paraId="2E3E1C75"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1.15</w:t>
            </w:r>
          </w:p>
        </w:tc>
        <w:tc>
          <w:tcPr>
            <w:tcW w:w="801" w:type="dxa"/>
            <w:tcBorders>
              <w:top w:val="nil"/>
              <w:left w:val="nil"/>
              <w:bottom w:val="nil"/>
              <w:right w:val="nil"/>
            </w:tcBorders>
            <w:shd w:val="clear" w:color="auto" w:fill="auto"/>
            <w:noWrap/>
            <w:vAlign w:val="bottom"/>
            <w:hideMark/>
          </w:tcPr>
          <w:p w14:paraId="1FD68E92"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1982.6</w:t>
            </w:r>
          </w:p>
        </w:tc>
        <w:tc>
          <w:tcPr>
            <w:tcW w:w="1269" w:type="dxa"/>
            <w:tcBorders>
              <w:top w:val="nil"/>
              <w:left w:val="nil"/>
              <w:bottom w:val="nil"/>
              <w:right w:val="nil"/>
            </w:tcBorders>
            <w:shd w:val="clear" w:color="auto" w:fill="auto"/>
            <w:noWrap/>
            <w:vAlign w:val="bottom"/>
            <w:hideMark/>
          </w:tcPr>
          <w:p w14:paraId="05283742"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w:t>
            </w:r>
          </w:p>
        </w:tc>
        <w:tc>
          <w:tcPr>
            <w:tcW w:w="971" w:type="dxa"/>
            <w:tcBorders>
              <w:top w:val="nil"/>
              <w:left w:val="nil"/>
              <w:bottom w:val="nil"/>
              <w:right w:val="nil"/>
            </w:tcBorders>
            <w:shd w:val="clear" w:color="auto" w:fill="auto"/>
            <w:noWrap/>
            <w:vAlign w:val="bottom"/>
            <w:hideMark/>
          </w:tcPr>
          <w:p w14:paraId="72DC85A3"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1291.9</w:t>
            </w:r>
          </w:p>
        </w:tc>
        <w:tc>
          <w:tcPr>
            <w:tcW w:w="1439" w:type="dxa"/>
            <w:tcBorders>
              <w:top w:val="nil"/>
              <w:left w:val="nil"/>
              <w:bottom w:val="nil"/>
              <w:right w:val="nil"/>
            </w:tcBorders>
            <w:shd w:val="clear" w:color="auto" w:fill="auto"/>
            <w:noWrap/>
            <w:vAlign w:val="bottom"/>
            <w:hideMark/>
          </w:tcPr>
          <w:p w14:paraId="10FFB3EE"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0.98</w:t>
            </w:r>
          </w:p>
        </w:tc>
      </w:tr>
      <w:tr w:rsidR="000606C7" w:rsidRPr="003D6616" w14:paraId="5A9949DC" w14:textId="77777777" w:rsidTr="000606C7">
        <w:trPr>
          <w:trHeight w:val="315"/>
        </w:trPr>
        <w:tc>
          <w:tcPr>
            <w:tcW w:w="2640" w:type="dxa"/>
            <w:gridSpan w:val="3"/>
            <w:tcBorders>
              <w:top w:val="nil"/>
              <w:left w:val="nil"/>
              <w:bottom w:val="nil"/>
              <w:right w:val="nil"/>
            </w:tcBorders>
            <w:shd w:val="clear" w:color="auto" w:fill="auto"/>
            <w:noWrap/>
            <w:vAlign w:val="bottom"/>
            <w:hideMark/>
          </w:tcPr>
          <w:p w14:paraId="588C0510"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log(Distance to infrastructure)</w:t>
            </w:r>
          </w:p>
        </w:tc>
        <w:tc>
          <w:tcPr>
            <w:tcW w:w="801" w:type="dxa"/>
            <w:tcBorders>
              <w:top w:val="nil"/>
              <w:left w:val="nil"/>
              <w:bottom w:val="nil"/>
              <w:right w:val="nil"/>
            </w:tcBorders>
            <w:shd w:val="clear" w:color="auto" w:fill="auto"/>
            <w:noWrap/>
            <w:vAlign w:val="bottom"/>
            <w:hideMark/>
          </w:tcPr>
          <w:p w14:paraId="0EAB1932"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1999.5</w:t>
            </w:r>
          </w:p>
        </w:tc>
        <w:tc>
          <w:tcPr>
            <w:tcW w:w="1439" w:type="dxa"/>
            <w:tcBorders>
              <w:top w:val="nil"/>
              <w:left w:val="nil"/>
              <w:bottom w:val="nil"/>
              <w:right w:val="nil"/>
            </w:tcBorders>
            <w:shd w:val="clear" w:color="auto" w:fill="auto"/>
            <w:noWrap/>
            <w:vAlign w:val="bottom"/>
            <w:hideMark/>
          </w:tcPr>
          <w:p w14:paraId="54F25999"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1.52</w:t>
            </w:r>
          </w:p>
        </w:tc>
        <w:tc>
          <w:tcPr>
            <w:tcW w:w="801" w:type="dxa"/>
            <w:tcBorders>
              <w:top w:val="nil"/>
              <w:left w:val="nil"/>
              <w:bottom w:val="nil"/>
              <w:right w:val="nil"/>
            </w:tcBorders>
            <w:shd w:val="clear" w:color="auto" w:fill="auto"/>
            <w:noWrap/>
            <w:vAlign w:val="bottom"/>
            <w:hideMark/>
          </w:tcPr>
          <w:p w14:paraId="70641287"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1516.1</w:t>
            </w:r>
          </w:p>
        </w:tc>
        <w:tc>
          <w:tcPr>
            <w:tcW w:w="1439" w:type="dxa"/>
            <w:tcBorders>
              <w:top w:val="nil"/>
              <w:left w:val="nil"/>
              <w:bottom w:val="nil"/>
              <w:right w:val="nil"/>
            </w:tcBorders>
            <w:shd w:val="clear" w:color="auto" w:fill="auto"/>
            <w:noWrap/>
            <w:vAlign w:val="bottom"/>
            <w:hideMark/>
          </w:tcPr>
          <w:p w14:paraId="4A27BDFA"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1.15</w:t>
            </w:r>
          </w:p>
        </w:tc>
        <w:tc>
          <w:tcPr>
            <w:tcW w:w="801" w:type="dxa"/>
            <w:tcBorders>
              <w:top w:val="nil"/>
              <w:left w:val="nil"/>
              <w:bottom w:val="nil"/>
              <w:right w:val="nil"/>
            </w:tcBorders>
            <w:shd w:val="clear" w:color="auto" w:fill="auto"/>
            <w:noWrap/>
            <w:vAlign w:val="bottom"/>
            <w:hideMark/>
          </w:tcPr>
          <w:p w14:paraId="71B00040"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1511.0</w:t>
            </w:r>
          </w:p>
        </w:tc>
        <w:tc>
          <w:tcPr>
            <w:tcW w:w="1439" w:type="dxa"/>
            <w:tcBorders>
              <w:top w:val="nil"/>
              <w:left w:val="nil"/>
              <w:bottom w:val="nil"/>
              <w:right w:val="nil"/>
            </w:tcBorders>
            <w:shd w:val="clear" w:color="auto" w:fill="auto"/>
            <w:noWrap/>
            <w:vAlign w:val="bottom"/>
            <w:hideMark/>
          </w:tcPr>
          <w:p w14:paraId="08068EB0"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1.15</w:t>
            </w:r>
          </w:p>
        </w:tc>
        <w:tc>
          <w:tcPr>
            <w:tcW w:w="801" w:type="dxa"/>
            <w:tcBorders>
              <w:top w:val="nil"/>
              <w:left w:val="nil"/>
              <w:bottom w:val="nil"/>
              <w:right w:val="nil"/>
            </w:tcBorders>
            <w:shd w:val="clear" w:color="auto" w:fill="auto"/>
            <w:noWrap/>
            <w:vAlign w:val="bottom"/>
            <w:hideMark/>
          </w:tcPr>
          <w:p w14:paraId="7E9CBE17"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1981.5</w:t>
            </w:r>
          </w:p>
        </w:tc>
        <w:tc>
          <w:tcPr>
            <w:tcW w:w="1269" w:type="dxa"/>
            <w:tcBorders>
              <w:top w:val="nil"/>
              <w:left w:val="nil"/>
              <w:bottom w:val="nil"/>
              <w:right w:val="nil"/>
            </w:tcBorders>
            <w:shd w:val="clear" w:color="auto" w:fill="auto"/>
            <w:noWrap/>
            <w:vAlign w:val="bottom"/>
            <w:hideMark/>
          </w:tcPr>
          <w:p w14:paraId="5E35757C"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w:t>
            </w:r>
          </w:p>
        </w:tc>
        <w:tc>
          <w:tcPr>
            <w:tcW w:w="971" w:type="dxa"/>
            <w:tcBorders>
              <w:top w:val="nil"/>
              <w:left w:val="nil"/>
              <w:bottom w:val="nil"/>
              <w:right w:val="nil"/>
            </w:tcBorders>
            <w:shd w:val="clear" w:color="auto" w:fill="auto"/>
            <w:noWrap/>
            <w:vAlign w:val="bottom"/>
            <w:hideMark/>
          </w:tcPr>
          <w:p w14:paraId="43E8FD13"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1290.6</w:t>
            </w:r>
          </w:p>
        </w:tc>
        <w:tc>
          <w:tcPr>
            <w:tcW w:w="1439" w:type="dxa"/>
            <w:tcBorders>
              <w:top w:val="nil"/>
              <w:left w:val="nil"/>
              <w:bottom w:val="nil"/>
              <w:right w:val="nil"/>
            </w:tcBorders>
            <w:shd w:val="clear" w:color="auto" w:fill="auto"/>
            <w:noWrap/>
            <w:vAlign w:val="bottom"/>
            <w:hideMark/>
          </w:tcPr>
          <w:p w14:paraId="5C419260"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0.98</w:t>
            </w:r>
          </w:p>
        </w:tc>
      </w:tr>
    </w:tbl>
    <w:p w14:paraId="2A53547A" w14:textId="77777777" w:rsidR="003D6616" w:rsidRDefault="003D6616" w:rsidP="009C5B21">
      <w:pPr>
        <w:spacing w:after="0" w:line="240" w:lineRule="auto"/>
        <w:rPr>
          <w:rFonts w:ascii="Times New Roman" w:eastAsia="Cambria" w:hAnsi="Times New Roman" w:cs="Times New Roman"/>
          <w:sz w:val="24"/>
          <w:szCs w:val="24"/>
        </w:rPr>
      </w:pPr>
    </w:p>
    <w:tbl>
      <w:tblPr>
        <w:tblW w:w="13720" w:type="dxa"/>
        <w:tblInd w:w="108" w:type="dxa"/>
        <w:tblLook w:val="04A0" w:firstRow="1" w:lastRow="0" w:firstColumn="1" w:lastColumn="0" w:noHBand="0" w:noVBand="1"/>
      </w:tblPr>
      <w:tblGrid>
        <w:gridCol w:w="840"/>
        <w:gridCol w:w="840"/>
        <w:gridCol w:w="1020"/>
        <w:gridCol w:w="621"/>
        <w:gridCol w:w="1439"/>
        <w:gridCol w:w="801"/>
        <w:gridCol w:w="1439"/>
        <w:gridCol w:w="801"/>
        <w:gridCol w:w="1439"/>
        <w:gridCol w:w="801"/>
        <w:gridCol w:w="1439"/>
        <w:gridCol w:w="801"/>
        <w:gridCol w:w="1439"/>
      </w:tblGrid>
      <w:tr w:rsidR="003D6616" w:rsidRPr="003D6616" w14:paraId="4527CC9E" w14:textId="77777777" w:rsidTr="000606C7">
        <w:trPr>
          <w:trHeight w:val="315"/>
        </w:trPr>
        <w:tc>
          <w:tcPr>
            <w:tcW w:w="840" w:type="dxa"/>
            <w:tcBorders>
              <w:top w:val="nil"/>
              <w:left w:val="nil"/>
              <w:bottom w:val="nil"/>
              <w:right w:val="nil"/>
            </w:tcBorders>
            <w:shd w:val="clear" w:color="auto" w:fill="auto"/>
            <w:noWrap/>
            <w:vAlign w:val="bottom"/>
          </w:tcPr>
          <w:p w14:paraId="2B0922B9" w14:textId="77777777" w:rsidR="003D6616" w:rsidRPr="003D6616" w:rsidRDefault="003D6616" w:rsidP="003D6616">
            <w:pPr>
              <w:spacing w:after="0" w:line="240" w:lineRule="auto"/>
              <w:rPr>
                <w:rFonts w:ascii="Times New Roman" w:eastAsia="Times New Roman" w:hAnsi="Times New Roman" w:cs="Times New Roman"/>
                <w:sz w:val="24"/>
                <w:szCs w:val="24"/>
              </w:rPr>
            </w:pPr>
          </w:p>
        </w:tc>
        <w:tc>
          <w:tcPr>
            <w:tcW w:w="840" w:type="dxa"/>
            <w:tcBorders>
              <w:top w:val="nil"/>
              <w:left w:val="nil"/>
              <w:bottom w:val="nil"/>
              <w:right w:val="nil"/>
            </w:tcBorders>
            <w:shd w:val="clear" w:color="auto" w:fill="auto"/>
            <w:noWrap/>
            <w:vAlign w:val="bottom"/>
          </w:tcPr>
          <w:p w14:paraId="1885DD3D"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1020" w:type="dxa"/>
            <w:tcBorders>
              <w:top w:val="nil"/>
              <w:left w:val="nil"/>
              <w:bottom w:val="nil"/>
              <w:right w:val="nil"/>
            </w:tcBorders>
            <w:shd w:val="clear" w:color="auto" w:fill="auto"/>
            <w:noWrap/>
            <w:vAlign w:val="bottom"/>
          </w:tcPr>
          <w:p w14:paraId="62853251"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2060" w:type="dxa"/>
            <w:gridSpan w:val="2"/>
            <w:tcBorders>
              <w:top w:val="nil"/>
              <w:left w:val="nil"/>
              <w:bottom w:val="nil"/>
              <w:right w:val="nil"/>
            </w:tcBorders>
            <w:shd w:val="clear" w:color="auto" w:fill="auto"/>
            <w:noWrap/>
            <w:vAlign w:val="bottom"/>
          </w:tcPr>
          <w:p w14:paraId="2AE8405E" w14:textId="7FAE77E6"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2240" w:type="dxa"/>
            <w:gridSpan w:val="2"/>
            <w:tcBorders>
              <w:top w:val="nil"/>
              <w:left w:val="nil"/>
              <w:bottom w:val="nil"/>
              <w:right w:val="nil"/>
            </w:tcBorders>
            <w:shd w:val="clear" w:color="auto" w:fill="auto"/>
            <w:noWrap/>
            <w:vAlign w:val="bottom"/>
          </w:tcPr>
          <w:p w14:paraId="2AFA220D" w14:textId="33E55303"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2240" w:type="dxa"/>
            <w:gridSpan w:val="2"/>
            <w:tcBorders>
              <w:top w:val="nil"/>
              <w:left w:val="nil"/>
              <w:bottom w:val="nil"/>
              <w:right w:val="nil"/>
            </w:tcBorders>
            <w:shd w:val="clear" w:color="auto" w:fill="auto"/>
            <w:noWrap/>
            <w:vAlign w:val="bottom"/>
          </w:tcPr>
          <w:p w14:paraId="58F926A3" w14:textId="2BFD6A5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2240" w:type="dxa"/>
            <w:gridSpan w:val="2"/>
            <w:tcBorders>
              <w:top w:val="nil"/>
              <w:left w:val="nil"/>
              <w:bottom w:val="nil"/>
              <w:right w:val="nil"/>
            </w:tcBorders>
            <w:shd w:val="clear" w:color="auto" w:fill="auto"/>
            <w:noWrap/>
            <w:vAlign w:val="bottom"/>
          </w:tcPr>
          <w:p w14:paraId="694C13DA" w14:textId="6EDCE9AC"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2240" w:type="dxa"/>
            <w:gridSpan w:val="2"/>
            <w:tcBorders>
              <w:top w:val="nil"/>
              <w:left w:val="nil"/>
              <w:bottom w:val="nil"/>
              <w:right w:val="nil"/>
            </w:tcBorders>
            <w:shd w:val="clear" w:color="auto" w:fill="auto"/>
            <w:noWrap/>
            <w:vAlign w:val="bottom"/>
          </w:tcPr>
          <w:p w14:paraId="26A28DD4" w14:textId="20C98AC2"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r>
      <w:tr w:rsidR="000606C7" w:rsidRPr="003D6616" w14:paraId="47740757" w14:textId="77777777" w:rsidTr="000606C7">
        <w:trPr>
          <w:trHeight w:val="315"/>
        </w:trPr>
        <w:tc>
          <w:tcPr>
            <w:tcW w:w="840" w:type="dxa"/>
            <w:tcBorders>
              <w:top w:val="nil"/>
              <w:left w:val="nil"/>
              <w:bottom w:val="nil"/>
              <w:right w:val="nil"/>
            </w:tcBorders>
            <w:shd w:val="clear" w:color="auto" w:fill="auto"/>
            <w:noWrap/>
            <w:vAlign w:val="bottom"/>
          </w:tcPr>
          <w:p w14:paraId="22E191A2" w14:textId="7777777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40" w:type="dxa"/>
            <w:tcBorders>
              <w:top w:val="nil"/>
              <w:left w:val="nil"/>
              <w:bottom w:val="nil"/>
              <w:right w:val="nil"/>
            </w:tcBorders>
            <w:shd w:val="clear" w:color="auto" w:fill="auto"/>
            <w:noWrap/>
            <w:vAlign w:val="bottom"/>
          </w:tcPr>
          <w:p w14:paraId="429CAB39" w14:textId="1EE67D52"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1020" w:type="dxa"/>
            <w:tcBorders>
              <w:top w:val="nil"/>
              <w:left w:val="nil"/>
              <w:bottom w:val="nil"/>
              <w:right w:val="nil"/>
            </w:tcBorders>
            <w:shd w:val="clear" w:color="auto" w:fill="auto"/>
            <w:noWrap/>
            <w:vAlign w:val="bottom"/>
          </w:tcPr>
          <w:p w14:paraId="0F618C77" w14:textId="7777777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621" w:type="dxa"/>
            <w:tcBorders>
              <w:top w:val="nil"/>
              <w:left w:val="nil"/>
              <w:bottom w:val="nil"/>
              <w:right w:val="nil"/>
            </w:tcBorders>
            <w:shd w:val="clear" w:color="auto" w:fill="auto"/>
            <w:noWrap/>
            <w:vAlign w:val="bottom"/>
          </w:tcPr>
          <w:p w14:paraId="2C567425" w14:textId="736C5ADB"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1439" w:type="dxa"/>
            <w:tcBorders>
              <w:top w:val="nil"/>
              <w:left w:val="nil"/>
              <w:bottom w:val="nil"/>
              <w:right w:val="nil"/>
            </w:tcBorders>
            <w:shd w:val="clear" w:color="auto" w:fill="auto"/>
            <w:noWrap/>
            <w:vAlign w:val="bottom"/>
          </w:tcPr>
          <w:p w14:paraId="0BB26ACA" w14:textId="32F17042"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801" w:type="dxa"/>
            <w:tcBorders>
              <w:top w:val="nil"/>
              <w:left w:val="nil"/>
              <w:bottom w:val="nil"/>
              <w:right w:val="nil"/>
            </w:tcBorders>
            <w:shd w:val="clear" w:color="auto" w:fill="auto"/>
            <w:noWrap/>
            <w:vAlign w:val="bottom"/>
          </w:tcPr>
          <w:p w14:paraId="56B77576" w14:textId="5111CCFA"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1439" w:type="dxa"/>
            <w:tcBorders>
              <w:top w:val="nil"/>
              <w:left w:val="nil"/>
              <w:bottom w:val="nil"/>
              <w:right w:val="nil"/>
            </w:tcBorders>
            <w:shd w:val="clear" w:color="auto" w:fill="auto"/>
            <w:noWrap/>
            <w:vAlign w:val="bottom"/>
          </w:tcPr>
          <w:p w14:paraId="572224E7" w14:textId="141DAA0F"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801" w:type="dxa"/>
            <w:tcBorders>
              <w:top w:val="nil"/>
              <w:left w:val="nil"/>
              <w:bottom w:val="nil"/>
              <w:right w:val="nil"/>
            </w:tcBorders>
            <w:shd w:val="clear" w:color="auto" w:fill="auto"/>
            <w:noWrap/>
            <w:vAlign w:val="bottom"/>
          </w:tcPr>
          <w:p w14:paraId="53EEA77B" w14:textId="46A0710C"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1439" w:type="dxa"/>
            <w:tcBorders>
              <w:top w:val="nil"/>
              <w:left w:val="nil"/>
              <w:bottom w:val="nil"/>
              <w:right w:val="nil"/>
            </w:tcBorders>
            <w:shd w:val="clear" w:color="auto" w:fill="auto"/>
            <w:noWrap/>
            <w:vAlign w:val="bottom"/>
          </w:tcPr>
          <w:p w14:paraId="059BF34D" w14:textId="693C3A96"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801" w:type="dxa"/>
            <w:tcBorders>
              <w:top w:val="nil"/>
              <w:left w:val="nil"/>
              <w:bottom w:val="nil"/>
              <w:right w:val="nil"/>
            </w:tcBorders>
            <w:shd w:val="clear" w:color="auto" w:fill="auto"/>
            <w:noWrap/>
            <w:vAlign w:val="bottom"/>
          </w:tcPr>
          <w:p w14:paraId="4AD18DBD" w14:textId="20B8B674"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1439" w:type="dxa"/>
            <w:tcBorders>
              <w:top w:val="nil"/>
              <w:left w:val="nil"/>
              <w:bottom w:val="nil"/>
              <w:right w:val="nil"/>
            </w:tcBorders>
            <w:shd w:val="clear" w:color="auto" w:fill="auto"/>
            <w:noWrap/>
            <w:vAlign w:val="bottom"/>
          </w:tcPr>
          <w:p w14:paraId="64377169" w14:textId="0320E9DF"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801" w:type="dxa"/>
            <w:tcBorders>
              <w:top w:val="nil"/>
              <w:left w:val="nil"/>
              <w:bottom w:val="nil"/>
              <w:right w:val="nil"/>
            </w:tcBorders>
            <w:shd w:val="clear" w:color="auto" w:fill="auto"/>
            <w:noWrap/>
            <w:vAlign w:val="bottom"/>
          </w:tcPr>
          <w:p w14:paraId="3E06BC9C" w14:textId="5A8A3505"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c>
          <w:tcPr>
            <w:tcW w:w="1439" w:type="dxa"/>
            <w:tcBorders>
              <w:top w:val="nil"/>
              <w:left w:val="nil"/>
              <w:bottom w:val="nil"/>
              <w:right w:val="nil"/>
            </w:tcBorders>
            <w:shd w:val="clear" w:color="auto" w:fill="auto"/>
            <w:noWrap/>
            <w:vAlign w:val="bottom"/>
          </w:tcPr>
          <w:p w14:paraId="237E82FE" w14:textId="633A9C47" w:rsidR="003D6616" w:rsidRPr="003D6616" w:rsidRDefault="003D6616" w:rsidP="003D6616">
            <w:pPr>
              <w:spacing w:after="0" w:line="240" w:lineRule="auto"/>
              <w:jc w:val="center"/>
              <w:rPr>
                <w:rFonts w:ascii="Times New Roman" w:eastAsia="Times New Roman" w:hAnsi="Times New Roman" w:cs="Times New Roman"/>
                <w:b/>
                <w:bCs/>
                <w:color w:val="000000"/>
                <w:sz w:val="20"/>
                <w:szCs w:val="20"/>
              </w:rPr>
            </w:pPr>
          </w:p>
        </w:tc>
      </w:tr>
      <w:tr w:rsidR="000606C7" w:rsidRPr="003D6616" w14:paraId="123DE8DC" w14:textId="77777777" w:rsidTr="000606C7">
        <w:trPr>
          <w:trHeight w:val="315"/>
        </w:trPr>
        <w:tc>
          <w:tcPr>
            <w:tcW w:w="2700" w:type="dxa"/>
            <w:gridSpan w:val="3"/>
            <w:tcBorders>
              <w:top w:val="nil"/>
              <w:left w:val="nil"/>
              <w:bottom w:val="nil"/>
              <w:right w:val="nil"/>
            </w:tcBorders>
            <w:shd w:val="clear" w:color="auto" w:fill="auto"/>
            <w:noWrap/>
            <w:vAlign w:val="bottom"/>
          </w:tcPr>
          <w:p w14:paraId="494A6FDE" w14:textId="0B626CB6" w:rsidR="003D6616" w:rsidRPr="003D6616" w:rsidRDefault="003D6616" w:rsidP="003D6616">
            <w:pPr>
              <w:spacing w:after="0" w:line="240" w:lineRule="auto"/>
              <w:jc w:val="center"/>
              <w:rPr>
                <w:rFonts w:ascii="Times New Roman" w:eastAsia="Times New Roman" w:hAnsi="Times New Roman" w:cs="Times New Roman"/>
                <w:i/>
                <w:iCs/>
                <w:color w:val="000000"/>
                <w:sz w:val="20"/>
                <w:szCs w:val="20"/>
              </w:rPr>
            </w:pPr>
          </w:p>
        </w:tc>
        <w:tc>
          <w:tcPr>
            <w:tcW w:w="621" w:type="dxa"/>
            <w:tcBorders>
              <w:top w:val="nil"/>
              <w:left w:val="nil"/>
              <w:bottom w:val="nil"/>
              <w:right w:val="nil"/>
            </w:tcBorders>
            <w:shd w:val="clear" w:color="auto" w:fill="auto"/>
            <w:noWrap/>
            <w:vAlign w:val="bottom"/>
          </w:tcPr>
          <w:p w14:paraId="47B27AA1" w14:textId="77777777" w:rsidR="003D6616" w:rsidRPr="003D6616" w:rsidRDefault="003D6616" w:rsidP="003D6616">
            <w:pPr>
              <w:spacing w:after="0" w:line="240" w:lineRule="auto"/>
              <w:jc w:val="center"/>
              <w:rPr>
                <w:rFonts w:ascii="Times New Roman" w:eastAsia="Times New Roman" w:hAnsi="Times New Roman" w:cs="Times New Roman"/>
                <w:i/>
                <w:iCs/>
                <w:color w:val="000000"/>
                <w:sz w:val="20"/>
                <w:szCs w:val="20"/>
              </w:rPr>
            </w:pPr>
          </w:p>
        </w:tc>
        <w:tc>
          <w:tcPr>
            <w:tcW w:w="1439" w:type="dxa"/>
            <w:tcBorders>
              <w:top w:val="nil"/>
              <w:left w:val="nil"/>
              <w:bottom w:val="nil"/>
              <w:right w:val="nil"/>
            </w:tcBorders>
            <w:shd w:val="clear" w:color="auto" w:fill="auto"/>
            <w:noWrap/>
            <w:vAlign w:val="bottom"/>
          </w:tcPr>
          <w:p w14:paraId="25174A4E"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tcPr>
          <w:p w14:paraId="098A67AF"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tcPr>
          <w:p w14:paraId="1DB853C8"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tcPr>
          <w:p w14:paraId="4372E3C4"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tcPr>
          <w:p w14:paraId="2998B451"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tcPr>
          <w:p w14:paraId="624A404B"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tcPr>
          <w:p w14:paraId="55917847"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tcPr>
          <w:p w14:paraId="48C01F5F" w14:textId="77777777" w:rsidR="003D6616" w:rsidRPr="003D6616" w:rsidRDefault="003D6616" w:rsidP="003D6616">
            <w:pPr>
              <w:spacing w:after="0" w:line="240" w:lineRule="auto"/>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tcPr>
          <w:p w14:paraId="0D8068B7" w14:textId="77777777" w:rsidR="003D6616" w:rsidRPr="003D6616" w:rsidRDefault="003D6616" w:rsidP="003D6616">
            <w:pPr>
              <w:spacing w:after="0" w:line="240" w:lineRule="auto"/>
              <w:rPr>
                <w:rFonts w:ascii="Times New Roman" w:eastAsia="Times New Roman" w:hAnsi="Times New Roman" w:cs="Times New Roman"/>
                <w:sz w:val="20"/>
                <w:szCs w:val="20"/>
              </w:rPr>
            </w:pPr>
          </w:p>
        </w:tc>
      </w:tr>
      <w:tr w:rsidR="000606C7" w:rsidRPr="003D6616" w14:paraId="4A5118EA" w14:textId="77777777" w:rsidTr="000606C7">
        <w:trPr>
          <w:trHeight w:val="315"/>
        </w:trPr>
        <w:tc>
          <w:tcPr>
            <w:tcW w:w="2700" w:type="dxa"/>
            <w:gridSpan w:val="3"/>
            <w:tcBorders>
              <w:top w:val="nil"/>
              <w:left w:val="nil"/>
              <w:bottom w:val="nil"/>
              <w:right w:val="nil"/>
            </w:tcBorders>
            <w:shd w:val="clear" w:color="auto" w:fill="auto"/>
            <w:noWrap/>
            <w:vAlign w:val="bottom"/>
          </w:tcPr>
          <w:p w14:paraId="6C1AF21F" w14:textId="319D388A"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621" w:type="dxa"/>
            <w:tcBorders>
              <w:top w:val="nil"/>
              <w:left w:val="nil"/>
              <w:bottom w:val="nil"/>
              <w:right w:val="nil"/>
            </w:tcBorders>
            <w:shd w:val="clear" w:color="auto" w:fill="auto"/>
            <w:noWrap/>
            <w:vAlign w:val="bottom"/>
          </w:tcPr>
          <w:p w14:paraId="60C783EC" w14:textId="6EB1AF41"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611CEDE4" w14:textId="71A554C3"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2DDF3904" w14:textId="160FA7CE"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679B2B96" w14:textId="63D5A45E"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46E4113A" w14:textId="65D2D22B"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3675C1F3" w14:textId="43210BE9"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5E9E65FC" w14:textId="075781F3"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7DBB6529" w14:textId="04AD4C5F"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1924D653" w14:textId="17FA9EDD"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353EEE84" w14:textId="59F14540"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r>
      <w:tr w:rsidR="000606C7" w:rsidRPr="003D6616" w14:paraId="2DE7FAC3" w14:textId="77777777" w:rsidTr="000606C7">
        <w:trPr>
          <w:trHeight w:val="315"/>
        </w:trPr>
        <w:tc>
          <w:tcPr>
            <w:tcW w:w="2700" w:type="dxa"/>
            <w:gridSpan w:val="3"/>
            <w:tcBorders>
              <w:top w:val="nil"/>
              <w:left w:val="nil"/>
              <w:bottom w:val="nil"/>
              <w:right w:val="nil"/>
            </w:tcBorders>
            <w:shd w:val="clear" w:color="auto" w:fill="auto"/>
            <w:noWrap/>
            <w:vAlign w:val="bottom"/>
          </w:tcPr>
          <w:p w14:paraId="2435B67B" w14:textId="49FD2E5D"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621" w:type="dxa"/>
            <w:tcBorders>
              <w:top w:val="nil"/>
              <w:left w:val="nil"/>
              <w:bottom w:val="nil"/>
              <w:right w:val="nil"/>
            </w:tcBorders>
            <w:shd w:val="clear" w:color="auto" w:fill="auto"/>
            <w:noWrap/>
            <w:vAlign w:val="bottom"/>
          </w:tcPr>
          <w:p w14:paraId="3BA64E9F" w14:textId="09F653E5"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7622FD9A" w14:textId="1AFD7ECE"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376806F7" w14:textId="4C1D4C1B"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2CDFFBB0" w14:textId="61C7E15B"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27C74D21" w14:textId="672A6DEC"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23E6BBB0" w14:textId="14283FF6"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65BB1A77" w14:textId="27A8DCB8"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55F324AA" w14:textId="5F570006"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6BD27B00" w14:textId="3ED72945"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04C5A8C3" w14:textId="778EDD92"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r>
      <w:tr w:rsidR="000606C7" w:rsidRPr="003D6616" w14:paraId="7EEC6DE2" w14:textId="77777777" w:rsidTr="000606C7">
        <w:trPr>
          <w:trHeight w:val="315"/>
        </w:trPr>
        <w:tc>
          <w:tcPr>
            <w:tcW w:w="2700" w:type="dxa"/>
            <w:gridSpan w:val="3"/>
            <w:tcBorders>
              <w:top w:val="nil"/>
              <w:left w:val="nil"/>
              <w:bottom w:val="nil"/>
              <w:right w:val="nil"/>
            </w:tcBorders>
            <w:shd w:val="clear" w:color="auto" w:fill="auto"/>
            <w:noWrap/>
            <w:vAlign w:val="bottom"/>
          </w:tcPr>
          <w:p w14:paraId="378BCDFA" w14:textId="36A3937D"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621" w:type="dxa"/>
            <w:tcBorders>
              <w:top w:val="nil"/>
              <w:left w:val="nil"/>
              <w:bottom w:val="nil"/>
              <w:right w:val="nil"/>
            </w:tcBorders>
            <w:shd w:val="clear" w:color="auto" w:fill="auto"/>
            <w:noWrap/>
            <w:vAlign w:val="bottom"/>
          </w:tcPr>
          <w:p w14:paraId="0969C012" w14:textId="33AE0932"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38FA3A9F" w14:textId="5F2BF049"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72A7B58F" w14:textId="639ED3B0"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26ED19F3" w14:textId="52E2D8AA"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71094170" w14:textId="5BC94181"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0B204E71" w14:textId="106A5EF3"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716DF620" w14:textId="26150B9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228828DB" w14:textId="0AE8F53E"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5C941D84" w14:textId="4454F933"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393D477E" w14:textId="10E88C24"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r>
      <w:tr w:rsidR="000606C7" w:rsidRPr="003D6616" w14:paraId="49143F5C" w14:textId="77777777" w:rsidTr="000606C7">
        <w:trPr>
          <w:trHeight w:val="315"/>
        </w:trPr>
        <w:tc>
          <w:tcPr>
            <w:tcW w:w="2700" w:type="dxa"/>
            <w:gridSpan w:val="3"/>
            <w:tcBorders>
              <w:top w:val="nil"/>
              <w:left w:val="nil"/>
              <w:bottom w:val="nil"/>
              <w:right w:val="nil"/>
            </w:tcBorders>
            <w:shd w:val="clear" w:color="auto" w:fill="auto"/>
            <w:noWrap/>
            <w:vAlign w:val="bottom"/>
          </w:tcPr>
          <w:p w14:paraId="4F407162" w14:textId="19CE1D21"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621" w:type="dxa"/>
            <w:tcBorders>
              <w:top w:val="nil"/>
              <w:left w:val="nil"/>
              <w:bottom w:val="nil"/>
              <w:right w:val="nil"/>
            </w:tcBorders>
            <w:shd w:val="clear" w:color="auto" w:fill="auto"/>
            <w:noWrap/>
            <w:vAlign w:val="bottom"/>
          </w:tcPr>
          <w:p w14:paraId="764AA739" w14:textId="0BFA3BA0"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28FE21C1" w14:textId="386168B2"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3861C041" w14:textId="7C4D3118"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191960F9" w14:textId="42D4E475"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7DA9DE62" w14:textId="2DDE439F"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78C56310" w14:textId="2716B9AF"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47765A9E" w14:textId="7EE80BB9"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227F3857" w14:textId="0AFF4ADF"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05A12C63" w14:textId="7B05078B"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13309015" w14:textId="3C5DF176"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r>
      <w:tr w:rsidR="000606C7" w:rsidRPr="003D6616" w14:paraId="0AECD0E4" w14:textId="77777777" w:rsidTr="000606C7">
        <w:trPr>
          <w:trHeight w:val="315"/>
        </w:trPr>
        <w:tc>
          <w:tcPr>
            <w:tcW w:w="2700" w:type="dxa"/>
            <w:gridSpan w:val="3"/>
            <w:tcBorders>
              <w:top w:val="nil"/>
              <w:left w:val="nil"/>
              <w:bottom w:val="nil"/>
              <w:right w:val="nil"/>
            </w:tcBorders>
            <w:shd w:val="clear" w:color="auto" w:fill="auto"/>
            <w:noWrap/>
            <w:vAlign w:val="bottom"/>
          </w:tcPr>
          <w:p w14:paraId="28CF7C13" w14:textId="134030B7" w:rsidR="003D6616" w:rsidRPr="003D6616" w:rsidRDefault="003D6616" w:rsidP="003D6616">
            <w:pPr>
              <w:spacing w:after="0" w:line="240" w:lineRule="auto"/>
              <w:jc w:val="center"/>
              <w:rPr>
                <w:rFonts w:ascii="Times New Roman" w:eastAsia="Times New Roman" w:hAnsi="Times New Roman" w:cs="Times New Roman"/>
                <w:i/>
                <w:iCs/>
                <w:color w:val="000000"/>
                <w:sz w:val="20"/>
                <w:szCs w:val="20"/>
              </w:rPr>
            </w:pPr>
          </w:p>
        </w:tc>
        <w:tc>
          <w:tcPr>
            <w:tcW w:w="621" w:type="dxa"/>
            <w:tcBorders>
              <w:top w:val="nil"/>
              <w:left w:val="nil"/>
              <w:bottom w:val="nil"/>
              <w:right w:val="nil"/>
            </w:tcBorders>
            <w:shd w:val="clear" w:color="auto" w:fill="auto"/>
            <w:noWrap/>
            <w:vAlign w:val="bottom"/>
          </w:tcPr>
          <w:p w14:paraId="3AD79B9A" w14:textId="77777777" w:rsidR="003D6616" w:rsidRPr="003D6616" w:rsidRDefault="003D6616" w:rsidP="003D6616">
            <w:pPr>
              <w:spacing w:after="0" w:line="240" w:lineRule="auto"/>
              <w:jc w:val="center"/>
              <w:rPr>
                <w:rFonts w:ascii="Times New Roman" w:eastAsia="Times New Roman" w:hAnsi="Times New Roman" w:cs="Times New Roman"/>
                <w:i/>
                <w:iCs/>
                <w:color w:val="000000"/>
                <w:sz w:val="20"/>
                <w:szCs w:val="20"/>
              </w:rPr>
            </w:pPr>
          </w:p>
        </w:tc>
        <w:tc>
          <w:tcPr>
            <w:tcW w:w="1439" w:type="dxa"/>
            <w:tcBorders>
              <w:top w:val="nil"/>
              <w:left w:val="nil"/>
              <w:bottom w:val="nil"/>
              <w:right w:val="nil"/>
            </w:tcBorders>
            <w:shd w:val="clear" w:color="auto" w:fill="auto"/>
            <w:noWrap/>
            <w:vAlign w:val="bottom"/>
          </w:tcPr>
          <w:p w14:paraId="7C792D59" w14:textId="77777777" w:rsidR="003D6616" w:rsidRPr="003D6616" w:rsidRDefault="003D6616" w:rsidP="003D6616">
            <w:pPr>
              <w:spacing w:after="0" w:line="240" w:lineRule="auto"/>
              <w:jc w:val="center"/>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tcPr>
          <w:p w14:paraId="4FCD9755" w14:textId="77777777" w:rsidR="003D6616" w:rsidRPr="003D6616" w:rsidRDefault="003D6616" w:rsidP="003D6616">
            <w:pPr>
              <w:spacing w:after="0" w:line="240" w:lineRule="auto"/>
              <w:jc w:val="center"/>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tcPr>
          <w:p w14:paraId="1D337637" w14:textId="77777777" w:rsidR="003D6616" w:rsidRPr="003D6616" w:rsidRDefault="003D6616" w:rsidP="003D6616">
            <w:pPr>
              <w:spacing w:after="0" w:line="240" w:lineRule="auto"/>
              <w:jc w:val="center"/>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tcPr>
          <w:p w14:paraId="5A4AE9C1" w14:textId="77777777" w:rsidR="003D6616" w:rsidRPr="003D6616" w:rsidRDefault="003D6616" w:rsidP="003D6616">
            <w:pPr>
              <w:spacing w:after="0" w:line="240" w:lineRule="auto"/>
              <w:jc w:val="center"/>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tcPr>
          <w:p w14:paraId="06F67FC9" w14:textId="77777777" w:rsidR="003D6616" w:rsidRPr="003D6616" w:rsidRDefault="003D6616" w:rsidP="003D6616">
            <w:pPr>
              <w:spacing w:after="0" w:line="240" w:lineRule="auto"/>
              <w:jc w:val="center"/>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tcPr>
          <w:p w14:paraId="3991005C" w14:textId="77777777" w:rsidR="003D6616" w:rsidRPr="003D6616" w:rsidRDefault="003D6616" w:rsidP="003D6616">
            <w:pPr>
              <w:spacing w:after="0" w:line="240" w:lineRule="auto"/>
              <w:jc w:val="center"/>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tcPr>
          <w:p w14:paraId="0AC7A80F" w14:textId="77777777" w:rsidR="003D6616" w:rsidRPr="003D6616" w:rsidRDefault="003D6616" w:rsidP="003D6616">
            <w:pPr>
              <w:spacing w:after="0" w:line="240" w:lineRule="auto"/>
              <w:jc w:val="center"/>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tcPr>
          <w:p w14:paraId="28870ABD" w14:textId="77777777" w:rsidR="003D6616" w:rsidRPr="003D6616" w:rsidRDefault="003D6616" w:rsidP="003D6616">
            <w:pPr>
              <w:spacing w:after="0" w:line="240" w:lineRule="auto"/>
              <w:jc w:val="center"/>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tcPr>
          <w:p w14:paraId="5FB3AC7B" w14:textId="77777777" w:rsidR="003D6616" w:rsidRPr="003D6616" w:rsidRDefault="003D6616" w:rsidP="003D6616">
            <w:pPr>
              <w:spacing w:after="0" w:line="240" w:lineRule="auto"/>
              <w:jc w:val="center"/>
              <w:rPr>
                <w:rFonts w:ascii="Times New Roman" w:eastAsia="Times New Roman" w:hAnsi="Times New Roman" w:cs="Times New Roman"/>
                <w:sz w:val="20"/>
                <w:szCs w:val="20"/>
              </w:rPr>
            </w:pPr>
          </w:p>
        </w:tc>
      </w:tr>
      <w:tr w:rsidR="000606C7" w:rsidRPr="003D6616" w14:paraId="6E020B6F" w14:textId="77777777" w:rsidTr="000606C7">
        <w:trPr>
          <w:trHeight w:val="315"/>
        </w:trPr>
        <w:tc>
          <w:tcPr>
            <w:tcW w:w="2700" w:type="dxa"/>
            <w:gridSpan w:val="3"/>
            <w:tcBorders>
              <w:top w:val="nil"/>
              <w:left w:val="nil"/>
              <w:bottom w:val="nil"/>
              <w:right w:val="nil"/>
            </w:tcBorders>
            <w:shd w:val="clear" w:color="auto" w:fill="auto"/>
            <w:noWrap/>
            <w:vAlign w:val="bottom"/>
          </w:tcPr>
          <w:p w14:paraId="3A166503" w14:textId="2301F712"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621" w:type="dxa"/>
            <w:tcBorders>
              <w:top w:val="nil"/>
              <w:left w:val="nil"/>
              <w:bottom w:val="nil"/>
              <w:right w:val="nil"/>
            </w:tcBorders>
            <w:shd w:val="clear" w:color="auto" w:fill="auto"/>
            <w:noWrap/>
            <w:vAlign w:val="bottom"/>
          </w:tcPr>
          <w:p w14:paraId="082E080C" w14:textId="6DBDBCD4"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68F773AC" w14:textId="3B2AA30B"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781D79FA" w14:textId="1BDE5334"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1DDD6CA0" w14:textId="52E0F9DC"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529CF2E4" w14:textId="1719C681"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6A1EFA94" w14:textId="19C4345E"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417FF33B" w14:textId="23A55BEC"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64A2F4C0" w14:textId="1DC18202"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5A944D2E" w14:textId="3F904C0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0661B8FA" w14:textId="20999906"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r>
      <w:tr w:rsidR="000606C7" w:rsidRPr="003D6616" w14:paraId="3AEAD034" w14:textId="77777777" w:rsidTr="000606C7">
        <w:trPr>
          <w:trHeight w:val="315"/>
        </w:trPr>
        <w:tc>
          <w:tcPr>
            <w:tcW w:w="2700" w:type="dxa"/>
            <w:gridSpan w:val="3"/>
            <w:tcBorders>
              <w:top w:val="nil"/>
              <w:left w:val="nil"/>
              <w:bottom w:val="nil"/>
              <w:right w:val="nil"/>
            </w:tcBorders>
            <w:shd w:val="clear" w:color="auto" w:fill="auto"/>
            <w:noWrap/>
            <w:vAlign w:val="bottom"/>
          </w:tcPr>
          <w:p w14:paraId="5F7D9F80" w14:textId="5D523BA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621" w:type="dxa"/>
            <w:tcBorders>
              <w:top w:val="nil"/>
              <w:left w:val="nil"/>
              <w:bottom w:val="nil"/>
              <w:right w:val="nil"/>
            </w:tcBorders>
            <w:shd w:val="clear" w:color="auto" w:fill="auto"/>
            <w:noWrap/>
            <w:vAlign w:val="bottom"/>
          </w:tcPr>
          <w:p w14:paraId="715CED34" w14:textId="41E084C4"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1504DFD3" w14:textId="363C499B"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770B65E9" w14:textId="5B71C26A"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0B5187B2" w14:textId="1582F15A"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51CF6871" w14:textId="0AE53084"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1CE69A68" w14:textId="10D65E1D"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55BE5C13" w14:textId="0A44EA1F"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02DF2C02" w14:textId="5156CEB6"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46A7F9CE" w14:textId="73F9CDBD"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35272CB4" w14:textId="1D70304D"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r>
      <w:tr w:rsidR="000606C7" w:rsidRPr="003D6616" w14:paraId="7E77C77D" w14:textId="77777777" w:rsidTr="000606C7">
        <w:trPr>
          <w:trHeight w:val="315"/>
        </w:trPr>
        <w:tc>
          <w:tcPr>
            <w:tcW w:w="2700" w:type="dxa"/>
            <w:gridSpan w:val="3"/>
            <w:tcBorders>
              <w:top w:val="nil"/>
              <w:left w:val="nil"/>
              <w:bottom w:val="nil"/>
              <w:right w:val="nil"/>
            </w:tcBorders>
            <w:shd w:val="clear" w:color="auto" w:fill="auto"/>
            <w:noWrap/>
            <w:vAlign w:val="bottom"/>
          </w:tcPr>
          <w:p w14:paraId="5D423A6C" w14:textId="3C890491"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621" w:type="dxa"/>
            <w:tcBorders>
              <w:top w:val="nil"/>
              <w:left w:val="nil"/>
              <w:bottom w:val="nil"/>
              <w:right w:val="nil"/>
            </w:tcBorders>
            <w:shd w:val="clear" w:color="auto" w:fill="auto"/>
            <w:noWrap/>
            <w:vAlign w:val="bottom"/>
          </w:tcPr>
          <w:p w14:paraId="50C831C7" w14:textId="6B2D1B9B"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2B2A7264" w14:textId="79AC89BD"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16732AAA" w14:textId="3FC16781"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5B388868" w14:textId="5677749C"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22D5F704" w14:textId="78F7D370"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05722A40" w14:textId="29E2B2F3"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07CB8BE8" w14:textId="1BEE8EA3"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26C2EEAB" w14:textId="032ACC5C"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1F4AD01E" w14:textId="1872B231"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141ED901" w14:textId="36C75773"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r>
      <w:tr w:rsidR="000606C7" w:rsidRPr="003D6616" w14:paraId="56A24671" w14:textId="77777777" w:rsidTr="000606C7">
        <w:trPr>
          <w:trHeight w:val="315"/>
        </w:trPr>
        <w:tc>
          <w:tcPr>
            <w:tcW w:w="2700" w:type="dxa"/>
            <w:gridSpan w:val="3"/>
            <w:tcBorders>
              <w:top w:val="nil"/>
              <w:left w:val="nil"/>
              <w:bottom w:val="nil"/>
              <w:right w:val="nil"/>
            </w:tcBorders>
            <w:shd w:val="clear" w:color="auto" w:fill="auto"/>
            <w:noWrap/>
            <w:vAlign w:val="bottom"/>
          </w:tcPr>
          <w:p w14:paraId="542CF53A" w14:textId="3C1C7222"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621" w:type="dxa"/>
            <w:tcBorders>
              <w:top w:val="nil"/>
              <w:left w:val="nil"/>
              <w:bottom w:val="nil"/>
              <w:right w:val="nil"/>
            </w:tcBorders>
            <w:shd w:val="clear" w:color="auto" w:fill="auto"/>
            <w:noWrap/>
            <w:vAlign w:val="bottom"/>
          </w:tcPr>
          <w:p w14:paraId="5BC8A4C9" w14:textId="184C2462"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3B669061" w14:textId="2A40F037"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68BDBF83" w14:textId="4EE7B614"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52690278" w14:textId="78A78D61"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2190956E" w14:textId="4F0B1EC0"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42C15CA6" w14:textId="21838ED4"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0F0C3548" w14:textId="36BD917F"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6264D0FD" w14:textId="23DB7FAB"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801" w:type="dxa"/>
            <w:tcBorders>
              <w:top w:val="nil"/>
              <w:left w:val="nil"/>
              <w:bottom w:val="nil"/>
              <w:right w:val="nil"/>
            </w:tcBorders>
            <w:shd w:val="clear" w:color="auto" w:fill="auto"/>
            <w:noWrap/>
            <w:vAlign w:val="bottom"/>
          </w:tcPr>
          <w:p w14:paraId="50B25ED6" w14:textId="430B4ED1"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c>
          <w:tcPr>
            <w:tcW w:w="1439" w:type="dxa"/>
            <w:tcBorders>
              <w:top w:val="nil"/>
              <w:left w:val="nil"/>
              <w:bottom w:val="nil"/>
              <w:right w:val="nil"/>
            </w:tcBorders>
            <w:shd w:val="clear" w:color="auto" w:fill="auto"/>
            <w:noWrap/>
            <w:vAlign w:val="bottom"/>
          </w:tcPr>
          <w:p w14:paraId="65ED2B48" w14:textId="6F8100DF" w:rsidR="003D6616" w:rsidRPr="003D6616" w:rsidRDefault="003D6616" w:rsidP="003D6616">
            <w:pPr>
              <w:spacing w:after="0" w:line="240" w:lineRule="auto"/>
              <w:jc w:val="center"/>
              <w:rPr>
                <w:rFonts w:ascii="Times New Roman" w:eastAsia="Times New Roman" w:hAnsi="Times New Roman" w:cs="Times New Roman"/>
                <w:color w:val="000000"/>
                <w:sz w:val="20"/>
                <w:szCs w:val="20"/>
              </w:rPr>
            </w:pPr>
          </w:p>
        </w:tc>
      </w:tr>
    </w:tbl>
    <w:p w14:paraId="5DFA6F74" w14:textId="77777777" w:rsidR="003D6616" w:rsidRPr="000606C7" w:rsidRDefault="003D6616" w:rsidP="009C5B21">
      <w:pPr>
        <w:spacing w:after="0" w:line="240" w:lineRule="auto"/>
        <w:rPr>
          <w:rFonts w:ascii="Times New Roman" w:eastAsia="Cambria" w:hAnsi="Times New Roman" w:cs="Times New Roman"/>
          <w:sz w:val="24"/>
          <w:szCs w:val="24"/>
        </w:rPr>
      </w:pPr>
    </w:p>
    <w:p w14:paraId="3F5441DA" w14:textId="5F1F0B8F" w:rsidR="002C742B" w:rsidRDefault="003D6616" w:rsidP="000606C7">
      <w:pPr>
        <w:rPr>
          <w:rFonts w:ascii="Times New Roman" w:eastAsia="Cambria" w:hAnsi="Times New Roman" w:cs="Times New Roman"/>
          <w:sz w:val="24"/>
          <w:szCs w:val="24"/>
        </w:rPr>
      </w:pPr>
      <w:r>
        <w:rPr>
          <w:rFonts w:ascii="Times New Roman" w:eastAsia="Cambria" w:hAnsi="Times New Roman" w:cs="Times New Roman"/>
          <w:sz w:val="24"/>
          <w:szCs w:val="24"/>
        </w:rPr>
        <w:br w:type="page"/>
      </w:r>
      <w:r>
        <w:rPr>
          <w:rFonts w:ascii="Times New Roman" w:eastAsia="Cambria" w:hAnsi="Times New Roman" w:cs="Times New Roman"/>
          <w:sz w:val="24"/>
          <w:szCs w:val="24"/>
        </w:rPr>
        <w:lastRenderedPageBreak/>
        <w:t>Appendix B</w:t>
      </w:r>
    </w:p>
    <w:p w14:paraId="08C24132" w14:textId="3A433B40" w:rsidR="003D6616" w:rsidRDefault="003D6616" w:rsidP="003D6616">
      <w:pPr>
        <w:spacing w:after="0" w:line="240" w:lineRule="auto"/>
        <w:rPr>
          <w:rFonts w:ascii="Times New Roman" w:eastAsia="Cambria" w:hAnsi="Times New Roman" w:cs="Times New Roman"/>
          <w:sz w:val="24"/>
          <w:szCs w:val="24"/>
        </w:rPr>
      </w:pPr>
      <w:r>
        <w:rPr>
          <w:rFonts w:ascii="Times New Roman" w:eastAsia="Cambria" w:hAnsi="Times New Roman" w:cs="Times New Roman"/>
          <w:sz w:val="24"/>
          <w:szCs w:val="24"/>
        </w:rPr>
        <w:t xml:space="preserve">Preliminary analyses showing the difference in fit between arithmetic and log perch length, distance to nearest perch, road length, and distance to nearest road. df = residual degrees of freedom </w:t>
      </w:r>
    </w:p>
    <w:tbl>
      <w:tblPr>
        <w:tblW w:w="13865" w:type="dxa"/>
        <w:tblInd w:w="108" w:type="dxa"/>
        <w:tblLook w:val="04A0" w:firstRow="1" w:lastRow="0" w:firstColumn="1" w:lastColumn="0" w:noHBand="0" w:noVBand="1"/>
      </w:tblPr>
      <w:tblGrid>
        <w:gridCol w:w="840"/>
        <w:gridCol w:w="840"/>
        <w:gridCol w:w="1020"/>
        <w:gridCol w:w="766"/>
        <w:gridCol w:w="1439"/>
        <w:gridCol w:w="801"/>
        <w:gridCol w:w="1439"/>
        <w:gridCol w:w="801"/>
        <w:gridCol w:w="1439"/>
        <w:gridCol w:w="801"/>
        <w:gridCol w:w="1439"/>
        <w:gridCol w:w="801"/>
        <w:gridCol w:w="1439"/>
      </w:tblGrid>
      <w:tr w:rsidR="003D6616" w:rsidRPr="003D6616" w14:paraId="776BE520" w14:textId="77777777" w:rsidTr="000606C7">
        <w:trPr>
          <w:trHeight w:val="315"/>
        </w:trPr>
        <w:tc>
          <w:tcPr>
            <w:tcW w:w="840" w:type="dxa"/>
            <w:tcBorders>
              <w:top w:val="nil"/>
              <w:left w:val="nil"/>
              <w:bottom w:val="nil"/>
              <w:right w:val="nil"/>
            </w:tcBorders>
            <w:shd w:val="clear" w:color="auto" w:fill="auto"/>
            <w:noWrap/>
            <w:vAlign w:val="bottom"/>
            <w:hideMark/>
          </w:tcPr>
          <w:p w14:paraId="5DE0D6F5" w14:textId="77777777" w:rsidR="003D6616" w:rsidRPr="003D6616" w:rsidRDefault="003D6616" w:rsidP="003221D9">
            <w:pPr>
              <w:spacing w:after="0" w:line="240" w:lineRule="auto"/>
              <w:rPr>
                <w:rFonts w:ascii="Times New Roman" w:eastAsia="Times New Roman" w:hAnsi="Times New Roman" w:cs="Times New Roman"/>
                <w:sz w:val="24"/>
                <w:szCs w:val="24"/>
              </w:rPr>
            </w:pPr>
          </w:p>
        </w:tc>
        <w:tc>
          <w:tcPr>
            <w:tcW w:w="840" w:type="dxa"/>
            <w:tcBorders>
              <w:top w:val="nil"/>
              <w:left w:val="nil"/>
              <w:bottom w:val="nil"/>
              <w:right w:val="nil"/>
            </w:tcBorders>
            <w:shd w:val="clear" w:color="auto" w:fill="auto"/>
            <w:noWrap/>
            <w:vAlign w:val="bottom"/>
            <w:hideMark/>
          </w:tcPr>
          <w:p w14:paraId="15A35990"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1020" w:type="dxa"/>
            <w:tcBorders>
              <w:top w:val="nil"/>
              <w:left w:val="nil"/>
              <w:bottom w:val="nil"/>
              <w:right w:val="nil"/>
            </w:tcBorders>
            <w:shd w:val="clear" w:color="auto" w:fill="auto"/>
            <w:noWrap/>
            <w:vAlign w:val="bottom"/>
            <w:hideMark/>
          </w:tcPr>
          <w:p w14:paraId="36AF93A6"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2205" w:type="dxa"/>
            <w:gridSpan w:val="2"/>
            <w:tcBorders>
              <w:top w:val="nil"/>
              <w:left w:val="nil"/>
              <w:bottom w:val="nil"/>
              <w:right w:val="nil"/>
            </w:tcBorders>
            <w:shd w:val="clear" w:color="auto" w:fill="auto"/>
            <w:noWrap/>
            <w:vAlign w:val="bottom"/>
            <w:hideMark/>
          </w:tcPr>
          <w:p w14:paraId="08C012D6"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Sprague's pipit</w:t>
            </w:r>
          </w:p>
        </w:tc>
        <w:tc>
          <w:tcPr>
            <w:tcW w:w="2240" w:type="dxa"/>
            <w:gridSpan w:val="2"/>
            <w:tcBorders>
              <w:top w:val="nil"/>
              <w:left w:val="nil"/>
              <w:bottom w:val="nil"/>
              <w:right w:val="nil"/>
            </w:tcBorders>
            <w:shd w:val="clear" w:color="auto" w:fill="auto"/>
            <w:noWrap/>
            <w:vAlign w:val="bottom"/>
            <w:hideMark/>
          </w:tcPr>
          <w:p w14:paraId="4B9F52D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Baird's sparrow</w:t>
            </w:r>
          </w:p>
        </w:tc>
        <w:tc>
          <w:tcPr>
            <w:tcW w:w="2240" w:type="dxa"/>
            <w:gridSpan w:val="2"/>
            <w:tcBorders>
              <w:top w:val="nil"/>
              <w:left w:val="nil"/>
              <w:bottom w:val="nil"/>
              <w:right w:val="nil"/>
            </w:tcBorders>
            <w:shd w:val="clear" w:color="auto" w:fill="auto"/>
            <w:noWrap/>
            <w:vAlign w:val="bottom"/>
            <w:hideMark/>
          </w:tcPr>
          <w:p w14:paraId="3A38E2CF"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Western meadowlark</w:t>
            </w:r>
          </w:p>
        </w:tc>
        <w:tc>
          <w:tcPr>
            <w:tcW w:w="2240" w:type="dxa"/>
            <w:gridSpan w:val="2"/>
            <w:tcBorders>
              <w:top w:val="nil"/>
              <w:left w:val="nil"/>
              <w:bottom w:val="nil"/>
              <w:right w:val="nil"/>
            </w:tcBorders>
            <w:shd w:val="clear" w:color="auto" w:fill="auto"/>
            <w:noWrap/>
            <w:vAlign w:val="bottom"/>
            <w:hideMark/>
          </w:tcPr>
          <w:p w14:paraId="3361F298"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Savannah sparrow</w:t>
            </w:r>
          </w:p>
        </w:tc>
        <w:tc>
          <w:tcPr>
            <w:tcW w:w="2240" w:type="dxa"/>
            <w:gridSpan w:val="2"/>
            <w:tcBorders>
              <w:top w:val="nil"/>
              <w:left w:val="nil"/>
              <w:bottom w:val="nil"/>
              <w:right w:val="nil"/>
            </w:tcBorders>
            <w:shd w:val="clear" w:color="auto" w:fill="auto"/>
            <w:noWrap/>
            <w:vAlign w:val="bottom"/>
            <w:hideMark/>
          </w:tcPr>
          <w:p w14:paraId="4FA4916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Chestnut-collared longspur</w:t>
            </w:r>
          </w:p>
        </w:tc>
      </w:tr>
      <w:tr w:rsidR="003D6616" w:rsidRPr="003D6616" w14:paraId="14359245" w14:textId="77777777" w:rsidTr="000606C7">
        <w:trPr>
          <w:trHeight w:val="315"/>
        </w:trPr>
        <w:tc>
          <w:tcPr>
            <w:tcW w:w="840" w:type="dxa"/>
            <w:tcBorders>
              <w:top w:val="nil"/>
              <w:left w:val="nil"/>
              <w:bottom w:val="nil"/>
              <w:right w:val="nil"/>
            </w:tcBorders>
            <w:shd w:val="clear" w:color="auto" w:fill="auto"/>
            <w:noWrap/>
            <w:vAlign w:val="bottom"/>
            <w:hideMark/>
          </w:tcPr>
          <w:p w14:paraId="0141F75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p>
        </w:tc>
        <w:tc>
          <w:tcPr>
            <w:tcW w:w="840" w:type="dxa"/>
            <w:tcBorders>
              <w:top w:val="nil"/>
              <w:left w:val="nil"/>
              <w:bottom w:val="nil"/>
              <w:right w:val="nil"/>
            </w:tcBorders>
            <w:shd w:val="clear" w:color="auto" w:fill="auto"/>
            <w:noWrap/>
            <w:vAlign w:val="bottom"/>
            <w:hideMark/>
          </w:tcPr>
          <w:p w14:paraId="5ABB4C47"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Test</w:t>
            </w:r>
          </w:p>
        </w:tc>
        <w:tc>
          <w:tcPr>
            <w:tcW w:w="1020" w:type="dxa"/>
            <w:tcBorders>
              <w:top w:val="nil"/>
              <w:left w:val="nil"/>
              <w:bottom w:val="nil"/>
              <w:right w:val="nil"/>
            </w:tcBorders>
            <w:shd w:val="clear" w:color="auto" w:fill="auto"/>
            <w:noWrap/>
            <w:vAlign w:val="bottom"/>
            <w:hideMark/>
          </w:tcPr>
          <w:p w14:paraId="5E6A210D"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p>
        </w:tc>
        <w:tc>
          <w:tcPr>
            <w:tcW w:w="766" w:type="dxa"/>
            <w:tcBorders>
              <w:top w:val="nil"/>
              <w:left w:val="nil"/>
              <w:bottom w:val="nil"/>
              <w:right w:val="nil"/>
            </w:tcBorders>
            <w:shd w:val="clear" w:color="auto" w:fill="auto"/>
            <w:noWrap/>
            <w:vAlign w:val="bottom"/>
            <w:hideMark/>
          </w:tcPr>
          <w:p w14:paraId="2882CC30"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439" w:type="dxa"/>
            <w:tcBorders>
              <w:top w:val="nil"/>
              <w:left w:val="nil"/>
              <w:bottom w:val="nil"/>
              <w:right w:val="nil"/>
            </w:tcBorders>
            <w:shd w:val="clear" w:color="auto" w:fill="auto"/>
            <w:noWrap/>
            <w:vAlign w:val="bottom"/>
            <w:hideMark/>
          </w:tcPr>
          <w:p w14:paraId="3CE00675"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c>
          <w:tcPr>
            <w:tcW w:w="801" w:type="dxa"/>
            <w:tcBorders>
              <w:top w:val="nil"/>
              <w:left w:val="nil"/>
              <w:bottom w:val="nil"/>
              <w:right w:val="nil"/>
            </w:tcBorders>
            <w:shd w:val="clear" w:color="auto" w:fill="auto"/>
            <w:noWrap/>
            <w:vAlign w:val="bottom"/>
            <w:hideMark/>
          </w:tcPr>
          <w:p w14:paraId="7964991B"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439" w:type="dxa"/>
            <w:tcBorders>
              <w:top w:val="nil"/>
              <w:left w:val="nil"/>
              <w:bottom w:val="nil"/>
              <w:right w:val="nil"/>
            </w:tcBorders>
            <w:shd w:val="clear" w:color="auto" w:fill="auto"/>
            <w:noWrap/>
            <w:vAlign w:val="bottom"/>
            <w:hideMark/>
          </w:tcPr>
          <w:p w14:paraId="2352A283"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c>
          <w:tcPr>
            <w:tcW w:w="801" w:type="dxa"/>
            <w:tcBorders>
              <w:top w:val="nil"/>
              <w:left w:val="nil"/>
              <w:bottom w:val="nil"/>
              <w:right w:val="nil"/>
            </w:tcBorders>
            <w:shd w:val="clear" w:color="auto" w:fill="auto"/>
            <w:noWrap/>
            <w:vAlign w:val="bottom"/>
            <w:hideMark/>
          </w:tcPr>
          <w:p w14:paraId="34313F40"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439" w:type="dxa"/>
            <w:tcBorders>
              <w:top w:val="nil"/>
              <w:left w:val="nil"/>
              <w:bottom w:val="nil"/>
              <w:right w:val="nil"/>
            </w:tcBorders>
            <w:shd w:val="clear" w:color="auto" w:fill="auto"/>
            <w:noWrap/>
            <w:vAlign w:val="bottom"/>
            <w:hideMark/>
          </w:tcPr>
          <w:p w14:paraId="605454E9"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c>
          <w:tcPr>
            <w:tcW w:w="801" w:type="dxa"/>
            <w:tcBorders>
              <w:top w:val="nil"/>
              <w:left w:val="nil"/>
              <w:bottom w:val="nil"/>
              <w:right w:val="nil"/>
            </w:tcBorders>
            <w:shd w:val="clear" w:color="auto" w:fill="auto"/>
            <w:noWrap/>
            <w:vAlign w:val="bottom"/>
            <w:hideMark/>
          </w:tcPr>
          <w:p w14:paraId="1E4A669B"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439" w:type="dxa"/>
            <w:tcBorders>
              <w:top w:val="nil"/>
              <w:left w:val="nil"/>
              <w:bottom w:val="nil"/>
              <w:right w:val="nil"/>
            </w:tcBorders>
            <w:shd w:val="clear" w:color="auto" w:fill="auto"/>
            <w:noWrap/>
            <w:vAlign w:val="bottom"/>
            <w:hideMark/>
          </w:tcPr>
          <w:p w14:paraId="274F1ABB"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c>
          <w:tcPr>
            <w:tcW w:w="801" w:type="dxa"/>
            <w:tcBorders>
              <w:top w:val="nil"/>
              <w:left w:val="nil"/>
              <w:bottom w:val="nil"/>
              <w:right w:val="nil"/>
            </w:tcBorders>
            <w:shd w:val="clear" w:color="auto" w:fill="auto"/>
            <w:noWrap/>
            <w:vAlign w:val="bottom"/>
            <w:hideMark/>
          </w:tcPr>
          <w:p w14:paraId="20C14A48"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AIC</w:t>
            </w:r>
          </w:p>
        </w:tc>
        <w:tc>
          <w:tcPr>
            <w:tcW w:w="1439" w:type="dxa"/>
            <w:tcBorders>
              <w:top w:val="nil"/>
              <w:left w:val="nil"/>
              <w:bottom w:val="nil"/>
              <w:right w:val="nil"/>
            </w:tcBorders>
            <w:shd w:val="clear" w:color="auto" w:fill="auto"/>
            <w:noWrap/>
            <w:vAlign w:val="bottom"/>
            <w:hideMark/>
          </w:tcPr>
          <w:p w14:paraId="324B7789" w14:textId="77777777" w:rsidR="003D6616" w:rsidRPr="003D6616" w:rsidRDefault="003D6616" w:rsidP="003221D9">
            <w:pPr>
              <w:spacing w:after="0" w:line="240" w:lineRule="auto"/>
              <w:jc w:val="center"/>
              <w:rPr>
                <w:rFonts w:ascii="Times New Roman" w:eastAsia="Times New Roman" w:hAnsi="Times New Roman" w:cs="Times New Roman"/>
                <w:b/>
                <w:bCs/>
                <w:color w:val="000000"/>
                <w:sz w:val="20"/>
                <w:szCs w:val="20"/>
              </w:rPr>
            </w:pPr>
            <w:r w:rsidRPr="003D6616">
              <w:rPr>
                <w:rFonts w:ascii="Times New Roman" w:eastAsia="Times New Roman" w:hAnsi="Times New Roman" w:cs="Times New Roman"/>
                <w:b/>
                <w:bCs/>
                <w:color w:val="000000"/>
                <w:sz w:val="20"/>
                <w:szCs w:val="20"/>
              </w:rPr>
              <w:t>Deviance/df</w:t>
            </w:r>
          </w:p>
        </w:tc>
      </w:tr>
      <w:tr w:rsidR="003D6616" w:rsidRPr="003D6616" w14:paraId="3F63257F"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66393030" w14:textId="77777777" w:rsidR="003D6616" w:rsidRPr="003D6616" w:rsidRDefault="003D6616" w:rsidP="003221D9">
            <w:pPr>
              <w:spacing w:after="0" w:line="240" w:lineRule="auto"/>
              <w:jc w:val="center"/>
              <w:rPr>
                <w:rFonts w:ascii="Times New Roman" w:eastAsia="Times New Roman" w:hAnsi="Times New Roman" w:cs="Times New Roman"/>
                <w:i/>
                <w:iCs/>
                <w:color w:val="000000"/>
                <w:sz w:val="20"/>
                <w:szCs w:val="20"/>
              </w:rPr>
            </w:pPr>
            <w:r w:rsidRPr="003D6616">
              <w:rPr>
                <w:rFonts w:ascii="Times New Roman" w:eastAsia="Times New Roman" w:hAnsi="Times New Roman" w:cs="Times New Roman"/>
                <w:i/>
                <w:iCs/>
                <w:color w:val="000000"/>
                <w:sz w:val="20"/>
                <w:szCs w:val="20"/>
              </w:rPr>
              <w:t>Site-scale</w:t>
            </w:r>
          </w:p>
        </w:tc>
        <w:tc>
          <w:tcPr>
            <w:tcW w:w="766" w:type="dxa"/>
            <w:tcBorders>
              <w:top w:val="nil"/>
              <w:left w:val="nil"/>
              <w:bottom w:val="nil"/>
              <w:right w:val="nil"/>
            </w:tcBorders>
            <w:shd w:val="clear" w:color="auto" w:fill="auto"/>
            <w:noWrap/>
            <w:vAlign w:val="bottom"/>
            <w:hideMark/>
          </w:tcPr>
          <w:p w14:paraId="3AFA9A73" w14:textId="77777777" w:rsidR="003D6616" w:rsidRPr="003D6616" w:rsidRDefault="003D6616" w:rsidP="003221D9">
            <w:pPr>
              <w:spacing w:after="0" w:line="240" w:lineRule="auto"/>
              <w:jc w:val="center"/>
              <w:rPr>
                <w:rFonts w:ascii="Times New Roman" w:eastAsia="Times New Roman" w:hAnsi="Times New Roman" w:cs="Times New Roman"/>
                <w:i/>
                <w:iCs/>
                <w:color w:val="000000"/>
                <w:sz w:val="20"/>
                <w:szCs w:val="20"/>
              </w:rPr>
            </w:pPr>
          </w:p>
        </w:tc>
        <w:tc>
          <w:tcPr>
            <w:tcW w:w="1439" w:type="dxa"/>
            <w:tcBorders>
              <w:top w:val="nil"/>
              <w:left w:val="nil"/>
              <w:bottom w:val="nil"/>
              <w:right w:val="nil"/>
            </w:tcBorders>
            <w:shd w:val="clear" w:color="auto" w:fill="auto"/>
            <w:noWrap/>
            <w:vAlign w:val="bottom"/>
            <w:hideMark/>
          </w:tcPr>
          <w:p w14:paraId="3B03EEAA"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14:paraId="20E7D523"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hideMark/>
          </w:tcPr>
          <w:p w14:paraId="78E87056"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14:paraId="082A7E2B"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hideMark/>
          </w:tcPr>
          <w:p w14:paraId="6136F2E3"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14:paraId="1410E24F"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hideMark/>
          </w:tcPr>
          <w:p w14:paraId="66C69D21"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14:paraId="6C86F02C" w14:textId="77777777" w:rsidR="003D6616" w:rsidRPr="003D6616" w:rsidRDefault="003D6616" w:rsidP="003221D9">
            <w:pPr>
              <w:spacing w:after="0" w:line="240" w:lineRule="auto"/>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hideMark/>
          </w:tcPr>
          <w:p w14:paraId="0FB8CB7D" w14:textId="77777777" w:rsidR="003D6616" w:rsidRPr="003D6616" w:rsidRDefault="003D6616" w:rsidP="003221D9">
            <w:pPr>
              <w:spacing w:after="0" w:line="240" w:lineRule="auto"/>
              <w:rPr>
                <w:rFonts w:ascii="Times New Roman" w:eastAsia="Times New Roman" w:hAnsi="Times New Roman" w:cs="Times New Roman"/>
                <w:sz w:val="20"/>
                <w:szCs w:val="20"/>
              </w:rPr>
            </w:pPr>
          </w:p>
        </w:tc>
      </w:tr>
      <w:tr w:rsidR="003D6616" w:rsidRPr="003D6616" w14:paraId="4612F810"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59A23D9F"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Total perch length</w:t>
            </w:r>
          </w:p>
        </w:tc>
        <w:tc>
          <w:tcPr>
            <w:tcW w:w="766" w:type="dxa"/>
            <w:tcBorders>
              <w:top w:val="nil"/>
              <w:left w:val="nil"/>
              <w:bottom w:val="nil"/>
              <w:right w:val="nil"/>
            </w:tcBorders>
            <w:shd w:val="clear" w:color="auto" w:fill="auto"/>
            <w:noWrap/>
            <w:vAlign w:val="bottom"/>
            <w:hideMark/>
          </w:tcPr>
          <w:p w14:paraId="4022D75A"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241.1</w:t>
            </w:r>
          </w:p>
        </w:tc>
        <w:tc>
          <w:tcPr>
            <w:tcW w:w="1439" w:type="dxa"/>
            <w:tcBorders>
              <w:top w:val="nil"/>
              <w:left w:val="nil"/>
              <w:bottom w:val="nil"/>
              <w:right w:val="nil"/>
            </w:tcBorders>
            <w:shd w:val="clear" w:color="auto" w:fill="auto"/>
            <w:noWrap/>
            <w:vAlign w:val="bottom"/>
            <w:hideMark/>
          </w:tcPr>
          <w:p w14:paraId="13AC6254"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1.46</w:t>
            </w:r>
          </w:p>
        </w:tc>
        <w:tc>
          <w:tcPr>
            <w:tcW w:w="801" w:type="dxa"/>
            <w:tcBorders>
              <w:top w:val="nil"/>
              <w:left w:val="nil"/>
              <w:bottom w:val="nil"/>
              <w:right w:val="nil"/>
            </w:tcBorders>
            <w:shd w:val="clear" w:color="auto" w:fill="auto"/>
            <w:noWrap/>
            <w:vAlign w:val="bottom"/>
            <w:hideMark/>
          </w:tcPr>
          <w:p w14:paraId="5744E0B2"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229.8</w:t>
            </w:r>
          </w:p>
        </w:tc>
        <w:tc>
          <w:tcPr>
            <w:tcW w:w="1439" w:type="dxa"/>
            <w:tcBorders>
              <w:top w:val="nil"/>
              <w:left w:val="nil"/>
              <w:bottom w:val="nil"/>
              <w:right w:val="nil"/>
            </w:tcBorders>
            <w:shd w:val="clear" w:color="auto" w:fill="auto"/>
            <w:noWrap/>
            <w:vAlign w:val="bottom"/>
            <w:hideMark/>
          </w:tcPr>
          <w:p w14:paraId="086CDEA4"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1.39</w:t>
            </w:r>
          </w:p>
        </w:tc>
        <w:tc>
          <w:tcPr>
            <w:tcW w:w="801" w:type="dxa"/>
            <w:tcBorders>
              <w:top w:val="nil"/>
              <w:left w:val="nil"/>
              <w:bottom w:val="nil"/>
              <w:right w:val="nil"/>
            </w:tcBorders>
            <w:shd w:val="clear" w:color="auto" w:fill="auto"/>
            <w:noWrap/>
            <w:vAlign w:val="bottom"/>
            <w:hideMark/>
          </w:tcPr>
          <w:p w14:paraId="53A5E21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223.8</w:t>
            </w:r>
          </w:p>
        </w:tc>
        <w:tc>
          <w:tcPr>
            <w:tcW w:w="1439" w:type="dxa"/>
            <w:tcBorders>
              <w:top w:val="nil"/>
              <w:left w:val="nil"/>
              <w:bottom w:val="nil"/>
              <w:right w:val="nil"/>
            </w:tcBorders>
            <w:shd w:val="clear" w:color="auto" w:fill="auto"/>
            <w:noWrap/>
            <w:vAlign w:val="bottom"/>
            <w:hideMark/>
          </w:tcPr>
          <w:p w14:paraId="1DE056A4"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1.35</w:t>
            </w:r>
          </w:p>
        </w:tc>
        <w:tc>
          <w:tcPr>
            <w:tcW w:w="801" w:type="dxa"/>
            <w:tcBorders>
              <w:top w:val="nil"/>
              <w:left w:val="nil"/>
              <w:bottom w:val="nil"/>
              <w:right w:val="nil"/>
            </w:tcBorders>
            <w:shd w:val="clear" w:color="auto" w:fill="auto"/>
            <w:noWrap/>
            <w:vAlign w:val="bottom"/>
            <w:hideMark/>
          </w:tcPr>
          <w:p w14:paraId="42689ED4"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177.3</w:t>
            </w:r>
          </w:p>
        </w:tc>
        <w:tc>
          <w:tcPr>
            <w:tcW w:w="1439" w:type="dxa"/>
            <w:tcBorders>
              <w:top w:val="nil"/>
              <w:left w:val="nil"/>
              <w:bottom w:val="nil"/>
              <w:right w:val="nil"/>
            </w:tcBorders>
            <w:shd w:val="clear" w:color="auto" w:fill="auto"/>
            <w:noWrap/>
            <w:vAlign w:val="bottom"/>
            <w:hideMark/>
          </w:tcPr>
          <w:p w14:paraId="42A20F45"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1.06</w:t>
            </w:r>
          </w:p>
        </w:tc>
        <w:tc>
          <w:tcPr>
            <w:tcW w:w="801" w:type="dxa"/>
            <w:tcBorders>
              <w:top w:val="nil"/>
              <w:left w:val="nil"/>
              <w:bottom w:val="nil"/>
              <w:right w:val="nil"/>
            </w:tcBorders>
            <w:shd w:val="clear" w:color="auto" w:fill="auto"/>
            <w:noWrap/>
            <w:vAlign w:val="bottom"/>
            <w:hideMark/>
          </w:tcPr>
          <w:p w14:paraId="5E30A541"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257.7</w:t>
            </w:r>
          </w:p>
        </w:tc>
        <w:tc>
          <w:tcPr>
            <w:tcW w:w="1439" w:type="dxa"/>
            <w:tcBorders>
              <w:top w:val="nil"/>
              <w:left w:val="nil"/>
              <w:bottom w:val="nil"/>
              <w:right w:val="nil"/>
            </w:tcBorders>
            <w:shd w:val="clear" w:color="auto" w:fill="auto"/>
            <w:noWrap/>
            <w:vAlign w:val="bottom"/>
            <w:hideMark/>
          </w:tcPr>
          <w:p w14:paraId="0B408AA1"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1.57</w:t>
            </w:r>
          </w:p>
        </w:tc>
      </w:tr>
      <w:tr w:rsidR="003D6616" w:rsidRPr="003D6616" w14:paraId="7CA0A849"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60C352C8"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log(Total perch length)</w:t>
            </w:r>
          </w:p>
        </w:tc>
        <w:tc>
          <w:tcPr>
            <w:tcW w:w="766" w:type="dxa"/>
            <w:tcBorders>
              <w:top w:val="nil"/>
              <w:left w:val="nil"/>
              <w:bottom w:val="nil"/>
              <w:right w:val="nil"/>
            </w:tcBorders>
            <w:shd w:val="clear" w:color="auto" w:fill="auto"/>
            <w:noWrap/>
            <w:vAlign w:val="bottom"/>
            <w:hideMark/>
          </w:tcPr>
          <w:p w14:paraId="404B9BBF"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239.5</w:t>
            </w:r>
          </w:p>
        </w:tc>
        <w:tc>
          <w:tcPr>
            <w:tcW w:w="1439" w:type="dxa"/>
            <w:tcBorders>
              <w:top w:val="nil"/>
              <w:left w:val="nil"/>
              <w:bottom w:val="nil"/>
              <w:right w:val="nil"/>
            </w:tcBorders>
            <w:shd w:val="clear" w:color="auto" w:fill="auto"/>
            <w:noWrap/>
            <w:vAlign w:val="bottom"/>
            <w:hideMark/>
          </w:tcPr>
          <w:p w14:paraId="2FA2C71A"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1.45</w:t>
            </w:r>
          </w:p>
        </w:tc>
        <w:tc>
          <w:tcPr>
            <w:tcW w:w="801" w:type="dxa"/>
            <w:tcBorders>
              <w:top w:val="nil"/>
              <w:left w:val="nil"/>
              <w:bottom w:val="nil"/>
              <w:right w:val="nil"/>
            </w:tcBorders>
            <w:shd w:val="clear" w:color="auto" w:fill="auto"/>
            <w:noWrap/>
            <w:vAlign w:val="bottom"/>
            <w:hideMark/>
          </w:tcPr>
          <w:p w14:paraId="12BD0CAF"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226.6</w:t>
            </w:r>
          </w:p>
        </w:tc>
        <w:tc>
          <w:tcPr>
            <w:tcW w:w="1439" w:type="dxa"/>
            <w:tcBorders>
              <w:top w:val="nil"/>
              <w:left w:val="nil"/>
              <w:bottom w:val="nil"/>
              <w:right w:val="nil"/>
            </w:tcBorders>
            <w:shd w:val="clear" w:color="auto" w:fill="auto"/>
            <w:noWrap/>
            <w:vAlign w:val="bottom"/>
            <w:hideMark/>
          </w:tcPr>
          <w:p w14:paraId="799C600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1.37</w:t>
            </w:r>
          </w:p>
        </w:tc>
        <w:tc>
          <w:tcPr>
            <w:tcW w:w="801" w:type="dxa"/>
            <w:tcBorders>
              <w:top w:val="nil"/>
              <w:left w:val="nil"/>
              <w:bottom w:val="nil"/>
              <w:right w:val="nil"/>
            </w:tcBorders>
            <w:shd w:val="clear" w:color="auto" w:fill="auto"/>
            <w:noWrap/>
            <w:vAlign w:val="bottom"/>
            <w:hideMark/>
          </w:tcPr>
          <w:p w14:paraId="7F1DC1B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223.0</w:t>
            </w:r>
          </w:p>
        </w:tc>
        <w:tc>
          <w:tcPr>
            <w:tcW w:w="1439" w:type="dxa"/>
            <w:tcBorders>
              <w:top w:val="nil"/>
              <w:left w:val="nil"/>
              <w:bottom w:val="nil"/>
              <w:right w:val="nil"/>
            </w:tcBorders>
            <w:shd w:val="clear" w:color="auto" w:fill="auto"/>
            <w:noWrap/>
            <w:vAlign w:val="bottom"/>
            <w:hideMark/>
          </w:tcPr>
          <w:p w14:paraId="339C7D97"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1.35</w:t>
            </w:r>
          </w:p>
        </w:tc>
        <w:tc>
          <w:tcPr>
            <w:tcW w:w="801" w:type="dxa"/>
            <w:tcBorders>
              <w:top w:val="nil"/>
              <w:left w:val="nil"/>
              <w:bottom w:val="nil"/>
              <w:right w:val="nil"/>
            </w:tcBorders>
            <w:shd w:val="clear" w:color="auto" w:fill="auto"/>
            <w:noWrap/>
            <w:vAlign w:val="bottom"/>
            <w:hideMark/>
          </w:tcPr>
          <w:p w14:paraId="158ADF0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176.6</w:t>
            </w:r>
          </w:p>
        </w:tc>
        <w:tc>
          <w:tcPr>
            <w:tcW w:w="1439" w:type="dxa"/>
            <w:tcBorders>
              <w:top w:val="nil"/>
              <w:left w:val="nil"/>
              <w:bottom w:val="nil"/>
              <w:right w:val="nil"/>
            </w:tcBorders>
            <w:shd w:val="clear" w:color="auto" w:fill="auto"/>
            <w:noWrap/>
            <w:vAlign w:val="bottom"/>
            <w:hideMark/>
          </w:tcPr>
          <w:p w14:paraId="0B9BBD5C"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1.06</w:t>
            </w:r>
          </w:p>
        </w:tc>
        <w:tc>
          <w:tcPr>
            <w:tcW w:w="801" w:type="dxa"/>
            <w:tcBorders>
              <w:top w:val="nil"/>
              <w:left w:val="nil"/>
              <w:bottom w:val="nil"/>
              <w:right w:val="nil"/>
            </w:tcBorders>
            <w:shd w:val="clear" w:color="auto" w:fill="auto"/>
            <w:noWrap/>
            <w:vAlign w:val="bottom"/>
            <w:hideMark/>
          </w:tcPr>
          <w:p w14:paraId="70BC1868"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356.9</w:t>
            </w:r>
          </w:p>
        </w:tc>
        <w:tc>
          <w:tcPr>
            <w:tcW w:w="1439" w:type="dxa"/>
            <w:tcBorders>
              <w:top w:val="nil"/>
              <w:left w:val="nil"/>
              <w:bottom w:val="nil"/>
              <w:right w:val="nil"/>
            </w:tcBorders>
            <w:shd w:val="clear" w:color="auto" w:fill="auto"/>
            <w:noWrap/>
            <w:vAlign w:val="bottom"/>
            <w:hideMark/>
          </w:tcPr>
          <w:p w14:paraId="7B01518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1.57</w:t>
            </w:r>
          </w:p>
        </w:tc>
      </w:tr>
      <w:tr w:rsidR="003D6616" w:rsidRPr="003D6616" w14:paraId="07494FE4"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3A650469"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Total road length</w:t>
            </w:r>
          </w:p>
        </w:tc>
        <w:tc>
          <w:tcPr>
            <w:tcW w:w="766" w:type="dxa"/>
            <w:tcBorders>
              <w:top w:val="nil"/>
              <w:left w:val="nil"/>
              <w:bottom w:val="nil"/>
              <w:right w:val="nil"/>
            </w:tcBorders>
            <w:shd w:val="clear" w:color="auto" w:fill="auto"/>
            <w:noWrap/>
            <w:vAlign w:val="bottom"/>
            <w:hideMark/>
          </w:tcPr>
          <w:p w14:paraId="50670EC7"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242.7</w:t>
            </w:r>
          </w:p>
        </w:tc>
        <w:tc>
          <w:tcPr>
            <w:tcW w:w="1439" w:type="dxa"/>
            <w:tcBorders>
              <w:top w:val="nil"/>
              <w:left w:val="nil"/>
              <w:bottom w:val="nil"/>
              <w:right w:val="nil"/>
            </w:tcBorders>
            <w:shd w:val="clear" w:color="auto" w:fill="auto"/>
            <w:noWrap/>
            <w:vAlign w:val="bottom"/>
            <w:hideMark/>
          </w:tcPr>
          <w:p w14:paraId="1CAED1F2"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1.47</w:t>
            </w:r>
          </w:p>
        </w:tc>
        <w:tc>
          <w:tcPr>
            <w:tcW w:w="801" w:type="dxa"/>
            <w:tcBorders>
              <w:top w:val="nil"/>
              <w:left w:val="nil"/>
              <w:bottom w:val="nil"/>
              <w:right w:val="nil"/>
            </w:tcBorders>
            <w:shd w:val="clear" w:color="auto" w:fill="auto"/>
            <w:noWrap/>
            <w:vAlign w:val="bottom"/>
            <w:hideMark/>
          </w:tcPr>
          <w:p w14:paraId="79B8E8BC"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231.4</w:t>
            </w:r>
          </w:p>
        </w:tc>
        <w:tc>
          <w:tcPr>
            <w:tcW w:w="1439" w:type="dxa"/>
            <w:tcBorders>
              <w:top w:val="nil"/>
              <w:left w:val="nil"/>
              <w:bottom w:val="nil"/>
              <w:right w:val="nil"/>
            </w:tcBorders>
            <w:shd w:val="clear" w:color="auto" w:fill="auto"/>
            <w:noWrap/>
            <w:vAlign w:val="bottom"/>
            <w:hideMark/>
          </w:tcPr>
          <w:p w14:paraId="45C55A8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1.40</w:t>
            </w:r>
          </w:p>
        </w:tc>
        <w:tc>
          <w:tcPr>
            <w:tcW w:w="801" w:type="dxa"/>
            <w:tcBorders>
              <w:top w:val="nil"/>
              <w:left w:val="nil"/>
              <w:bottom w:val="nil"/>
              <w:right w:val="nil"/>
            </w:tcBorders>
            <w:shd w:val="clear" w:color="auto" w:fill="auto"/>
            <w:noWrap/>
            <w:vAlign w:val="bottom"/>
            <w:hideMark/>
          </w:tcPr>
          <w:p w14:paraId="3F2DB10C"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224.9</w:t>
            </w:r>
          </w:p>
        </w:tc>
        <w:tc>
          <w:tcPr>
            <w:tcW w:w="1439" w:type="dxa"/>
            <w:tcBorders>
              <w:top w:val="nil"/>
              <w:left w:val="nil"/>
              <w:bottom w:val="nil"/>
              <w:right w:val="nil"/>
            </w:tcBorders>
            <w:shd w:val="clear" w:color="auto" w:fill="auto"/>
            <w:noWrap/>
            <w:vAlign w:val="bottom"/>
            <w:hideMark/>
          </w:tcPr>
          <w:p w14:paraId="56EDFD5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1.36</w:t>
            </w:r>
          </w:p>
        </w:tc>
        <w:tc>
          <w:tcPr>
            <w:tcW w:w="801" w:type="dxa"/>
            <w:tcBorders>
              <w:top w:val="nil"/>
              <w:left w:val="nil"/>
              <w:bottom w:val="nil"/>
              <w:right w:val="nil"/>
            </w:tcBorders>
            <w:shd w:val="clear" w:color="auto" w:fill="auto"/>
            <w:noWrap/>
            <w:vAlign w:val="bottom"/>
            <w:hideMark/>
          </w:tcPr>
          <w:p w14:paraId="031BCBBF"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178.2</w:t>
            </w:r>
          </w:p>
        </w:tc>
        <w:tc>
          <w:tcPr>
            <w:tcW w:w="1439" w:type="dxa"/>
            <w:tcBorders>
              <w:top w:val="nil"/>
              <w:left w:val="nil"/>
              <w:bottom w:val="nil"/>
              <w:right w:val="nil"/>
            </w:tcBorders>
            <w:shd w:val="clear" w:color="auto" w:fill="auto"/>
            <w:noWrap/>
            <w:vAlign w:val="bottom"/>
            <w:hideMark/>
          </w:tcPr>
          <w:p w14:paraId="5C63FE28"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1.06</w:t>
            </w:r>
          </w:p>
        </w:tc>
        <w:tc>
          <w:tcPr>
            <w:tcW w:w="801" w:type="dxa"/>
            <w:tcBorders>
              <w:top w:val="nil"/>
              <w:left w:val="nil"/>
              <w:bottom w:val="nil"/>
              <w:right w:val="nil"/>
            </w:tcBorders>
            <w:shd w:val="clear" w:color="auto" w:fill="auto"/>
            <w:noWrap/>
            <w:vAlign w:val="bottom"/>
            <w:hideMark/>
          </w:tcPr>
          <w:p w14:paraId="031A1EFA"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247.4</w:t>
            </w:r>
          </w:p>
        </w:tc>
        <w:tc>
          <w:tcPr>
            <w:tcW w:w="1439" w:type="dxa"/>
            <w:tcBorders>
              <w:top w:val="nil"/>
              <w:left w:val="nil"/>
              <w:bottom w:val="nil"/>
              <w:right w:val="nil"/>
            </w:tcBorders>
            <w:shd w:val="clear" w:color="auto" w:fill="auto"/>
            <w:noWrap/>
            <w:vAlign w:val="bottom"/>
            <w:hideMark/>
          </w:tcPr>
          <w:p w14:paraId="1C230A28"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1.57</w:t>
            </w:r>
          </w:p>
        </w:tc>
      </w:tr>
      <w:tr w:rsidR="003D6616" w:rsidRPr="003D6616" w14:paraId="258A3BF0"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228AA084"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log(Total road length)</w:t>
            </w:r>
          </w:p>
        </w:tc>
        <w:tc>
          <w:tcPr>
            <w:tcW w:w="766" w:type="dxa"/>
            <w:tcBorders>
              <w:top w:val="nil"/>
              <w:left w:val="nil"/>
              <w:bottom w:val="nil"/>
              <w:right w:val="nil"/>
            </w:tcBorders>
            <w:shd w:val="clear" w:color="auto" w:fill="auto"/>
            <w:noWrap/>
            <w:vAlign w:val="bottom"/>
            <w:hideMark/>
          </w:tcPr>
          <w:p w14:paraId="3B3CB4C1"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241.1</w:t>
            </w:r>
          </w:p>
        </w:tc>
        <w:tc>
          <w:tcPr>
            <w:tcW w:w="1439" w:type="dxa"/>
            <w:tcBorders>
              <w:top w:val="nil"/>
              <w:left w:val="nil"/>
              <w:bottom w:val="nil"/>
              <w:right w:val="nil"/>
            </w:tcBorders>
            <w:shd w:val="clear" w:color="auto" w:fill="auto"/>
            <w:noWrap/>
            <w:vAlign w:val="bottom"/>
            <w:hideMark/>
          </w:tcPr>
          <w:p w14:paraId="22EF30EC"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1.46</w:t>
            </w:r>
          </w:p>
        </w:tc>
        <w:tc>
          <w:tcPr>
            <w:tcW w:w="801" w:type="dxa"/>
            <w:tcBorders>
              <w:top w:val="nil"/>
              <w:left w:val="nil"/>
              <w:bottom w:val="nil"/>
              <w:right w:val="nil"/>
            </w:tcBorders>
            <w:shd w:val="clear" w:color="auto" w:fill="auto"/>
            <w:noWrap/>
            <w:vAlign w:val="bottom"/>
            <w:hideMark/>
          </w:tcPr>
          <w:p w14:paraId="4D349B49"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228.2</w:t>
            </w:r>
          </w:p>
        </w:tc>
        <w:tc>
          <w:tcPr>
            <w:tcW w:w="1439" w:type="dxa"/>
            <w:tcBorders>
              <w:top w:val="nil"/>
              <w:left w:val="nil"/>
              <w:bottom w:val="nil"/>
              <w:right w:val="nil"/>
            </w:tcBorders>
            <w:shd w:val="clear" w:color="auto" w:fill="auto"/>
            <w:noWrap/>
            <w:vAlign w:val="bottom"/>
            <w:hideMark/>
          </w:tcPr>
          <w:p w14:paraId="76361948"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1.38</w:t>
            </w:r>
          </w:p>
        </w:tc>
        <w:tc>
          <w:tcPr>
            <w:tcW w:w="801" w:type="dxa"/>
            <w:tcBorders>
              <w:top w:val="nil"/>
              <w:left w:val="nil"/>
              <w:bottom w:val="nil"/>
              <w:right w:val="nil"/>
            </w:tcBorders>
            <w:shd w:val="clear" w:color="auto" w:fill="auto"/>
            <w:noWrap/>
            <w:vAlign w:val="bottom"/>
            <w:hideMark/>
          </w:tcPr>
          <w:p w14:paraId="1474D03A"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221.7</w:t>
            </w:r>
          </w:p>
        </w:tc>
        <w:tc>
          <w:tcPr>
            <w:tcW w:w="1439" w:type="dxa"/>
            <w:tcBorders>
              <w:top w:val="nil"/>
              <w:left w:val="nil"/>
              <w:bottom w:val="nil"/>
              <w:right w:val="nil"/>
            </w:tcBorders>
            <w:shd w:val="clear" w:color="auto" w:fill="auto"/>
            <w:noWrap/>
            <w:vAlign w:val="bottom"/>
            <w:hideMark/>
          </w:tcPr>
          <w:p w14:paraId="6064F84A"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1.34</w:t>
            </w:r>
          </w:p>
        </w:tc>
        <w:tc>
          <w:tcPr>
            <w:tcW w:w="801" w:type="dxa"/>
            <w:tcBorders>
              <w:top w:val="nil"/>
              <w:left w:val="nil"/>
              <w:bottom w:val="nil"/>
              <w:right w:val="nil"/>
            </w:tcBorders>
            <w:shd w:val="clear" w:color="auto" w:fill="auto"/>
            <w:noWrap/>
            <w:vAlign w:val="bottom"/>
            <w:hideMark/>
          </w:tcPr>
          <w:p w14:paraId="1C962A11"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176.7</w:t>
            </w:r>
          </w:p>
        </w:tc>
        <w:tc>
          <w:tcPr>
            <w:tcW w:w="1439" w:type="dxa"/>
            <w:tcBorders>
              <w:top w:val="nil"/>
              <w:left w:val="nil"/>
              <w:bottom w:val="nil"/>
              <w:right w:val="nil"/>
            </w:tcBorders>
            <w:shd w:val="clear" w:color="auto" w:fill="auto"/>
            <w:noWrap/>
            <w:vAlign w:val="bottom"/>
            <w:hideMark/>
          </w:tcPr>
          <w:p w14:paraId="47D89954"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1.06</w:t>
            </w:r>
          </w:p>
        </w:tc>
        <w:tc>
          <w:tcPr>
            <w:tcW w:w="801" w:type="dxa"/>
            <w:tcBorders>
              <w:top w:val="nil"/>
              <w:left w:val="nil"/>
              <w:bottom w:val="nil"/>
              <w:right w:val="nil"/>
            </w:tcBorders>
            <w:shd w:val="clear" w:color="auto" w:fill="auto"/>
            <w:noWrap/>
            <w:vAlign w:val="bottom"/>
            <w:hideMark/>
          </w:tcPr>
          <w:p w14:paraId="5B7F0C79"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256.4</w:t>
            </w:r>
          </w:p>
        </w:tc>
        <w:tc>
          <w:tcPr>
            <w:tcW w:w="1439" w:type="dxa"/>
            <w:tcBorders>
              <w:top w:val="nil"/>
              <w:left w:val="nil"/>
              <w:bottom w:val="nil"/>
              <w:right w:val="nil"/>
            </w:tcBorders>
            <w:shd w:val="clear" w:color="auto" w:fill="auto"/>
            <w:noWrap/>
            <w:vAlign w:val="bottom"/>
            <w:hideMark/>
          </w:tcPr>
          <w:p w14:paraId="340E5972"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1.57</w:t>
            </w:r>
          </w:p>
        </w:tc>
      </w:tr>
      <w:tr w:rsidR="003D6616" w:rsidRPr="003D6616" w14:paraId="5C072C85"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432A31A4" w14:textId="77777777" w:rsidR="003D6616" w:rsidRPr="003D6616" w:rsidRDefault="003D6616" w:rsidP="003221D9">
            <w:pPr>
              <w:spacing w:after="0" w:line="240" w:lineRule="auto"/>
              <w:jc w:val="center"/>
              <w:rPr>
                <w:rFonts w:ascii="Times New Roman" w:eastAsia="Times New Roman" w:hAnsi="Times New Roman" w:cs="Times New Roman"/>
                <w:i/>
                <w:iCs/>
                <w:color w:val="000000"/>
                <w:sz w:val="20"/>
                <w:szCs w:val="20"/>
              </w:rPr>
            </w:pPr>
            <w:r w:rsidRPr="003D6616">
              <w:rPr>
                <w:rFonts w:ascii="Times New Roman" w:eastAsia="Times New Roman" w:hAnsi="Times New Roman" w:cs="Times New Roman"/>
                <w:i/>
                <w:iCs/>
                <w:color w:val="000000"/>
                <w:sz w:val="20"/>
                <w:szCs w:val="20"/>
              </w:rPr>
              <w:t>Hectare-scale</w:t>
            </w:r>
          </w:p>
        </w:tc>
        <w:tc>
          <w:tcPr>
            <w:tcW w:w="766" w:type="dxa"/>
            <w:tcBorders>
              <w:top w:val="nil"/>
              <w:left w:val="nil"/>
              <w:bottom w:val="nil"/>
              <w:right w:val="nil"/>
            </w:tcBorders>
            <w:shd w:val="clear" w:color="auto" w:fill="auto"/>
            <w:noWrap/>
            <w:vAlign w:val="bottom"/>
            <w:hideMark/>
          </w:tcPr>
          <w:p w14:paraId="44BF370C" w14:textId="77777777" w:rsidR="003D6616" w:rsidRPr="003D6616" w:rsidRDefault="003D6616" w:rsidP="003221D9">
            <w:pPr>
              <w:spacing w:after="0" w:line="240" w:lineRule="auto"/>
              <w:jc w:val="center"/>
              <w:rPr>
                <w:rFonts w:ascii="Times New Roman" w:eastAsia="Times New Roman" w:hAnsi="Times New Roman" w:cs="Times New Roman"/>
                <w:i/>
                <w:iCs/>
                <w:color w:val="000000"/>
                <w:sz w:val="20"/>
                <w:szCs w:val="20"/>
              </w:rPr>
            </w:pPr>
          </w:p>
        </w:tc>
        <w:tc>
          <w:tcPr>
            <w:tcW w:w="1439" w:type="dxa"/>
            <w:tcBorders>
              <w:top w:val="nil"/>
              <w:left w:val="nil"/>
              <w:bottom w:val="nil"/>
              <w:right w:val="nil"/>
            </w:tcBorders>
            <w:shd w:val="clear" w:color="auto" w:fill="auto"/>
            <w:noWrap/>
            <w:vAlign w:val="bottom"/>
            <w:hideMark/>
          </w:tcPr>
          <w:p w14:paraId="76AF925C" w14:textId="77777777" w:rsidR="003D6616" w:rsidRPr="003D6616" w:rsidRDefault="003D6616" w:rsidP="003221D9">
            <w:pPr>
              <w:spacing w:after="0" w:line="240" w:lineRule="auto"/>
              <w:jc w:val="center"/>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14:paraId="488ECCCE" w14:textId="77777777" w:rsidR="003D6616" w:rsidRPr="003D6616" w:rsidRDefault="003D6616" w:rsidP="003221D9">
            <w:pPr>
              <w:spacing w:after="0" w:line="240" w:lineRule="auto"/>
              <w:jc w:val="center"/>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hideMark/>
          </w:tcPr>
          <w:p w14:paraId="2953DE91" w14:textId="77777777" w:rsidR="003D6616" w:rsidRPr="003D6616" w:rsidRDefault="003D6616" w:rsidP="003221D9">
            <w:pPr>
              <w:spacing w:after="0" w:line="240" w:lineRule="auto"/>
              <w:jc w:val="center"/>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14:paraId="118E3174" w14:textId="77777777" w:rsidR="003D6616" w:rsidRPr="003D6616" w:rsidRDefault="003D6616" w:rsidP="003221D9">
            <w:pPr>
              <w:spacing w:after="0" w:line="240" w:lineRule="auto"/>
              <w:jc w:val="center"/>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hideMark/>
          </w:tcPr>
          <w:p w14:paraId="170BDB47" w14:textId="77777777" w:rsidR="003D6616" w:rsidRPr="003D6616" w:rsidRDefault="003D6616" w:rsidP="003221D9">
            <w:pPr>
              <w:spacing w:after="0" w:line="240" w:lineRule="auto"/>
              <w:jc w:val="center"/>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14:paraId="3CE7E5BF" w14:textId="77777777" w:rsidR="003D6616" w:rsidRPr="003D6616" w:rsidRDefault="003D6616" w:rsidP="003221D9">
            <w:pPr>
              <w:spacing w:after="0" w:line="240" w:lineRule="auto"/>
              <w:jc w:val="center"/>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hideMark/>
          </w:tcPr>
          <w:p w14:paraId="276597A5" w14:textId="77777777" w:rsidR="003D6616" w:rsidRPr="003D6616" w:rsidRDefault="003D6616" w:rsidP="003221D9">
            <w:pPr>
              <w:spacing w:after="0" w:line="240" w:lineRule="auto"/>
              <w:jc w:val="center"/>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14:paraId="7F7764D0" w14:textId="77777777" w:rsidR="003D6616" w:rsidRPr="003D6616" w:rsidRDefault="003D6616" w:rsidP="003221D9">
            <w:pPr>
              <w:spacing w:after="0" w:line="240" w:lineRule="auto"/>
              <w:jc w:val="center"/>
              <w:rPr>
                <w:rFonts w:ascii="Times New Roman" w:eastAsia="Times New Roman" w:hAnsi="Times New Roman" w:cs="Times New Roman"/>
                <w:sz w:val="20"/>
                <w:szCs w:val="20"/>
              </w:rPr>
            </w:pPr>
          </w:p>
        </w:tc>
        <w:tc>
          <w:tcPr>
            <w:tcW w:w="1439" w:type="dxa"/>
            <w:tcBorders>
              <w:top w:val="nil"/>
              <w:left w:val="nil"/>
              <w:bottom w:val="nil"/>
              <w:right w:val="nil"/>
            </w:tcBorders>
            <w:shd w:val="clear" w:color="auto" w:fill="auto"/>
            <w:noWrap/>
            <w:vAlign w:val="bottom"/>
            <w:hideMark/>
          </w:tcPr>
          <w:p w14:paraId="22637188" w14:textId="77777777" w:rsidR="003D6616" w:rsidRPr="003D6616" w:rsidRDefault="003D6616" w:rsidP="003221D9">
            <w:pPr>
              <w:spacing w:after="0" w:line="240" w:lineRule="auto"/>
              <w:jc w:val="center"/>
              <w:rPr>
                <w:rFonts w:ascii="Times New Roman" w:eastAsia="Times New Roman" w:hAnsi="Times New Roman" w:cs="Times New Roman"/>
                <w:sz w:val="20"/>
                <w:szCs w:val="20"/>
              </w:rPr>
            </w:pPr>
          </w:p>
        </w:tc>
      </w:tr>
      <w:tr w:rsidR="003D6616" w:rsidRPr="003D6616" w14:paraId="11419EC1"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1A43DA69"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Distance to nearest perch</w:t>
            </w:r>
          </w:p>
        </w:tc>
        <w:tc>
          <w:tcPr>
            <w:tcW w:w="766" w:type="dxa"/>
            <w:tcBorders>
              <w:top w:val="nil"/>
              <w:left w:val="nil"/>
              <w:bottom w:val="nil"/>
              <w:right w:val="nil"/>
            </w:tcBorders>
            <w:shd w:val="clear" w:color="auto" w:fill="auto"/>
            <w:noWrap/>
            <w:vAlign w:val="bottom"/>
            <w:hideMark/>
          </w:tcPr>
          <w:p w14:paraId="381EBDCB"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1813.0</w:t>
            </w:r>
          </w:p>
        </w:tc>
        <w:tc>
          <w:tcPr>
            <w:tcW w:w="1439" w:type="dxa"/>
            <w:tcBorders>
              <w:top w:val="nil"/>
              <w:left w:val="nil"/>
              <w:bottom w:val="nil"/>
              <w:right w:val="nil"/>
            </w:tcBorders>
            <w:shd w:val="clear" w:color="auto" w:fill="auto"/>
            <w:noWrap/>
            <w:vAlign w:val="bottom"/>
            <w:hideMark/>
          </w:tcPr>
          <w:p w14:paraId="0E63F1CF"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1.38</w:t>
            </w:r>
          </w:p>
        </w:tc>
        <w:tc>
          <w:tcPr>
            <w:tcW w:w="801" w:type="dxa"/>
            <w:tcBorders>
              <w:top w:val="nil"/>
              <w:left w:val="nil"/>
              <w:bottom w:val="nil"/>
              <w:right w:val="nil"/>
            </w:tcBorders>
            <w:shd w:val="clear" w:color="auto" w:fill="auto"/>
            <w:noWrap/>
            <w:vAlign w:val="bottom"/>
            <w:hideMark/>
          </w:tcPr>
          <w:p w14:paraId="2B405C9B"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1526.8</w:t>
            </w:r>
          </w:p>
        </w:tc>
        <w:tc>
          <w:tcPr>
            <w:tcW w:w="1439" w:type="dxa"/>
            <w:tcBorders>
              <w:top w:val="nil"/>
              <w:left w:val="nil"/>
              <w:bottom w:val="nil"/>
              <w:right w:val="nil"/>
            </w:tcBorders>
            <w:shd w:val="clear" w:color="auto" w:fill="auto"/>
            <w:noWrap/>
            <w:vAlign w:val="bottom"/>
            <w:hideMark/>
          </w:tcPr>
          <w:p w14:paraId="5F2D67F2"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1.16</w:t>
            </w:r>
          </w:p>
        </w:tc>
        <w:tc>
          <w:tcPr>
            <w:tcW w:w="801" w:type="dxa"/>
            <w:tcBorders>
              <w:top w:val="nil"/>
              <w:left w:val="nil"/>
              <w:bottom w:val="nil"/>
              <w:right w:val="nil"/>
            </w:tcBorders>
            <w:shd w:val="clear" w:color="auto" w:fill="auto"/>
            <w:noWrap/>
            <w:vAlign w:val="bottom"/>
            <w:hideMark/>
          </w:tcPr>
          <w:p w14:paraId="6BF98D3F"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1504.4</w:t>
            </w:r>
          </w:p>
        </w:tc>
        <w:tc>
          <w:tcPr>
            <w:tcW w:w="1439" w:type="dxa"/>
            <w:tcBorders>
              <w:top w:val="nil"/>
              <w:left w:val="nil"/>
              <w:bottom w:val="nil"/>
              <w:right w:val="nil"/>
            </w:tcBorders>
            <w:shd w:val="clear" w:color="auto" w:fill="auto"/>
            <w:noWrap/>
            <w:vAlign w:val="bottom"/>
            <w:hideMark/>
          </w:tcPr>
          <w:p w14:paraId="5FAC9E06"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1.14</w:t>
            </w:r>
          </w:p>
        </w:tc>
        <w:tc>
          <w:tcPr>
            <w:tcW w:w="801" w:type="dxa"/>
            <w:tcBorders>
              <w:top w:val="nil"/>
              <w:left w:val="nil"/>
              <w:bottom w:val="nil"/>
              <w:right w:val="nil"/>
            </w:tcBorders>
            <w:shd w:val="clear" w:color="auto" w:fill="auto"/>
            <w:noWrap/>
            <w:vAlign w:val="bottom"/>
            <w:hideMark/>
          </w:tcPr>
          <w:p w14:paraId="7C373AFF"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1264.4</w:t>
            </w:r>
          </w:p>
        </w:tc>
        <w:tc>
          <w:tcPr>
            <w:tcW w:w="1439" w:type="dxa"/>
            <w:tcBorders>
              <w:top w:val="nil"/>
              <w:left w:val="nil"/>
              <w:bottom w:val="nil"/>
              <w:right w:val="nil"/>
            </w:tcBorders>
            <w:shd w:val="clear" w:color="auto" w:fill="auto"/>
            <w:noWrap/>
            <w:vAlign w:val="bottom"/>
            <w:hideMark/>
          </w:tcPr>
          <w:p w14:paraId="6DDF3B46"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0.96</w:t>
            </w:r>
          </w:p>
        </w:tc>
        <w:tc>
          <w:tcPr>
            <w:tcW w:w="801" w:type="dxa"/>
            <w:tcBorders>
              <w:top w:val="nil"/>
              <w:left w:val="nil"/>
              <w:bottom w:val="nil"/>
              <w:right w:val="nil"/>
            </w:tcBorders>
            <w:shd w:val="clear" w:color="auto" w:fill="auto"/>
            <w:noWrap/>
            <w:vAlign w:val="bottom"/>
            <w:hideMark/>
          </w:tcPr>
          <w:p w14:paraId="27F1E956"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1977.9</w:t>
            </w:r>
          </w:p>
        </w:tc>
        <w:tc>
          <w:tcPr>
            <w:tcW w:w="1439" w:type="dxa"/>
            <w:tcBorders>
              <w:top w:val="nil"/>
              <w:left w:val="nil"/>
              <w:bottom w:val="nil"/>
              <w:right w:val="nil"/>
            </w:tcBorders>
            <w:shd w:val="clear" w:color="auto" w:fill="auto"/>
            <w:noWrap/>
            <w:vAlign w:val="bottom"/>
            <w:hideMark/>
          </w:tcPr>
          <w:p w14:paraId="06915A4B"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w:t>
            </w:r>
          </w:p>
        </w:tc>
      </w:tr>
      <w:tr w:rsidR="003D6616" w:rsidRPr="003D6616" w14:paraId="6FDF93AB"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1D740BBC"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log(Distance to nearest perch)</w:t>
            </w:r>
          </w:p>
        </w:tc>
        <w:tc>
          <w:tcPr>
            <w:tcW w:w="766" w:type="dxa"/>
            <w:tcBorders>
              <w:top w:val="nil"/>
              <w:left w:val="nil"/>
              <w:bottom w:val="nil"/>
              <w:right w:val="nil"/>
            </w:tcBorders>
            <w:shd w:val="clear" w:color="auto" w:fill="auto"/>
            <w:noWrap/>
            <w:vAlign w:val="bottom"/>
            <w:hideMark/>
          </w:tcPr>
          <w:p w14:paraId="07F2F8E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1809.8</w:t>
            </w:r>
          </w:p>
        </w:tc>
        <w:tc>
          <w:tcPr>
            <w:tcW w:w="1439" w:type="dxa"/>
            <w:tcBorders>
              <w:top w:val="nil"/>
              <w:left w:val="nil"/>
              <w:bottom w:val="nil"/>
              <w:right w:val="nil"/>
            </w:tcBorders>
            <w:shd w:val="clear" w:color="auto" w:fill="auto"/>
            <w:noWrap/>
            <w:vAlign w:val="bottom"/>
            <w:hideMark/>
          </w:tcPr>
          <w:p w14:paraId="0F445678"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1.38</w:t>
            </w:r>
          </w:p>
        </w:tc>
        <w:tc>
          <w:tcPr>
            <w:tcW w:w="801" w:type="dxa"/>
            <w:tcBorders>
              <w:top w:val="nil"/>
              <w:left w:val="nil"/>
              <w:bottom w:val="nil"/>
              <w:right w:val="nil"/>
            </w:tcBorders>
            <w:shd w:val="clear" w:color="auto" w:fill="auto"/>
            <w:noWrap/>
            <w:vAlign w:val="bottom"/>
            <w:hideMark/>
          </w:tcPr>
          <w:p w14:paraId="4BB6002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1525.5</w:t>
            </w:r>
          </w:p>
        </w:tc>
        <w:tc>
          <w:tcPr>
            <w:tcW w:w="1439" w:type="dxa"/>
            <w:tcBorders>
              <w:top w:val="nil"/>
              <w:left w:val="nil"/>
              <w:bottom w:val="nil"/>
              <w:right w:val="nil"/>
            </w:tcBorders>
            <w:shd w:val="clear" w:color="auto" w:fill="auto"/>
            <w:noWrap/>
            <w:vAlign w:val="bottom"/>
            <w:hideMark/>
          </w:tcPr>
          <w:p w14:paraId="20319C3C"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1.16</w:t>
            </w:r>
          </w:p>
        </w:tc>
        <w:tc>
          <w:tcPr>
            <w:tcW w:w="801" w:type="dxa"/>
            <w:tcBorders>
              <w:top w:val="nil"/>
              <w:left w:val="nil"/>
              <w:bottom w:val="nil"/>
              <w:right w:val="nil"/>
            </w:tcBorders>
            <w:shd w:val="clear" w:color="auto" w:fill="auto"/>
            <w:noWrap/>
            <w:vAlign w:val="bottom"/>
            <w:hideMark/>
          </w:tcPr>
          <w:p w14:paraId="2A437421"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1503.3</w:t>
            </w:r>
          </w:p>
        </w:tc>
        <w:tc>
          <w:tcPr>
            <w:tcW w:w="1439" w:type="dxa"/>
            <w:tcBorders>
              <w:top w:val="nil"/>
              <w:left w:val="nil"/>
              <w:bottom w:val="nil"/>
              <w:right w:val="nil"/>
            </w:tcBorders>
            <w:shd w:val="clear" w:color="auto" w:fill="auto"/>
            <w:noWrap/>
            <w:vAlign w:val="bottom"/>
            <w:hideMark/>
          </w:tcPr>
          <w:p w14:paraId="78CAD0A7"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1.14</w:t>
            </w:r>
          </w:p>
        </w:tc>
        <w:tc>
          <w:tcPr>
            <w:tcW w:w="801" w:type="dxa"/>
            <w:tcBorders>
              <w:top w:val="nil"/>
              <w:left w:val="nil"/>
              <w:bottom w:val="nil"/>
              <w:right w:val="nil"/>
            </w:tcBorders>
            <w:shd w:val="clear" w:color="auto" w:fill="auto"/>
            <w:noWrap/>
            <w:vAlign w:val="bottom"/>
            <w:hideMark/>
          </w:tcPr>
          <w:p w14:paraId="17B39F7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1262.7</w:t>
            </w:r>
          </w:p>
        </w:tc>
        <w:tc>
          <w:tcPr>
            <w:tcW w:w="1439" w:type="dxa"/>
            <w:tcBorders>
              <w:top w:val="nil"/>
              <w:left w:val="nil"/>
              <w:bottom w:val="nil"/>
              <w:right w:val="nil"/>
            </w:tcBorders>
            <w:shd w:val="clear" w:color="auto" w:fill="auto"/>
            <w:noWrap/>
            <w:vAlign w:val="bottom"/>
            <w:hideMark/>
          </w:tcPr>
          <w:p w14:paraId="60FA4BF6"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0.96</w:t>
            </w:r>
          </w:p>
        </w:tc>
        <w:tc>
          <w:tcPr>
            <w:tcW w:w="801" w:type="dxa"/>
            <w:tcBorders>
              <w:top w:val="nil"/>
              <w:left w:val="nil"/>
              <w:bottom w:val="nil"/>
              <w:right w:val="nil"/>
            </w:tcBorders>
            <w:shd w:val="clear" w:color="auto" w:fill="auto"/>
            <w:noWrap/>
            <w:vAlign w:val="bottom"/>
            <w:hideMark/>
          </w:tcPr>
          <w:p w14:paraId="7D40F621"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1976.1</w:t>
            </w:r>
          </w:p>
        </w:tc>
        <w:tc>
          <w:tcPr>
            <w:tcW w:w="1439" w:type="dxa"/>
            <w:tcBorders>
              <w:top w:val="nil"/>
              <w:left w:val="nil"/>
              <w:bottom w:val="nil"/>
              <w:right w:val="nil"/>
            </w:tcBorders>
            <w:shd w:val="clear" w:color="auto" w:fill="auto"/>
            <w:noWrap/>
            <w:vAlign w:val="bottom"/>
            <w:hideMark/>
          </w:tcPr>
          <w:p w14:paraId="402F410E"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w:t>
            </w:r>
          </w:p>
        </w:tc>
      </w:tr>
      <w:tr w:rsidR="003D6616" w:rsidRPr="003D6616" w14:paraId="2ADF56CE"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6F31024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Distance to nearest road</w:t>
            </w:r>
          </w:p>
        </w:tc>
        <w:tc>
          <w:tcPr>
            <w:tcW w:w="766" w:type="dxa"/>
            <w:tcBorders>
              <w:top w:val="nil"/>
              <w:left w:val="nil"/>
              <w:bottom w:val="nil"/>
              <w:right w:val="nil"/>
            </w:tcBorders>
            <w:shd w:val="clear" w:color="auto" w:fill="auto"/>
            <w:noWrap/>
            <w:vAlign w:val="bottom"/>
            <w:hideMark/>
          </w:tcPr>
          <w:p w14:paraId="4632357D"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1786.9</w:t>
            </w:r>
          </w:p>
        </w:tc>
        <w:tc>
          <w:tcPr>
            <w:tcW w:w="1439" w:type="dxa"/>
            <w:tcBorders>
              <w:top w:val="nil"/>
              <w:left w:val="nil"/>
              <w:bottom w:val="nil"/>
              <w:right w:val="nil"/>
            </w:tcBorders>
            <w:shd w:val="clear" w:color="auto" w:fill="auto"/>
            <w:noWrap/>
            <w:vAlign w:val="bottom"/>
            <w:hideMark/>
          </w:tcPr>
          <w:p w14:paraId="0F3ADD72"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1.36</w:t>
            </w:r>
          </w:p>
        </w:tc>
        <w:tc>
          <w:tcPr>
            <w:tcW w:w="801" w:type="dxa"/>
            <w:tcBorders>
              <w:top w:val="nil"/>
              <w:left w:val="nil"/>
              <w:bottom w:val="nil"/>
              <w:right w:val="nil"/>
            </w:tcBorders>
            <w:shd w:val="clear" w:color="auto" w:fill="auto"/>
            <w:noWrap/>
            <w:vAlign w:val="bottom"/>
            <w:hideMark/>
          </w:tcPr>
          <w:p w14:paraId="604E1A81"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1530.8</w:t>
            </w:r>
          </w:p>
        </w:tc>
        <w:tc>
          <w:tcPr>
            <w:tcW w:w="1439" w:type="dxa"/>
            <w:tcBorders>
              <w:top w:val="nil"/>
              <w:left w:val="nil"/>
              <w:bottom w:val="nil"/>
              <w:right w:val="nil"/>
            </w:tcBorders>
            <w:shd w:val="clear" w:color="auto" w:fill="auto"/>
            <w:noWrap/>
            <w:vAlign w:val="bottom"/>
            <w:hideMark/>
          </w:tcPr>
          <w:p w14:paraId="2F5BBAA1"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1.16</w:t>
            </w:r>
          </w:p>
        </w:tc>
        <w:tc>
          <w:tcPr>
            <w:tcW w:w="801" w:type="dxa"/>
            <w:tcBorders>
              <w:top w:val="nil"/>
              <w:left w:val="nil"/>
              <w:bottom w:val="nil"/>
              <w:right w:val="nil"/>
            </w:tcBorders>
            <w:shd w:val="clear" w:color="auto" w:fill="auto"/>
            <w:noWrap/>
            <w:vAlign w:val="bottom"/>
            <w:hideMark/>
          </w:tcPr>
          <w:p w14:paraId="6D137E5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1509.3</w:t>
            </w:r>
          </w:p>
        </w:tc>
        <w:tc>
          <w:tcPr>
            <w:tcW w:w="1439" w:type="dxa"/>
            <w:tcBorders>
              <w:top w:val="nil"/>
              <w:left w:val="nil"/>
              <w:bottom w:val="nil"/>
              <w:right w:val="nil"/>
            </w:tcBorders>
            <w:shd w:val="clear" w:color="auto" w:fill="auto"/>
            <w:noWrap/>
            <w:vAlign w:val="bottom"/>
            <w:hideMark/>
          </w:tcPr>
          <w:p w14:paraId="1FE1BC6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1.15</w:t>
            </w:r>
          </w:p>
        </w:tc>
        <w:tc>
          <w:tcPr>
            <w:tcW w:w="801" w:type="dxa"/>
            <w:tcBorders>
              <w:top w:val="nil"/>
              <w:left w:val="nil"/>
              <w:bottom w:val="nil"/>
              <w:right w:val="nil"/>
            </w:tcBorders>
            <w:shd w:val="clear" w:color="auto" w:fill="auto"/>
            <w:noWrap/>
            <w:vAlign w:val="bottom"/>
            <w:hideMark/>
          </w:tcPr>
          <w:p w14:paraId="32046559"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1265.3</w:t>
            </w:r>
          </w:p>
        </w:tc>
        <w:tc>
          <w:tcPr>
            <w:tcW w:w="1439" w:type="dxa"/>
            <w:tcBorders>
              <w:top w:val="nil"/>
              <w:left w:val="nil"/>
              <w:bottom w:val="nil"/>
              <w:right w:val="nil"/>
            </w:tcBorders>
            <w:shd w:val="clear" w:color="auto" w:fill="auto"/>
            <w:noWrap/>
            <w:vAlign w:val="bottom"/>
            <w:hideMark/>
          </w:tcPr>
          <w:p w14:paraId="6DB0E331"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0.96</w:t>
            </w:r>
          </w:p>
        </w:tc>
        <w:tc>
          <w:tcPr>
            <w:tcW w:w="801" w:type="dxa"/>
            <w:tcBorders>
              <w:top w:val="nil"/>
              <w:left w:val="nil"/>
              <w:bottom w:val="nil"/>
              <w:right w:val="nil"/>
            </w:tcBorders>
            <w:shd w:val="clear" w:color="auto" w:fill="auto"/>
            <w:noWrap/>
            <w:vAlign w:val="bottom"/>
            <w:hideMark/>
          </w:tcPr>
          <w:p w14:paraId="3608C32A"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1979.5</w:t>
            </w:r>
          </w:p>
        </w:tc>
        <w:tc>
          <w:tcPr>
            <w:tcW w:w="1439" w:type="dxa"/>
            <w:tcBorders>
              <w:top w:val="nil"/>
              <w:left w:val="nil"/>
              <w:bottom w:val="nil"/>
              <w:right w:val="nil"/>
            </w:tcBorders>
            <w:shd w:val="clear" w:color="auto" w:fill="auto"/>
            <w:noWrap/>
            <w:vAlign w:val="bottom"/>
            <w:hideMark/>
          </w:tcPr>
          <w:p w14:paraId="0933FF8C"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w:t>
            </w:r>
          </w:p>
        </w:tc>
      </w:tr>
      <w:tr w:rsidR="003D6616" w:rsidRPr="003D6616" w14:paraId="164D8ADD" w14:textId="77777777" w:rsidTr="000606C7">
        <w:trPr>
          <w:trHeight w:val="315"/>
        </w:trPr>
        <w:tc>
          <w:tcPr>
            <w:tcW w:w="2700" w:type="dxa"/>
            <w:gridSpan w:val="3"/>
            <w:tcBorders>
              <w:top w:val="nil"/>
              <w:left w:val="nil"/>
              <w:bottom w:val="nil"/>
              <w:right w:val="nil"/>
            </w:tcBorders>
            <w:shd w:val="clear" w:color="auto" w:fill="auto"/>
            <w:noWrap/>
            <w:vAlign w:val="bottom"/>
            <w:hideMark/>
          </w:tcPr>
          <w:p w14:paraId="5511F879"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log(Distance to nearest road)</w:t>
            </w:r>
          </w:p>
        </w:tc>
        <w:tc>
          <w:tcPr>
            <w:tcW w:w="766" w:type="dxa"/>
            <w:tcBorders>
              <w:top w:val="nil"/>
              <w:left w:val="nil"/>
              <w:bottom w:val="nil"/>
              <w:right w:val="nil"/>
            </w:tcBorders>
            <w:shd w:val="clear" w:color="auto" w:fill="auto"/>
            <w:noWrap/>
            <w:vAlign w:val="bottom"/>
            <w:hideMark/>
          </w:tcPr>
          <w:p w14:paraId="2D76196B"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1786.1</w:t>
            </w:r>
          </w:p>
        </w:tc>
        <w:tc>
          <w:tcPr>
            <w:tcW w:w="1439" w:type="dxa"/>
            <w:tcBorders>
              <w:top w:val="nil"/>
              <w:left w:val="nil"/>
              <w:bottom w:val="nil"/>
              <w:right w:val="nil"/>
            </w:tcBorders>
            <w:shd w:val="clear" w:color="auto" w:fill="auto"/>
            <w:noWrap/>
            <w:vAlign w:val="bottom"/>
            <w:hideMark/>
          </w:tcPr>
          <w:p w14:paraId="26B9E115"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1.36</w:t>
            </w:r>
          </w:p>
        </w:tc>
        <w:tc>
          <w:tcPr>
            <w:tcW w:w="801" w:type="dxa"/>
            <w:tcBorders>
              <w:top w:val="nil"/>
              <w:left w:val="nil"/>
              <w:bottom w:val="nil"/>
              <w:right w:val="nil"/>
            </w:tcBorders>
            <w:shd w:val="clear" w:color="auto" w:fill="auto"/>
            <w:noWrap/>
            <w:vAlign w:val="bottom"/>
            <w:hideMark/>
          </w:tcPr>
          <w:p w14:paraId="43FCB9D8"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1523.7</w:t>
            </w:r>
          </w:p>
        </w:tc>
        <w:tc>
          <w:tcPr>
            <w:tcW w:w="1439" w:type="dxa"/>
            <w:tcBorders>
              <w:top w:val="nil"/>
              <w:left w:val="nil"/>
              <w:bottom w:val="nil"/>
              <w:right w:val="nil"/>
            </w:tcBorders>
            <w:shd w:val="clear" w:color="auto" w:fill="auto"/>
            <w:noWrap/>
            <w:vAlign w:val="bottom"/>
            <w:hideMark/>
          </w:tcPr>
          <w:p w14:paraId="51727DCB"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1.16</w:t>
            </w:r>
          </w:p>
        </w:tc>
        <w:tc>
          <w:tcPr>
            <w:tcW w:w="801" w:type="dxa"/>
            <w:tcBorders>
              <w:top w:val="nil"/>
              <w:left w:val="nil"/>
              <w:bottom w:val="nil"/>
              <w:right w:val="nil"/>
            </w:tcBorders>
            <w:shd w:val="clear" w:color="auto" w:fill="auto"/>
            <w:noWrap/>
            <w:vAlign w:val="bottom"/>
            <w:hideMark/>
          </w:tcPr>
          <w:p w14:paraId="3050A4EC"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1508.4</w:t>
            </w:r>
          </w:p>
        </w:tc>
        <w:tc>
          <w:tcPr>
            <w:tcW w:w="1439" w:type="dxa"/>
            <w:tcBorders>
              <w:top w:val="nil"/>
              <w:left w:val="nil"/>
              <w:bottom w:val="nil"/>
              <w:right w:val="nil"/>
            </w:tcBorders>
            <w:shd w:val="clear" w:color="auto" w:fill="auto"/>
            <w:noWrap/>
            <w:vAlign w:val="bottom"/>
            <w:hideMark/>
          </w:tcPr>
          <w:p w14:paraId="20D3B2D9"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1.15</w:t>
            </w:r>
          </w:p>
        </w:tc>
        <w:tc>
          <w:tcPr>
            <w:tcW w:w="801" w:type="dxa"/>
            <w:tcBorders>
              <w:top w:val="nil"/>
              <w:left w:val="nil"/>
              <w:bottom w:val="nil"/>
              <w:right w:val="nil"/>
            </w:tcBorders>
            <w:shd w:val="clear" w:color="auto" w:fill="auto"/>
            <w:noWrap/>
            <w:vAlign w:val="bottom"/>
            <w:hideMark/>
          </w:tcPr>
          <w:p w14:paraId="748102C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1259.9</w:t>
            </w:r>
          </w:p>
        </w:tc>
        <w:tc>
          <w:tcPr>
            <w:tcW w:w="1439" w:type="dxa"/>
            <w:tcBorders>
              <w:top w:val="nil"/>
              <w:left w:val="nil"/>
              <w:bottom w:val="nil"/>
              <w:right w:val="nil"/>
            </w:tcBorders>
            <w:shd w:val="clear" w:color="auto" w:fill="auto"/>
            <w:noWrap/>
            <w:vAlign w:val="bottom"/>
            <w:hideMark/>
          </w:tcPr>
          <w:p w14:paraId="14536A6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0.96</w:t>
            </w:r>
          </w:p>
        </w:tc>
        <w:tc>
          <w:tcPr>
            <w:tcW w:w="801" w:type="dxa"/>
            <w:tcBorders>
              <w:top w:val="nil"/>
              <w:left w:val="nil"/>
              <w:bottom w:val="nil"/>
              <w:right w:val="nil"/>
            </w:tcBorders>
            <w:shd w:val="clear" w:color="auto" w:fill="auto"/>
            <w:noWrap/>
            <w:vAlign w:val="bottom"/>
            <w:hideMark/>
          </w:tcPr>
          <w:p w14:paraId="5F24AAA2"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1978.8</w:t>
            </w:r>
          </w:p>
        </w:tc>
        <w:tc>
          <w:tcPr>
            <w:tcW w:w="1439" w:type="dxa"/>
            <w:tcBorders>
              <w:top w:val="nil"/>
              <w:left w:val="nil"/>
              <w:bottom w:val="nil"/>
              <w:right w:val="nil"/>
            </w:tcBorders>
            <w:shd w:val="clear" w:color="auto" w:fill="auto"/>
            <w:noWrap/>
            <w:vAlign w:val="bottom"/>
            <w:hideMark/>
          </w:tcPr>
          <w:p w14:paraId="1CB2E6D0" w14:textId="77777777" w:rsidR="003D6616" w:rsidRPr="003D6616" w:rsidRDefault="003D6616" w:rsidP="003221D9">
            <w:pPr>
              <w:spacing w:after="0" w:line="240" w:lineRule="auto"/>
              <w:jc w:val="center"/>
              <w:rPr>
                <w:rFonts w:ascii="Times New Roman" w:eastAsia="Times New Roman" w:hAnsi="Times New Roman" w:cs="Times New Roman"/>
                <w:color w:val="000000"/>
                <w:sz w:val="20"/>
                <w:szCs w:val="20"/>
              </w:rPr>
            </w:pPr>
            <w:r w:rsidRPr="003D6616">
              <w:rPr>
                <w:rFonts w:ascii="Times New Roman" w:eastAsia="Times New Roman" w:hAnsi="Times New Roman" w:cs="Times New Roman"/>
                <w:color w:val="000000"/>
                <w:sz w:val="20"/>
                <w:szCs w:val="20"/>
              </w:rPr>
              <w:t>1.51</w:t>
            </w:r>
          </w:p>
        </w:tc>
      </w:tr>
    </w:tbl>
    <w:p w14:paraId="450B4EF5" w14:textId="77777777" w:rsidR="003D6616" w:rsidRPr="008B41F9" w:rsidRDefault="003D6616" w:rsidP="000606C7">
      <w:pPr>
        <w:rPr>
          <w:rFonts w:ascii="Times New Roman" w:eastAsia="Cambria" w:hAnsi="Times New Roman" w:cs="Times New Roman"/>
          <w:sz w:val="24"/>
          <w:szCs w:val="24"/>
        </w:rPr>
      </w:pPr>
    </w:p>
    <w:sectPr w:rsidR="003D6616" w:rsidRPr="008B41F9" w:rsidSect="000606C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5D6B43" w14:textId="77777777" w:rsidR="003C4AC9" w:rsidRDefault="003C4AC9" w:rsidP="0037350E">
      <w:pPr>
        <w:spacing w:after="0" w:line="240" w:lineRule="auto"/>
      </w:pPr>
      <w:r>
        <w:separator/>
      </w:r>
    </w:p>
  </w:endnote>
  <w:endnote w:type="continuationSeparator" w:id="0">
    <w:p w14:paraId="2F09E58D" w14:textId="77777777" w:rsidR="003C4AC9" w:rsidRDefault="003C4AC9" w:rsidP="003735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BAA0AD" w14:textId="77777777" w:rsidR="002101EA" w:rsidRDefault="002101EA" w:rsidP="00A2417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7B2CFD5" w14:textId="77777777" w:rsidR="002101EA" w:rsidRDefault="002101EA" w:rsidP="00D86DAE">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077468" w14:textId="1C943748" w:rsidR="002101EA" w:rsidRDefault="002101EA" w:rsidP="00A2417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52071">
      <w:rPr>
        <w:rStyle w:val="PageNumber"/>
        <w:noProof/>
      </w:rPr>
      <w:t>1</w:t>
    </w:r>
    <w:r>
      <w:rPr>
        <w:rStyle w:val="PageNumber"/>
      </w:rPr>
      <w:fldChar w:fldCharType="end"/>
    </w:r>
  </w:p>
  <w:p w14:paraId="7609AF31" w14:textId="77777777" w:rsidR="002101EA" w:rsidRDefault="002101EA" w:rsidP="000B2966">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E2BC7" w14:textId="77777777" w:rsidR="003C4AC9" w:rsidRDefault="003C4AC9" w:rsidP="0037350E">
      <w:pPr>
        <w:spacing w:after="0" w:line="240" w:lineRule="auto"/>
      </w:pPr>
      <w:r>
        <w:separator/>
      </w:r>
    </w:p>
  </w:footnote>
  <w:footnote w:type="continuationSeparator" w:id="0">
    <w:p w14:paraId="1BCF39A3" w14:textId="77777777" w:rsidR="003C4AC9" w:rsidRDefault="003C4AC9" w:rsidP="003735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0617F"/>
    <w:multiLevelType w:val="multilevel"/>
    <w:tmpl w:val="5F469D32"/>
    <w:lvl w:ilvl="0">
      <w:start w:val="1"/>
      <w:numFmt w:val="decimal"/>
      <w:lvlText w:val="%1."/>
      <w:lvlJc w:val="left"/>
      <w:pPr>
        <w:ind w:left="108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83D48B7"/>
    <w:multiLevelType w:val="hybridMultilevel"/>
    <w:tmpl w:val="3662AEE8"/>
    <w:lvl w:ilvl="0" w:tplc="9AD8C6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EB79D9"/>
    <w:multiLevelType w:val="hybridMultilevel"/>
    <w:tmpl w:val="1A941EB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0E383235"/>
    <w:multiLevelType w:val="hybridMultilevel"/>
    <w:tmpl w:val="286C350C"/>
    <w:lvl w:ilvl="0" w:tplc="7250D13A">
      <w:start w:val="3"/>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BD04CFC"/>
    <w:multiLevelType w:val="hybridMultilevel"/>
    <w:tmpl w:val="219844EC"/>
    <w:lvl w:ilvl="0" w:tplc="1C0201DE">
      <w:start w:val="1"/>
      <w:numFmt w:val="bullet"/>
      <w:lvlText w:val="-"/>
      <w:lvlJc w:val="left"/>
      <w:pPr>
        <w:ind w:left="720" w:hanging="360"/>
      </w:pPr>
      <w:rPr>
        <w:rFonts w:ascii="Cambria" w:eastAsiaTheme="minorHAnsi" w:hAnsi="Cambria"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617E65F9"/>
    <w:multiLevelType w:val="hybridMultilevel"/>
    <w:tmpl w:val="8FE2789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4B24FBE"/>
    <w:multiLevelType w:val="hybridMultilevel"/>
    <w:tmpl w:val="C54682EE"/>
    <w:lvl w:ilvl="0" w:tplc="9B92B4E8">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7381BEE"/>
    <w:multiLevelType w:val="hybridMultilevel"/>
    <w:tmpl w:val="3662AEE8"/>
    <w:lvl w:ilvl="0" w:tplc="9AD8C6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8182467"/>
    <w:multiLevelType w:val="multilevel"/>
    <w:tmpl w:val="DE1A4736"/>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6E7E2958"/>
    <w:multiLevelType w:val="hybridMultilevel"/>
    <w:tmpl w:val="65525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7"/>
  </w:num>
  <w:num w:numId="4">
    <w:abstractNumId w:val="1"/>
  </w:num>
  <w:num w:numId="5">
    <w:abstractNumId w:val="4"/>
  </w:num>
  <w:num w:numId="6">
    <w:abstractNumId w:val="9"/>
  </w:num>
  <w:num w:numId="7">
    <w:abstractNumId w:val="6"/>
  </w:num>
  <w:num w:numId="8">
    <w:abstractNumId w:val="3"/>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2F0"/>
    <w:rsid w:val="00032FF1"/>
    <w:rsid w:val="00037964"/>
    <w:rsid w:val="00043352"/>
    <w:rsid w:val="00047D8D"/>
    <w:rsid w:val="00053B69"/>
    <w:rsid w:val="000606C7"/>
    <w:rsid w:val="00066C31"/>
    <w:rsid w:val="00076139"/>
    <w:rsid w:val="000A17D3"/>
    <w:rsid w:val="000B2966"/>
    <w:rsid w:val="000B4E96"/>
    <w:rsid w:val="000C3DE1"/>
    <w:rsid w:val="000E2188"/>
    <w:rsid w:val="00133B74"/>
    <w:rsid w:val="00136E0E"/>
    <w:rsid w:val="00136E32"/>
    <w:rsid w:val="001471B0"/>
    <w:rsid w:val="001475F3"/>
    <w:rsid w:val="001542FD"/>
    <w:rsid w:val="00155B49"/>
    <w:rsid w:val="001565B6"/>
    <w:rsid w:val="00160144"/>
    <w:rsid w:val="001A063B"/>
    <w:rsid w:val="001B3255"/>
    <w:rsid w:val="001B437E"/>
    <w:rsid w:val="001C3C55"/>
    <w:rsid w:val="001E167D"/>
    <w:rsid w:val="001E6E40"/>
    <w:rsid w:val="002101EA"/>
    <w:rsid w:val="00211FB0"/>
    <w:rsid w:val="00223578"/>
    <w:rsid w:val="00225956"/>
    <w:rsid w:val="002351DC"/>
    <w:rsid w:val="002410A9"/>
    <w:rsid w:val="002660C2"/>
    <w:rsid w:val="002968B2"/>
    <w:rsid w:val="00297F42"/>
    <w:rsid w:val="002C742B"/>
    <w:rsid w:val="002D3BEE"/>
    <w:rsid w:val="002E3111"/>
    <w:rsid w:val="003113EA"/>
    <w:rsid w:val="0032421B"/>
    <w:rsid w:val="0032558F"/>
    <w:rsid w:val="00355E76"/>
    <w:rsid w:val="00362059"/>
    <w:rsid w:val="0037350E"/>
    <w:rsid w:val="003865EA"/>
    <w:rsid w:val="003907AD"/>
    <w:rsid w:val="003B5B2F"/>
    <w:rsid w:val="003C4AC9"/>
    <w:rsid w:val="003D6616"/>
    <w:rsid w:val="003E0FB9"/>
    <w:rsid w:val="00411AFB"/>
    <w:rsid w:val="00420F1A"/>
    <w:rsid w:val="004339DD"/>
    <w:rsid w:val="004432F0"/>
    <w:rsid w:val="00447ACA"/>
    <w:rsid w:val="0048574B"/>
    <w:rsid w:val="004867C2"/>
    <w:rsid w:val="00496B6E"/>
    <w:rsid w:val="004C29AF"/>
    <w:rsid w:val="004D71DF"/>
    <w:rsid w:val="004F0081"/>
    <w:rsid w:val="004F2F0F"/>
    <w:rsid w:val="00506E2B"/>
    <w:rsid w:val="005102EA"/>
    <w:rsid w:val="0055157A"/>
    <w:rsid w:val="005551F5"/>
    <w:rsid w:val="00570BDA"/>
    <w:rsid w:val="00586865"/>
    <w:rsid w:val="005A02B4"/>
    <w:rsid w:val="005B4C34"/>
    <w:rsid w:val="005B632A"/>
    <w:rsid w:val="005C7F49"/>
    <w:rsid w:val="005D7D2E"/>
    <w:rsid w:val="005E320B"/>
    <w:rsid w:val="006315CE"/>
    <w:rsid w:val="00651768"/>
    <w:rsid w:val="006B468C"/>
    <w:rsid w:val="006D14A8"/>
    <w:rsid w:val="006F6218"/>
    <w:rsid w:val="00700287"/>
    <w:rsid w:val="00725AAA"/>
    <w:rsid w:val="0072674D"/>
    <w:rsid w:val="00727FA2"/>
    <w:rsid w:val="00731C80"/>
    <w:rsid w:val="007361DE"/>
    <w:rsid w:val="00750F65"/>
    <w:rsid w:val="00776CD9"/>
    <w:rsid w:val="00785242"/>
    <w:rsid w:val="007B4BD3"/>
    <w:rsid w:val="007C19C4"/>
    <w:rsid w:val="007E03D9"/>
    <w:rsid w:val="007E215C"/>
    <w:rsid w:val="00803889"/>
    <w:rsid w:val="00803E29"/>
    <w:rsid w:val="0081777E"/>
    <w:rsid w:val="00834100"/>
    <w:rsid w:val="008465EC"/>
    <w:rsid w:val="0086561F"/>
    <w:rsid w:val="00866605"/>
    <w:rsid w:val="008955FD"/>
    <w:rsid w:val="008A2DCF"/>
    <w:rsid w:val="008A654E"/>
    <w:rsid w:val="008B19AC"/>
    <w:rsid w:val="008B41F9"/>
    <w:rsid w:val="008D1592"/>
    <w:rsid w:val="008D4D29"/>
    <w:rsid w:val="008D6254"/>
    <w:rsid w:val="008E1DDC"/>
    <w:rsid w:val="008F5BB3"/>
    <w:rsid w:val="00915DC7"/>
    <w:rsid w:val="00924FEF"/>
    <w:rsid w:val="00951C52"/>
    <w:rsid w:val="009553D5"/>
    <w:rsid w:val="0095560F"/>
    <w:rsid w:val="00960271"/>
    <w:rsid w:val="009619A7"/>
    <w:rsid w:val="00993244"/>
    <w:rsid w:val="00993D38"/>
    <w:rsid w:val="009B0D0D"/>
    <w:rsid w:val="009B2B76"/>
    <w:rsid w:val="009C5B21"/>
    <w:rsid w:val="009C7671"/>
    <w:rsid w:val="009D76D1"/>
    <w:rsid w:val="009E3314"/>
    <w:rsid w:val="009E4759"/>
    <w:rsid w:val="009E5D50"/>
    <w:rsid w:val="009E6A7D"/>
    <w:rsid w:val="009E769E"/>
    <w:rsid w:val="00A138D5"/>
    <w:rsid w:val="00A24179"/>
    <w:rsid w:val="00A37DE4"/>
    <w:rsid w:val="00A403C9"/>
    <w:rsid w:val="00AA1A21"/>
    <w:rsid w:val="00AA40EB"/>
    <w:rsid w:val="00AA51DC"/>
    <w:rsid w:val="00AB0C24"/>
    <w:rsid w:val="00AC16EC"/>
    <w:rsid w:val="00AD38E0"/>
    <w:rsid w:val="00AE2213"/>
    <w:rsid w:val="00AE49DB"/>
    <w:rsid w:val="00AF47D1"/>
    <w:rsid w:val="00B05C37"/>
    <w:rsid w:val="00B13E47"/>
    <w:rsid w:val="00B15C97"/>
    <w:rsid w:val="00B32E21"/>
    <w:rsid w:val="00B35479"/>
    <w:rsid w:val="00B47CDD"/>
    <w:rsid w:val="00B5175C"/>
    <w:rsid w:val="00B542F3"/>
    <w:rsid w:val="00B67032"/>
    <w:rsid w:val="00B7001A"/>
    <w:rsid w:val="00B87587"/>
    <w:rsid w:val="00BF4816"/>
    <w:rsid w:val="00C15DA7"/>
    <w:rsid w:val="00C62D9B"/>
    <w:rsid w:val="00C653E2"/>
    <w:rsid w:val="00C730F7"/>
    <w:rsid w:val="00C7555B"/>
    <w:rsid w:val="00C758D1"/>
    <w:rsid w:val="00CA5B79"/>
    <w:rsid w:val="00CC75D1"/>
    <w:rsid w:val="00CD4D65"/>
    <w:rsid w:val="00CD752B"/>
    <w:rsid w:val="00CE0CC5"/>
    <w:rsid w:val="00D423FC"/>
    <w:rsid w:val="00D465BC"/>
    <w:rsid w:val="00D47D4C"/>
    <w:rsid w:val="00D65A06"/>
    <w:rsid w:val="00D86DAE"/>
    <w:rsid w:val="00DA459C"/>
    <w:rsid w:val="00DB0E5B"/>
    <w:rsid w:val="00DC5CE0"/>
    <w:rsid w:val="00DD2DDA"/>
    <w:rsid w:val="00DE6F99"/>
    <w:rsid w:val="00DF7940"/>
    <w:rsid w:val="00E0785E"/>
    <w:rsid w:val="00E13D4F"/>
    <w:rsid w:val="00E205C2"/>
    <w:rsid w:val="00E22C7E"/>
    <w:rsid w:val="00E603A0"/>
    <w:rsid w:val="00E643BF"/>
    <w:rsid w:val="00E92AA9"/>
    <w:rsid w:val="00E93EFF"/>
    <w:rsid w:val="00EA73B8"/>
    <w:rsid w:val="00EF7EE4"/>
    <w:rsid w:val="00F3379B"/>
    <w:rsid w:val="00F4760F"/>
    <w:rsid w:val="00F509D8"/>
    <w:rsid w:val="00F52071"/>
    <w:rsid w:val="00F76945"/>
    <w:rsid w:val="00F93D6F"/>
    <w:rsid w:val="00FD228D"/>
    <w:rsid w:val="00FD4A10"/>
    <w:rsid w:val="00FE1803"/>
    <w:rsid w:val="00FF53CF"/>
    <w:rsid w:val="00FF72F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9E93BF"/>
  <w15:docId w15:val="{BB05656B-563A-47F5-9D0C-7AD0E3F4D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F72F0"/>
    <w:pPr>
      <w:spacing w:after="0" w:line="240" w:lineRule="auto"/>
      <w:outlineLvl w:val="0"/>
    </w:pPr>
    <w:rPr>
      <w:rFonts w:ascii="Times New Roman" w:hAnsi="Times New Roman" w:cs="Times New Roman"/>
      <w:b/>
      <w:sz w:val="24"/>
      <w:szCs w:val="24"/>
    </w:rPr>
  </w:style>
  <w:style w:type="paragraph" w:styleId="Heading2">
    <w:name w:val="heading 2"/>
    <w:basedOn w:val="Normal"/>
    <w:next w:val="Normal"/>
    <w:link w:val="Heading2Char1"/>
    <w:unhideWhenUsed/>
    <w:qFormat/>
    <w:rsid w:val="00FF72F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1"/>
    <w:unhideWhenUsed/>
    <w:qFormat/>
    <w:rsid w:val="00FF72F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FF72F0"/>
    <w:pPr>
      <w:keepNext/>
      <w:keepLines/>
      <w:spacing w:before="40" w:after="0"/>
      <w:outlineLvl w:val="3"/>
    </w:pPr>
    <w:rPr>
      <w:rFonts w:ascii="Calibri" w:eastAsia="MS Gothic" w:hAnsi="Calibri" w:cs="Times New Roman"/>
      <w:b/>
      <w:bCs/>
      <w:i/>
      <w:iCs/>
      <w:color w:val="4F81BD"/>
    </w:rPr>
  </w:style>
  <w:style w:type="paragraph" w:styleId="Heading5">
    <w:name w:val="heading 5"/>
    <w:basedOn w:val="Heading2"/>
    <w:next w:val="Normal"/>
    <w:link w:val="Heading5Char"/>
    <w:uiPriority w:val="9"/>
    <w:unhideWhenUsed/>
    <w:qFormat/>
    <w:rsid w:val="00FF72F0"/>
    <w:pPr>
      <w:spacing w:before="200" w:line="240" w:lineRule="auto"/>
      <w:outlineLvl w:val="4"/>
    </w:pPr>
    <w:rPr>
      <w:rFonts w:ascii="Times New Roman" w:hAnsi="Times New Roman" w:cs="Times New Roman"/>
      <w:b/>
      <w:bCs/>
      <w:color w:val="auto"/>
      <w:sz w:val="24"/>
      <w:szCs w:val="24"/>
    </w:rPr>
  </w:style>
  <w:style w:type="paragraph" w:styleId="Heading6">
    <w:name w:val="heading 6"/>
    <w:basedOn w:val="Heading3"/>
    <w:next w:val="Normal"/>
    <w:link w:val="Heading6Char"/>
    <w:uiPriority w:val="9"/>
    <w:unhideWhenUsed/>
    <w:qFormat/>
    <w:rsid w:val="00FF72F0"/>
    <w:pPr>
      <w:spacing w:before="200" w:line="240" w:lineRule="auto"/>
      <w:outlineLvl w:val="5"/>
    </w:pPr>
    <w:rPr>
      <w:rFonts w:ascii="Times New Roman" w:hAnsi="Times New Roman" w:cs="Times New Roman"/>
      <w:b/>
      <w:bCs/>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72F0"/>
    <w:rPr>
      <w:rFonts w:ascii="Times New Roman" w:hAnsi="Times New Roman" w:cs="Times New Roman"/>
      <w:b/>
      <w:sz w:val="24"/>
      <w:szCs w:val="24"/>
    </w:rPr>
  </w:style>
  <w:style w:type="paragraph" w:customStyle="1" w:styleId="Heading21">
    <w:name w:val="Heading 21"/>
    <w:basedOn w:val="Normal"/>
    <w:next w:val="Normal"/>
    <w:link w:val="Heading2Char"/>
    <w:rsid w:val="00FF72F0"/>
    <w:pPr>
      <w:keepNext/>
      <w:keepLines/>
      <w:spacing w:before="200" w:after="0" w:line="240" w:lineRule="auto"/>
      <w:outlineLvl w:val="1"/>
    </w:pPr>
    <w:rPr>
      <w:rFonts w:ascii="Times New Roman" w:eastAsia="MS Gothic" w:hAnsi="Times New Roman" w:cs="Times New Roman"/>
      <w:b/>
      <w:bCs/>
      <w:szCs w:val="26"/>
    </w:rPr>
  </w:style>
  <w:style w:type="paragraph" w:customStyle="1" w:styleId="Heading31">
    <w:name w:val="Heading 31"/>
    <w:basedOn w:val="Normal"/>
    <w:next w:val="Normal"/>
    <w:link w:val="Heading3Char"/>
    <w:rsid w:val="00FF72F0"/>
    <w:pPr>
      <w:keepNext/>
      <w:keepLines/>
      <w:spacing w:before="200" w:after="0" w:line="240" w:lineRule="auto"/>
      <w:outlineLvl w:val="2"/>
    </w:pPr>
    <w:rPr>
      <w:rFonts w:ascii="Times New Roman" w:eastAsia="MS Gothic" w:hAnsi="Times New Roman" w:cs="Times New Roman"/>
      <w:b/>
      <w:bCs/>
    </w:rPr>
  </w:style>
  <w:style w:type="paragraph" w:customStyle="1" w:styleId="Heading41">
    <w:name w:val="Heading 41"/>
    <w:basedOn w:val="Normal"/>
    <w:next w:val="Normal"/>
    <w:rsid w:val="00FF72F0"/>
    <w:pPr>
      <w:keepNext/>
      <w:keepLines/>
      <w:spacing w:before="200" w:after="0" w:line="240" w:lineRule="auto"/>
      <w:outlineLvl w:val="3"/>
    </w:pPr>
    <w:rPr>
      <w:rFonts w:ascii="Calibri" w:eastAsia="MS Gothic" w:hAnsi="Calibri" w:cs="Times New Roman"/>
      <w:b/>
      <w:bCs/>
      <w:i/>
      <w:iCs/>
      <w:color w:val="4F81BD"/>
      <w:sz w:val="24"/>
      <w:szCs w:val="24"/>
    </w:rPr>
  </w:style>
  <w:style w:type="character" w:customStyle="1" w:styleId="Heading5Char">
    <w:name w:val="Heading 5 Char"/>
    <w:basedOn w:val="DefaultParagraphFont"/>
    <w:link w:val="Heading5"/>
    <w:uiPriority w:val="9"/>
    <w:rsid w:val="00FF72F0"/>
    <w:rPr>
      <w:rFonts w:ascii="Times New Roman" w:eastAsiaTheme="majorEastAsia" w:hAnsi="Times New Roman" w:cs="Times New Roman"/>
      <w:b/>
      <w:bCs/>
      <w:sz w:val="24"/>
      <w:szCs w:val="24"/>
    </w:rPr>
  </w:style>
  <w:style w:type="character" w:customStyle="1" w:styleId="Heading6Char">
    <w:name w:val="Heading 6 Char"/>
    <w:basedOn w:val="DefaultParagraphFont"/>
    <w:link w:val="Heading6"/>
    <w:uiPriority w:val="9"/>
    <w:rsid w:val="00FF72F0"/>
    <w:rPr>
      <w:rFonts w:ascii="Times New Roman" w:eastAsiaTheme="majorEastAsia" w:hAnsi="Times New Roman" w:cs="Times New Roman"/>
      <w:b/>
      <w:bCs/>
      <w:sz w:val="24"/>
      <w:szCs w:val="24"/>
    </w:rPr>
  </w:style>
  <w:style w:type="numbering" w:customStyle="1" w:styleId="NoList1">
    <w:name w:val="No List1"/>
    <w:next w:val="NoList"/>
    <w:uiPriority w:val="99"/>
    <w:semiHidden/>
    <w:unhideWhenUsed/>
    <w:rsid w:val="00FF72F0"/>
  </w:style>
  <w:style w:type="character" w:customStyle="1" w:styleId="Heading4Char">
    <w:name w:val="Heading 4 Char"/>
    <w:basedOn w:val="DefaultParagraphFont"/>
    <w:link w:val="Heading4"/>
    <w:rsid w:val="00FF72F0"/>
    <w:rPr>
      <w:rFonts w:ascii="Calibri" w:eastAsia="MS Gothic" w:hAnsi="Calibri" w:cs="Times New Roman"/>
      <w:b/>
      <w:bCs/>
      <w:i/>
      <w:iCs/>
      <w:color w:val="4F81BD"/>
      <w:lang w:eastAsia="en-US"/>
    </w:rPr>
  </w:style>
  <w:style w:type="paragraph" w:styleId="BalloonText">
    <w:name w:val="Balloon Text"/>
    <w:basedOn w:val="Normal"/>
    <w:link w:val="BalloonTextChar"/>
    <w:uiPriority w:val="99"/>
    <w:semiHidden/>
    <w:unhideWhenUsed/>
    <w:rsid w:val="00FF72F0"/>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F72F0"/>
    <w:rPr>
      <w:rFonts w:ascii="Lucida Grande" w:hAnsi="Lucida Grande" w:cs="Lucida Grande"/>
      <w:sz w:val="18"/>
      <w:szCs w:val="18"/>
    </w:rPr>
  </w:style>
  <w:style w:type="character" w:styleId="CommentReference">
    <w:name w:val="annotation reference"/>
    <w:basedOn w:val="DefaultParagraphFont"/>
    <w:uiPriority w:val="99"/>
    <w:semiHidden/>
    <w:unhideWhenUsed/>
    <w:rsid w:val="00FF72F0"/>
    <w:rPr>
      <w:sz w:val="16"/>
      <w:szCs w:val="16"/>
    </w:rPr>
  </w:style>
  <w:style w:type="paragraph" w:styleId="CommentText">
    <w:name w:val="annotation text"/>
    <w:basedOn w:val="Normal"/>
    <w:link w:val="CommentTextChar"/>
    <w:uiPriority w:val="99"/>
    <w:unhideWhenUsed/>
    <w:rsid w:val="00FF72F0"/>
    <w:pPr>
      <w:spacing w:after="0" w:line="240" w:lineRule="auto"/>
    </w:pPr>
    <w:rPr>
      <w:rFonts w:ascii="Times New Roman" w:hAnsi="Times New Roman"/>
      <w:sz w:val="20"/>
      <w:szCs w:val="20"/>
    </w:rPr>
  </w:style>
  <w:style w:type="character" w:customStyle="1" w:styleId="CommentTextChar">
    <w:name w:val="Comment Text Char"/>
    <w:basedOn w:val="DefaultParagraphFont"/>
    <w:link w:val="CommentText"/>
    <w:uiPriority w:val="99"/>
    <w:rsid w:val="00FF72F0"/>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FF72F0"/>
    <w:rPr>
      <w:b/>
      <w:bCs/>
    </w:rPr>
  </w:style>
  <w:style w:type="character" w:customStyle="1" w:styleId="CommentSubjectChar">
    <w:name w:val="Comment Subject Char"/>
    <w:basedOn w:val="CommentTextChar"/>
    <w:link w:val="CommentSubject"/>
    <w:uiPriority w:val="99"/>
    <w:semiHidden/>
    <w:rsid w:val="00FF72F0"/>
    <w:rPr>
      <w:rFonts w:ascii="Times New Roman" w:hAnsi="Times New Roman"/>
      <w:b/>
      <w:bCs/>
      <w:sz w:val="20"/>
      <w:szCs w:val="20"/>
    </w:rPr>
  </w:style>
  <w:style w:type="paragraph" w:customStyle="1" w:styleId="Revision1">
    <w:name w:val="Revision1"/>
    <w:next w:val="Revision"/>
    <w:hidden/>
    <w:uiPriority w:val="99"/>
    <w:semiHidden/>
    <w:rsid w:val="00FF72F0"/>
    <w:pPr>
      <w:spacing w:after="0" w:line="240" w:lineRule="auto"/>
    </w:pPr>
    <w:rPr>
      <w:rFonts w:ascii="Times New Roman" w:hAnsi="Times New Roman"/>
      <w:sz w:val="24"/>
      <w:szCs w:val="24"/>
    </w:rPr>
  </w:style>
  <w:style w:type="character" w:customStyle="1" w:styleId="Heading3Char">
    <w:name w:val="Heading 3 Char"/>
    <w:basedOn w:val="DefaultParagraphFont"/>
    <w:link w:val="Heading31"/>
    <w:rsid w:val="00FF72F0"/>
    <w:rPr>
      <w:rFonts w:ascii="Times New Roman" w:eastAsia="MS Gothic" w:hAnsi="Times New Roman" w:cs="Times New Roman"/>
      <w:b/>
      <w:bCs/>
      <w:lang w:eastAsia="en-US"/>
    </w:rPr>
  </w:style>
  <w:style w:type="character" w:customStyle="1" w:styleId="Heading2Char">
    <w:name w:val="Heading 2 Char"/>
    <w:basedOn w:val="DefaultParagraphFont"/>
    <w:link w:val="Heading21"/>
    <w:rsid w:val="00FF72F0"/>
    <w:rPr>
      <w:rFonts w:ascii="Times New Roman" w:eastAsia="MS Gothic" w:hAnsi="Times New Roman" w:cs="Times New Roman"/>
      <w:b/>
      <w:bCs/>
      <w:szCs w:val="26"/>
      <w:lang w:eastAsia="en-US"/>
    </w:rPr>
  </w:style>
  <w:style w:type="paragraph" w:styleId="ListParagraph">
    <w:name w:val="List Paragraph"/>
    <w:basedOn w:val="Normal"/>
    <w:uiPriority w:val="34"/>
    <w:qFormat/>
    <w:rsid w:val="00FF72F0"/>
    <w:pPr>
      <w:spacing w:after="0" w:line="240" w:lineRule="auto"/>
      <w:ind w:left="720"/>
      <w:contextualSpacing/>
    </w:pPr>
    <w:rPr>
      <w:rFonts w:ascii="Times New Roman" w:hAnsi="Times New Roman"/>
      <w:sz w:val="24"/>
      <w:szCs w:val="24"/>
    </w:rPr>
  </w:style>
  <w:style w:type="paragraph" w:customStyle="1" w:styleId="NormalWeb1">
    <w:name w:val="Normal (Web)1"/>
    <w:basedOn w:val="Normal"/>
    <w:next w:val="NormalWeb"/>
    <w:uiPriority w:val="99"/>
    <w:unhideWhenUsed/>
    <w:rsid w:val="00FF72F0"/>
    <w:pPr>
      <w:spacing w:before="100" w:beforeAutospacing="1" w:after="100" w:afterAutospacing="1" w:line="240" w:lineRule="auto"/>
    </w:pPr>
    <w:rPr>
      <w:rFonts w:ascii="Times" w:eastAsia="MS Mincho" w:hAnsi="Times" w:cs="Times New Roman"/>
      <w:sz w:val="20"/>
      <w:szCs w:val="20"/>
    </w:rPr>
  </w:style>
  <w:style w:type="paragraph" w:styleId="Header">
    <w:name w:val="header"/>
    <w:basedOn w:val="Normal"/>
    <w:link w:val="HeaderChar"/>
    <w:uiPriority w:val="99"/>
    <w:unhideWhenUsed/>
    <w:rsid w:val="00FF72F0"/>
    <w:pPr>
      <w:tabs>
        <w:tab w:val="center" w:pos="4680"/>
        <w:tab w:val="right" w:pos="9360"/>
      </w:tabs>
      <w:spacing w:after="0" w:line="240" w:lineRule="auto"/>
    </w:pPr>
    <w:rPr>
      <w:rFonts w:ascii="Times New Roman" w:hAnsi="Times New Roman"/>
      <w:sz w:val="24"/>
      <w:szCs w:val="24"/>
    </w:rPr>
  </w:style>
  <w:style w:type="character" w:customStyle="1" w:styleId="HeaderChar">
    <w:name w:val="Header Char"/>
    <w:basedOn w:val="DefaultParagraphFont"/>
    <w:link w:val="Header"/>
    <w:uiPriority w:val="99"/>
    <w:rsid w:val="00FF72F0"/>
    <w:rPr>
      <w:rFonts w:ascii="Times New Roman" w:hAnsi="Times New Roman"/>
      <w:sz w:val="24"/>
      <w:szCs w:val="24"/>
    </w:rPr>
  </w:style>
  <w:style w:type="paragraph" w:styleId="Footer">
    <w:name w:val="footer"/>
    <w:basedOn w:val="Normal"/>
    <w:link w:val="FooterChar"/>
    <w:uiPriority w:val="99"/>
    <w:unhideWhenUsed/>
    <w:rsid w:val="00FF72F0"/>
    <w:pPr>
      <w:tabs>
        <w:tab w:val="center" w:pos="4680"/>
        <w:tab w:val="right" w:pos="9360"/>
      </w:tabs>
      <w:spacing w:after="0" w:line="240" w:lineRule="auto"/>
    </w:pPr>
    <w:rPr>
      <w:rFonts w:ascii="Times New Roman" w:hAnsi="Times New Roman"/>
      <w:sz w:val="24"/>
      <w:szCs w:val="24"/>
    </w:rPr>
  </w:style>
  <w:style w:type="character" w:customStyle="1" w:styleId="FooterChar">
    <w:name w:val="Footer Char"/>
    <w:basedOn w:val="DefaultParagraphFont"/>
    <w:link w:val="Footer"/>
    <w:uiPriority w:val="99"/>
    <w:rsid w:val="00FF72F0"/>
    <w:rPr>
      <w:rFonts w:ascii="Times New Roman" w:hAnsi="Times New Roman"/>
      <w:sz w:val="24"/>
      <w:szCs w:val="24"/>
    </w:rPr>
  </w:style>
  <w:style w:type="paragraph" w:customStyle="1" w:styleId="Style1">
    <w:name w:val="Style1"/>
    <w:basedOn w:val="Normal"/>
    <w:link w:val="Style1Char"/>
    <w:qFormat/>
    <w:rsid w:val="00FF72F0"/>
    <w:pPr>
      <w:spacing w:after="0" w:line="480" w:lineRule="auto"/>
    </w:pPr>
    <w:rPr>
      <w:rFonts w:ascii="Times New Roman" w:hAnsi="Times New Roman"/>
      <w:b/>
      <w:sz w:val="24"/>
      <w:szCs w:val="24"/>
    </w:rPr>
  </w:style>
  <w:style w:type="character" w:customStyle="1" w:styleId="Style1Char">
    <w:name w:val="Style1 Char"/>
    <w:basedOn w:val="DefaultParagraphFont"/>
    <w:link w:val="Style1"/>
    <w:rsid w:val="00FF72F0"/>
    <w:rPr>
      <w:rFonts w:ascii="Times New Roman" w:hAnsi="Times New Roman"/>
      <w:b/>
      <w:sz w:val="24"/>
      <w:szCs w:val="24"/>
    </w:rPr>
  </w:style>
  <w:style w:type="paragraph" w:customStyle="1" w:styleId="NoSpacing1">
    <w:name w:val="No Spacing1"/>
    <w:next w:val="NoSpacing"/>
    <w:uiPriority w:val="1"/>
    <w:qFormat/>
    <w:rsid w:val="00FF72F0"/>
    <w:pPr>
      <w:spacing w:after="0" w:line="240" w:lineRule="auto"/>
    </w:pPr>
    <w:rPr>
      <w:rFonts w:ascii="Times New Roman" w:hAnsi="Times New Roman"/>
      <w:sz w:val="24"/>
      <w:szCs w:val="24"/>
    </w:rPr>
  </w:style>
  <w:style w:type="paragraph" w:customStyle="1" w:styleId="TOCHeading1">
    <w:name w:val="TOC Heading1"/>
    <w:basedOn w:val="Heading1"/>
    <w:next w:val="Normal"/>
    <w:uiPriority w:val="39"/>
    <w:unhideWhenUsed/>
    <w:qFormat/>
    <w:rsid w:val="00FF72F0"/>
    <w:pPr>
      <w:keepNext/>
      <w:keepLines/>
      <w:spacing w:before="240" w:line="259" w:lineRule="auto"/>
      <w:outlineLvl w:val="9"/>
    </w:pPr>
    <w:rPr>
      <w:rFonts w:ascii="Calibri" w:eastAsia="MS Gothic" w:hAnsi="Calibri"/>
      <w:b w:val="0"/>
      <w:color w:val="365F91"/>
      <w:sz w:val="32"/>
      <w:szCs w:val="32"/>
    </w:rPr>
  </w:style>
  <w:style w:type="paragraph" w:styleId="TOC1">
    <w:name w:val="toc 1"/>
    <w:basedOn w:val="Normal"/>
    <w:next w:val="Normal"/>
    <w:autoRedefine/>
    <w:uiPriority w:val="39"/>
    <w:unhideWhenUsed/>
    <w:rsid w:val="00FF72F0"/>
    <w:pPr>
      <w:tabs>
        <w:tab w:val="right" w:leader="dot" w:pos="9350"/>
      </w:tabs>
      <w:spacing w:after="100" w:line="240" w:lineRule="auto"/>
    </w:pPr>
    <w:rPr>
      <w:rFonts w:ascii="Times New Roman" w:hAnsi="Times New Roman"/>
      <w:sz w:val="24"/>
      <w:szCs w:val="24"/>
    </w:rPr>
  </w:style>
  <w:style w:type="paragraph" w:styleId="TOC2">
    <w:name w:val="toc 2"/>
    <w:basedOn w:val="Normal"/>
    <w:next w:val="Normal"/>
    <w:autoRedefine/>
    <w:uiPriority w:val="39"/>
    <w:unhideWhenUsed/>
    <w:rsid w:val="00FF72F0"/>
    <w:pPr>
      <w:spacing w:after="100" w:line="240" w:lineRule="auto"/>
      <w:ind w:left="240"/>
    </w:pPr>
    <w:rPr>
      <w:rFonts w:ascii="Times New Roman" w:hAnsi="Times New Roman"/>
      <w:sz w:val="24"/>
      <w:szCs w:val="24"/>
    </w:rPr>
  </w:style>
  <w:style w:type="paragraph" w:styleId="TOC3">
    <w:name w:val="toc 3"/>
    <w:basedOn w:val="Normal"/>
    <w:next w:val="Normal"/>
    <w:autoRedefine/>
    <w:uiPriority w:val="39"/>
    <w:unhideWhenUsed/>
    <w:rsid w:val="00FF72F0"/>
    <w:pPr>
      <w:spacing w:after="100" w:line="240" w:lineRule="auto"/>
      <w:ind w:left="480"/>
    </w:pPr>
    <w:rPr>
      <w:rFonts w:ascii="Times New Roman" w:hAnsi="Times New Roman"/>
      <w:sz w:val="24"/>
      <w:szCs w:val="24"/>
    </w:rPr>
  </w:style>
  <w:style w:type="character" w:customStyle="1" w:styleId="Hyperlink1">
    <w:name w:val="Hyperlink1"/>
    <w:basedOn w:val="DefaultParagraphFont"/>
    <w:uiPriority w:val="99"/>
    <w:unhideWhenUsed/>
    <w:rsid w:val="00FF72F0"/>
    <w:rPr>
      <w:color w:val="0000FF"/>
      <w:u w:val="single"/>
    </w:rPr>
  </w:style>
  <w:style w:type="character" w:customStyle="1" w:styleId="Heading2Char1">
    <w:name w:val="Heading 2 Char1"/>
    <w:basedOn w:val="DefaultParagraphFont"/>
    <w:link w:val="Heading2"/>
    <w:uiPriority w:val="9"/>
    <w:semiHidden/>
    <w:rsid w:val="00FF72F0"/>
    <w:rPr>
      <w:rFonts w:asciiTheme="majorHAnsi" w:eastAsiaTheme="majorEastAsia" w:hAnsiTheme="majorHAnsi" w:cstheme="majorBidi"/>
      <w:color w:val="2E74B5" w:themeColor="accent1" w:themeShade="BF"/>
      <w:sz w:val="26"/>
      <w:szCs w:val="26"/>
    </w:rPr>
  </w:style>
  <w:style w:type="character" w:customStyle="1" w:styleId="Heading3Char1">
    <w:name w:val="Heading 3 Char1"/>
    <w:basedOn w:val="DefaultParagraphFont"/>
    <w:link w:val="Heading3"/>
    <w:uiPriority w:val="9"/>
    <w:semiHidden/>
    <w:rsid w:val="00FF72F0"/>
    <w:rPr>
      <w:rFonts w:asciiTheme="majorHAnsi" w:eastAsiaTheme="majorEastAsia" w:hAnsiTheme="majorHAnsi" w:cstheme="majorBidi"/>
      <w:color w:val="1F4D78" w:themeColor="accent1" w:themeShade="7F"/>
      <w:sz w:val="24"/>
      <w:szCs w:val="24"/>
    </w:rPr>
  </w:style>
  <w:style w:type="character" w:customStyle="1" w:styleId="Heading4Char1">
    <w:name w:val="Heading 4 Char1"/>
    <w:basedOn w:val="DefaultParagraphFont"/>
    <w:uiPriority w:val="9"/>
    <w:semiHidden/>
    <w:rsid w:val="00FF72F0"/>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FF72F0"/>
    <w:pPr>
      <w:spacing w:after="0" w:line="240" w:lineRule="auto"/>
    </w:pPr>
  </w:style>
  <w:style w:type="paragraph" w:styleId="NormalWeb">
    <w:name w:val="Normal (Web)"/>
    <w:basedOn w:val="Normal"/>
    <w:uiPriority w:val="99"/>
    <w:unhideWhenUsed/>
    <w:rsid w:val="00FF72F0"/>
    <w:rPr>
      <w:rFonts w:ascii="Times New Roman" w:hAnsi="Times New Roman" w:cs="Times New Roman"/>
      <w:sz w:val="24"/>
      <w:szCs w:val="24"/>
    </w:rPr>
  </w:style>
  <w:style w:type="paragraph" w:styleId="NoSpacing">
    <w:name w:val="No Spacing"/>
    <w:uiPriority w:val="1"/>
    <w:qFormat/>
    <w:rsid w:val="00FF72F0"/>
    <w:pPr>
      <w:spacing w:after="0" w:line="240" w:lineRule="auto"/>
    </w:pPr>
  </w:style>
  <w:style w:type="character" w:styleId="Hyperlink">
    <w:name w:val="Hyperlink"/>
    <w:basedOn w:val="DefaultParagraphFont"/>
    <w:uiPriority w:val="99"/>
    <w:unhideWhenUsed/>
    <w:rsid w:val="00FF72F0"/>
    <w:rPr>
      <w:color w:val="0563C1" w:themeColor="hyperlink"/>
      <w:u w:val="single"/>
    </w:rPr>
  </w:style>
  <w:style w:type="numbering" w:customStyle="1" w:styleId="NoList2">
    <w:name w:val="No List2"/>
    <w:next w:val="NoList"/>
    <w:uiPriority w:val="99"/>
    <w:semiHidden/>
    <w:unhideWhenUsed/>
    <w:rsid w:val="0037350E"/>
  </w:style>
  <w:style w:type="paragraph" w:customStyle="1" w:styleId="TOCHeading2">
    <w:name w:val="TOC Heading2"/>
    <w:basedOn w:val="Heading1"/>
    <w:next w:val="Normal"/>
    <w:uiPriority w:val="39"/>
    <w:unhideWhenUsed/>
    <w:qFormat/>
    <w:rsid w:val="0037350E"/>
    <w:pPr>
      <w:keepNext/>
      <w:keepLines/>
      <w:spacing w:before="240" w:line="259" w:lineRule="auto"/>
      <w:outlineLvl w:val="9"/>
    </w:pPr>
    <w:rPr>
      <w:rFonts w:ascii="Calibri" w:eastAsia="MS Gothic" w:hAnsi="Calibri"/>
      <w:b w:val="0"/>
      <w:color w:val="365F91"/>
      <w:sz w:val="32"/>
      <w:szCs w:val="32"/>
    </w:rPr>
  </w:style>
  <w:style w:type="character" w:styleId="PageNumber">
    <w:name w:val="page number"/>
    <w:basedOn w:val="DefaultParagraphFont"/>
    <w:uiPriority w:val="99"/>
    <w:semiHidden/>
    <w:unhideWhenUsed/>
    <w:rsid w:val="00A24179"/>
  </w:style>
  <w:style w:type="character" w:styleId="LineNumber">
    <w:name w:val="line number"/>
    <w:basedOn w:val="DefaultParagraphFont"/>
    <w:uiPriority w:val="99"/>
    <w:semiHidden/>
    <w:unhideWhenUsed/>
    <w:rsid w:val="000B2966"/>
  </w:style>
  <w:style w:type="character" w:styleId="FollowedHyperlink">
    <w:name w:val="FollowedHyperlink"/>
    <w:basedOn w:val="DefaultParagraphFont"/>
    <w:uiPriority w:val="99"/>
    <w:semiHidden/>
    <w:unhideWhenUsed/>
    <w:rsid w:val="0099324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4671180">
      <w:bodyDiv w:val="1"/>
      <w:marLeft w:val="0"/>
      <w:marRight w:val="0"/>
      <w:marTop w:val="0"/>
      <w:marBottom w:val="0"/>
      <w:divBdr>
        <w:top w:val="none" w:sz="0" w:space="0" w:color="auto"/>
        <w:left w:val="none" w:sz="0" w:space="0" w:color="auto"/>
        <w:bottom w:val="none" w:sz="0" w:space="0" w:color="auto"/>
        <w:right w:val="none" w:sz="0" w:space="0" w:color="auto"/>
      </w:divBdr>
    </w:div>
    <w:div w:id="1389962648">
      <w:bodyDiv w:val="1"/>
      <w:marLeft w:val="0"/>
      <w:marRight w:val="0"/>
      <w:marTop w:val="0"/>
      <w:marBottom w:val="0"/>
      <w:divBdr>
        <w:top w:val="none" w:sz="0" w:space="0" w:color="auto"/>
        <w:left w:val="none" w:sz="0" w:space="0" w:color="auto"/>
        <w:bottom w:val="none" w:sz="0" w:space="0" w:color="auto"/>
        <w:right w:val="none" w:sz="0" w:space="0" w:color="auto"/>
      </w:divBdr>
    </w:div>
    <w:div w:id="1504122093">
      <w:bodyDiv w:val="1"/>
      <w:marLeft w:val="0"/>
      <w:marRight w:val="0"/>
      <w:marTop w:val="0"/>
      <w:marBottom w:val="0"/>
      <w:divBdr>
        <w:top w:val="none" w:sz="0" w:space="0" w:color="auto"/>
        <w:left w:val="none" w:sz="0" w:space="0" w:color="auto"/>
        <w:bottom w:val="none" w:sz="0" w:space="0" w:color="auto"/>
        <w:right w:val="none" w:sz="0" w:space="0" w:color="auto"/>
      </w:divBdr>
    </w:div>
    <w:div w:id="1788965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biocon.2017.11.014" TargetMode="Externa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14.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10.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embeddings/oleObject1.bin"/></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12.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12.xml"/></Relationships>
</file>

<file path=word/charts/_rels/chart14.xml.rels><?xml version="1.0" encoding="UTF-8" standalone="yes"?>
<Relationships xmlns="http://schemas.openxmlformats.org/package/2006/relationships"><Relationship Id="rId1" Type="http://schemas.openxmlformats.org/officeDocument/2006/relationships/oleObject" Target="file:///\\usda.net\NRCS\HOME\MTFOR\NRCS\Heather.Nenninger\Documents\New_models_graphs_table.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usda.net\NRCS\HOME\MTFOR\NRCS\Heather.Nenninger\Documents\New_models_graphs_table.xlsx" TargetMode="External"/></Relationships>
</file>

<file path=word/charts/_rels/chart16.xml.rels><?xml version="1.0" encoding="UTF-8" standalone="yes"?>
<Relationships xmlns="http://schemas.openxmlformats.org/package/2006/relationships"><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oleObject" Target="file:///\\usda.net\NRCS\HOME\MTFOR\NRCS\Heather.Nenninger\Documents\New_models_graphs_table.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983838675837398"/>
          <c:y val="7.0853462157809979E-2"/>
          <c:w val="0.84861134793257686"/>
          <c:h val="0.8031998174141276"/>
        </c:manualLayout>
      </c:layout>
      <c:barChart>
        <c:barDir val="col"/>
        <c:grouping val="clustered"/>
        <c:varyColors val="0"/>
        <c:ser>
          <c:idx val="0"/>
          <c:order val="0"/>
          <c:tx>
            <c:strRef>
              <c:f>Infra.site!$C$33</c:f>
              <c:strCache>
                <c:ptCount val="1"/>
                <c:pt idx="0">
                  <c:v>Control sites</c:v>
                </c:pt>
              </c:strCache>
            </c:strRef>
          </c:tx>
          <c:spPr>
            <a:solidFill>
              <a:srgbClr val="595959"/>
            </a:solidFill>
            <a:ln>
              <a:solidFill>
                <a:schemeClr val="tx1">
                  <a:lumMod val="65000"/>
                  <a:lumOff val="35000"/>
                </a:schemeClr>
              </a:solidFill>
            </a:ln>
          </c:spPr>
          <c:invertIfNegative val="0"/>
          <c:errBars>
            <c:errBarType val="both"/>
            <c:errValType val="cust"/>
            <c:noEndCap val="0"/>
            <c:plus>
              <c:numRef>
                <c:f>(Infra.site!$F$2,Infra.site!$F$23)</c:f>
                <c:numCache>
                  <c:formatCode>General</c:formatCode>
                  <c:ptCount val="2"/>
                  <c:pt idx="0">
                    <c:v>1.4017773</c:v>
                  </c:pt>
                  <c:pt idx="1">
                    <c:v>0.98924480000000004</c:v>
                  </c:pt>
                </c:numCache>
              </c:numRef>
            </c:plus>
            <c:minus>
              <c:numRef>
                <c:f>(Infra.site!$F$2,Infra.site!$F$23)</c:f>
                <c:numCache>
                  <c:formatCode>General</c:formatCode>
                  <c:ptCount val="2"/>
                  <c:pt idx="0">
                    <c:v>1.4017773</c:v>
                  </c:pt>
                  <c:pt idx="1">
                    <c:v>0.98924480000000004</c:v>
                  </c:pt>
                </c:numCache>
              </c:numRef>
            </c:minus>
          </c:errBars>
          <c:cat>
            <c:strRef>
              <c:f>(Infra.site!$A$1,Infra.site!$A$22)</c:f>
              <c:strCache>
                <c:ptCount val="2"/>
                <c:pt idx="0">
                  <c:v>Sprague's pipit</c:v>
                </c:pt>
                <c:pt idx="1">
                  <c:v>Baird's sparrow</c:v>
                </c:pt>
              </c:strCache>
            </c:strRef>
          </c:cat>
          <c:val>
            <c:numRef>
              <c:f>(Infra.site!$I$2,Infra.site!$I$23)</c:f>
              <c:numCache>
                <c:formatCode>General</c:formatCode>
                <c:ptCount val="2"/>
                <c:pt idx="0">
                  <c:v>4.8220619999999998</c:v>
                </c:pt>
                <c:pt idx="1">
                  <c:v>2.9518019999999998</c:v>
                </c:pt>
              </c:numCache>
            </c:numRef>
          </c:val>
          <c:extLst>
            <c:ext xmlns:c16="http://schemas.microsoft.com/office/drawing/2014/chart" uri="{C3380CC4-5D6E-409C-BE32-E72D297353CC}">
              <c16:uniqueId val="{00000000-670D-4BF6-95CB-D4458803F81E}"/>
            </c:ext>
          </c:extLst>
        </c:ser>
        <c:ser>
          <c:idx val="1"/>
          <c:order val="1"/>
          <c:tx>
            <c:strRef>
              <c:f>Infra.site!$C$34</c:f>
              <c:strCache>
                <c:ptCount val="1"/>
                <c:pt idx="0">
                  <c:v>Oil sites</c:v>
                </c:pt>
              </c:strCache>
            </c:strRef>
          </c:tx>
          <c:spPr>
            <a:solidFill>
              <a:schemeClr val="bg1">
                <a:lumMod val="65000"/>
              </a:schemeClr>
            </a:solidFill>
          </c:spPr>
          <c:invertIfNegative val="0"/>
          <c:errBars>
            <c:errBarType val="both"/>
            <c:errValType val="cust"/>
            <c:noEndCap val="0"/>
            <c:plus>
              <c:numRef>
                <c:f>(Infra.site!$F$3,Infra.site!$F$24)</c:f>
                <c:numCache>
                  <c:formatCode>General</c:formatCode>
                  <c:ptCount val="2"/>
                  <c:pt idx="0">
                    <c:v>0.4533681</c:v>
                  </c:pt>
                  <c:pt idx="1">
                    <c:v>0.29443609999999998</c:v>
                  </c:pt>
                </c:numCache>
              </c:numRef>
            </c:plus>
            <c:minus>
              <c:numRef>
                <c:f>(Infra.site!$F$3,Infra.site!$F$24)</c:f>
                <c:numCache>
                  <c:formatCode>General</c:formatCode>
                  <c:ptCount val="2"/>
                  <c:pt idx="0">
                    <c:v>0.4533681</c:v>
                  </c:pt>
                  <c:pt idx="1">
                    <c:v>0.29443609999999998</c:v>
                  </c:pt>
                </c:numCache>
              </c:numRef>
            </c:minus>
          </c:errBars>
          <c:cat>
            <c:strRef>
              <c:f>(Infra.site!$A$1,Infra.site!$A$22)</c:f>
              <c:strCache>
                <c:ptCount val="2"/>
                <c:pt idx="0">
                  <c:v>Sprague's pipit</c:v>
                </c:pt>
                <c:pt idx="1">
                  <c:v>Baird's sparrow</c:v>
                </c:pt>
              </c:strCache>
            </c:strRef>
          </c:cat>
          <c:val>
            <c:numRef>
              <c:f>(Infra.site!$I$3,Infra.site!$I$24)</c:f>
              <c:numCache>
                <c:formatCode>General</c:formatCode>
                <c:ptCount val="2"/>
                <c:pt idx="0">
                  <c:v>2.0223149999999999</c:v>
                </c:pt>
                <c:pt idx="1">
                  <c:v>1.0419130000000001</c:v>
                </c:pt>
              </c:numCache>
            </c:numRef>
          </c:val>
          <c:extLst>
            <c:ext xmlns:c16="http://schemas.microsoft.com/office/drawing/2014/chart" uri="{C3380CC4-5D6E-409C-BE32-E72D297353CC}">
              <c16:uniqueId val="{00000001-670D-4BF6-95CB-D4458803F81E}"/>
            </c:ext>
          </c:extLst>
        </c:ser>
        <c:dLbls>
          <c:showLegendKey val="0"/>
          <c:showVal val="0"/>
          <c:showCatName val="0"/>
          <c:showSerName val="0"/>
          <c:showPercent val="0"/>
          <c:showBubbleSize val="0"/>
        </c:dLbls>
        <c:gapWidth val="150"/>
        <c:axId val="187983008"/>
        <c:axId val="185651136"/>
      </c:barChart>
      <c:catAx>
        <c:axId val="187983008"/>
        <c:scaling>
          <c:orientation val="minMax"/>
        </c:scaling>
        <c:delete val="0"/>
        <c:axPos val="b"/>
        <c:numFmt formatCode="General" sourceLinked="0"/>
        <c:majorTickMark val="out"/>
        <c:minorTickMark val="none"/>
        <c:tickLblPos val="nextTo"/>
        <c:crossAx val="185651136"/>
        <c:crosses val="autoZero"/>
        <c:auto val="0"/>
        <c:lblAlgn val="ctr"/>
        <c:lblOffset val="100"/>
        <c:noMultiLvlLbl val="0"/>
      </c:catAx>
      <c:valAx>
        <c:axId val="185651136"/>
        <c:scaling>
          <c:orientation val="minMax"/>
        </c:scaling>
        <c:delete val="0"/>
        <c:axPos val="l"/>
        <c:title>
          <c:tx>
            <c:rich>
              <a:bodyPr rot="-5400000" vert="horz"/>
              <a:lstStyle/>
              <a:p>
                <a:pPr>
                  <a:defRPr/>
                </a:pPr>
                <a:r>
                  <a:rPr lang="en-US"/>
                  <a:t>Birds </a:t>
                </a:r>
                <a:r>
                  <a:rPr lang="en-US" baseline="0"/>
                  <a:t>per site</a:t>
                </a:r>
                <a:endParaRPr lang="en-US"/>
              </a:p>
            </c:rich>
          </c:tx>
          <c:overlay val="0"/>
        </c:title>
        <c:numFmt formatCode="General" sourceLinked="1"/>
        <c:majorTickMark val="out"/>
        <c:minorTickMark val="none"/>
        <c:tickLblPos val="nextTo"/>
        <c:crossAx val="187983008"/>
        <c:crosses val="autoZero"/>
        <c:crossBetween val="between"/>
      </c:valAx>
    </c:plotArea>
    <c:legend>
      <c:legendPos val="b"/>
      <c:layout>
        <c:manualLayout>
          <c:xMode val="edge"/>
          <c:yMode val="edge"/>
          <c:x val="0.3153226562297094"/>
          <c:y val="5.4108500381675403E-2"/>
          <c:w val="0.38082751128932635"/>
          <c:h val="0.11338278367377991"/>
        </c:manualLayout>
      </c:layout>
      <c:overlay val="0"/>
    </c:legend>
    <c:plotVisOnly val="1"/>
    <c:dispBlanksAs val="gap"/>
    <c:showDLblsOverMax val="0"/>
  </c:chart>
  <c:spPr>
    <a:solidFill>
      <a:schemeClr val="lt1"/>
    </a:solidFill>
    <a:ln w="25400" cap="flat" cmpd="sng" algn="ctr">
      <a:noFill/>
      <a:prstDash val="solid"/>
    </a:ln>
    <a:effectLst/>
  </c:spPr>
  <c:txPr>
    <a:bodyPr/>
    <a:lstStyle/>
    <a:p>
      <a:pPr>
        <a:defRPr>
          <a:solidFill>
            <a:schemeClr val="dk1"/>
          </a:solidFill>
          <a:latin typeface="+mn-lt"/>
          <a:ea typeface="+mn-ea"/>
          <a:cs typeface="+mn-cs"/>
        </a:defRPr>
      </a:pPr>
      <a:endParaRPr lang="en-US"/>
    </a:p>
  </c:txPr>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2950174682749713"/>
          <c:y val="5.62569896154285E-2"/>
          <c:w val="0.66405514383670905"/>
          <c:h val="0.73787826446051286"/>
        </c:manualLayout>
      </c:layout>
      <c:scatterChart>
        <c:scatterStyle val="smoothMarker"/>
        <c:varyColors val="0"/>
        <c:ser>
          <c:idx val="0"/>
          <c:order val="0"/>
          <c:tx>
            <c:v>Generator-powered pump</c:v>
          </c:tx>
          <c:spPr>
            <a:ln w="28575" cmpd="sng">
              <a:solidFill>
                <a:schemeClr val="bg1">
                  <a:lumMod val="65000"/>
                </a:schemeClr>
              </a:solidFill>
            </a:ln>
          </c:spPr>
          <c:marker>
            <c:symbol val="none"/>
          </c:marker>
          <c:xVal>
            <c:numRef>
              <c:f>[New_models_graphs_table.xlsx]Power.bin!$B$2:$B$21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[New_models_graphs_table.xlsx]Power.bin!$J$65:$J$84</c:f>
              <c:numCache>
                <c:formatCode>General</c:formatCode>
                <c:ptCount val="20"/>
                <c:pt idx="0">
                  <c:v>0.15656516000000001</c:v>
                </c:pt>
                <c:pt idx="1">
                  <c:v>0.16057022000000001</c:v>
                </c:pt>
                <c:pt idx="2">
                  <c:v>0.16467772</c:v>
                </c:pt>
                <c:pt idx="3">
                  <c:v>0.16889030999999999</c:v>
                </c:pt>
                <c:pt idx="4">
                  <c:v>0.17321064999999999</c:v>
                </c:pt>
                <c:pt idx="5">
                  <c:v>0.17764151</c:v>
                </c:pt>
                <c:pt idx="6">
                  <c:v>0.18218571</c:v>
                </c:pt>
                <c:pt idx="7">
                  <c:v>0.18684616000000001</c:v>
                </c:pt>
                <c:pt idx="8">
                  <c:v>0.19162583</c:v>
                </c:pt>
                <c:pt idx="9">
                  <c:v>0.19652776999999999</c:v>
                </c:pt>
                <c:pt idx="10">
                  <c:v>0.20155509999999999</c:v>
                </c:pt>
                <c:pt idx="11">
                  <c:v>0.20671102999999999</c:v>
                </c:pt>
                <c:pt idx="12">
                  <c:v>0.21199886000000001</c:v>
                </c:pt>
                <c:pt idx="13">
                  <c:v>0.21742195</c:v>
                </c:pt>
                <c:pt idx="14">
                  <c:v>0.22298377</c:v>
                </c:pt>
                <c:pt idx="15">
                  <c:v>0.22868785999999999</c:v>
                </c:pt>
                <c:pt idx="16">
                  <c:v>0.23453787000000001</c:v>
                </c:pt>
                <c:pt idx="17">
                  <c:v>0.24053753</c:v>
                </c:pt>
                <c:pt idx="18">
                  <c:v>0.24669066000000001</c:v>
                </c:pt>
                <c:pt idx="19">
                  <c:v>0.25300119999999998</c:v>
                </c:pt>
              </c:numCache>
            </c:numRef>
          </c:yVal>
          <c:smooth val="1"/>
          <c:extLst>
            <c:ext xmlns:c16="http://schemas.microsoft.com/office/drawing/2014/chart" uri="{C3380CC4-5D6E-409C-BE32-E72D297353CC}">
              <c16:uniqueId val="{00000000-B8A8-4367-8094-32F83948D646}"/>
            </c:ext>
          </c:extLst>
        </c:ser>
        <c:ser>
          <c:idx val="1"/>
          <c:order val="1"/>
          <c:tx>
            <c:v>Grid-powered pump</c:v>
          </c:tx>
          <c:spPr>
            <a:ln w="28575" cmpd="sng">
              <a:solidFill>
                <a:schemeClr val="bg1">
                  <a:lumMod val="85000"/>
                </a:schemeClr>
              </a:solidFill>
              <a:prstDash val="solid"/>
            </a:ln>
          </c:spPr>
          <c:marker>
            <c:symbol val="none"/>
          </c:marker>
          <c:xVal>
            <c:numRef>
              <c:f>[New_models_graphs_table.xlsx]Power.bin!$B$2:$B$21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[New_models_graphs_table.xlsx]Power.bin!$N$65:$N$84</c:f>
              <c:numCache>
                <c:formatCode>General</c:formatCode>
                <c:ptCount val="20"/>
                <c:pt idx="0">
                  <c:v>4.0467219999999998E-2</c:v>
                </c:pt>
                <c:pt idx="1">
                  <c:v>4.25513E-2</c:v>
                </c:pt>
                <c:pt idx="2">
                  <c:v>4.4742700000000003E-2</c:v>
                </c:pt>
                <c:pt idx="3">
                  <c:v>4.7046949999999997E-2</c:v>
                </c:pt>
                <c:pt idx="4">
                  <c:v>4.9469880000000001E-2</c:v>
                </c:pt>
                <c:pt idx="5">
                  <c:v>5.2017590000000002E-2</c:v>
                </c:pt>
                <c:pt idx="6">
                  <c:v>5.4696509999999997E-2</c:v>
                </c:pt>
                <c:pt idx="7">
                  <c:v>5.7513389999999998E-2</c:v>
                </c:pt>
                <c:pt idx="8">
                  <c:v>6.0475340000000002E-2</c:v>
                </c:pt>
                <c:pt idx="9">
                  <c:v>6.358983E-2</c:v>
                </c:pt>
                <c:pt idx="10">
                  <c:v>6.6864720000000002E-2</c:v>
                </c:pt>
                <c:pt idx="11">
                  <c:v>7.0308270000000006E-2</c:v>
                </c:pt>
                <c:pt idx="12">
                  <c:v>7.3929159999999994E-2</c:v>
                </c:pt>
                <c:pt idx="13">
                  <c:v>7.7736529999999998E-2</c:v>
                </c:pt>
                <c:pt idx="14">
                  <c:v>8.1739980000000004E-2</c:v>
                </c:pt>
                <c:pt idx="15">
                  <c:v>8.5949600000000001E-2</c:v>
                </c:pt>
                <c:pt idx="16">
                  <c:v>9.0376020000000001E-2</c:v>
                </c:pt>
                <c:pt idx="17">
                  <c:v>9.5030409999999996E-2</c:v>
                </c:pt>
                <c:pt idx="18">
                  <c:v>9.9924490000000005E-2</c:v>
                </c:pt>
                <c:pt idx="19">
                  <c:v>0.10507063</c:v>
                </c:pt>
              </c:numCache>
            </c:numRef>
          </c:yVal>
          <c:smooth val="1"/>
          <c:extLst>
            <c:ext xmlns:c16="http://schemas.microsoft.com/office/drawing/2014/chart" uri="{C3380CC4-5D6E-409C-BE32-E72D297353CC}">
              <c16:uniqueId val="{00000001-B8A8-4367-8094-32F83948D646}"/>
            </c:ext>
          </c:extLst>
        </c:ser>
        <c:ser>
          <c:idx val="2"/>
          <c:order val="2"/>
          <c:spPr>
            <a:ln w="19050" cmpd="sng">
              <a:solidFill>
                <a:schemeClr val="bg1">
                  <a:lumMod val="85000"/>
                </a:schemeClr>
              </a:solidFill>
              <a:prstDash val="dash"/>
            </a:ln>
          </c:spPr>
          <c:marker>
            <c:symbol val="none"/>
          </c:marker>
          <c:xVal>
            <c:numRef>
              <c:f>[New_models_graphs_table.xlsx]Power.bin!$B$2:$B$21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[New_models_graphs_table.xlsx]Power.bin!$M$65:$M$84</c:f>
              <c:numCache>
                <c:formatCode>General</c:formatCode>
                <c:ptCount val="20"/>
                <c:pt idx="0">
                  <c:v>1.706736E-2</c:v>
                </c:pt>
                <c:pt idx="1">
                  <c:v>1.878633E-2</c:v>
                </c:pt>
                <c:pt idx="2">
                  <c:v>2.0653029999999999E-2</c:v>
                </c:pt>
                <c:pt idx="3">
                  <c:v>2.2672230000000002E-2</c:v>
                </c:pt>
                <c:pt idx="4">
                  <c:v>2.4845920000000001E-2</c:v>
                </c:pt>
                <c:pt idx="5">
                  <c:v>2.7172080000000001E-2</c:v>
                </c:pt>
                <c:pt idx="6">
                  <c:v>2.9643269999999999E-2</c:v>
                </c:pt>
                <c:pt idx="7">
                  <c:v>3.22449E-2</c:v>
                </c:pt>
                <c:pt idx="8">
                  <c:v>3.4953650000000003E-2</c:v>
                </c:pt>
                <c:pt idx="9">
                  <c:v>3.7736100000000002E-2</c:v>
                </c:pt>
                <c:pt idx="10">
                  <c:v>4.0548519999999998E-2</c:v>
                </c:pt>
                <c:pt idx="11">
                  <c:v>4.3338250000000002E-2</c:v>
                </c:pt>
                <c:pt idx="12">
                  <c:v>4.6047480000000002E-2</c:v>
                </c:pt>
                <c:pt idx="13">
                  <c:v>4.861919E-2</c:v>
                </c:pt>
                <c:pt idx="14">
                  <c:v>5.1004130000000002E-2</c:v>
                </c:pt>
                <c:pt idx="15">
                  <c:v>5.3166659999999998E-2</c:v>
                </c:pt>
                <c:pt idx="16">
                  <c:v>5.5087799999999999E-2</c:v>
                </c:pt>
                <c:pt idx="17">
                  <c:v>5.6764620000000002E-2</c:v>
                </c:pt>
                <c:pt idx="18">
                  <c:v>5.8206979999999998E-2</c:v>
                </c:pt>
                <c:pt idx="19">
                  <c:v>5.9433100000000003E-2</c:v>
                </c:pt>
              </c:numCache>
            </c:numRef>
          </c:yVal>
          <c:smooth val="1"/>
          <c:extLst>
            <c:ext xmlns:c16="http://schemas.microsoft.com/office/drawing/2014/chart" uri="{C3380CC4-5D6E-409C-BE32-E72D297353CC}">
              <c16:uniqueId val="{00000002-B8A8-4367-8094-32F83948D646}"/>
            </c:ext>
          </c:extLst>
        </c:ser>
        <c:ser>
          <c:idx val="3"/>
          <c:order val="3"/>
          <c:spPr>
            <a:ln w="19050" cmpd="sng">
              <a:solidFill>
                <a:schemeClr val="bg1">
                  <a:lumMod val="65000"/>
                </a:schemeClr>
              </a:solidFill>
              <a:prstDash val="dash"/>
            </a:ln>
          </c:spPr>
          <c:marker>
            <c:symbol val="none"/>
          </c:marker>
          <c:xVal>
            <c:numRef>
              <c:f>[New_models_graphs_table.xlsx]Power.bin!$B$2:$B$21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[New_models_graphs_table.xlsx]Power.bin!$I$65:$I$84</c:f>
              <c:numCache>
                <c:formatCode>General</c:formatCode>
                <c:ptCount val="20"/>
                <c:pt idx="0">
                  <c:v>8.4456169999999997E-2</c:v>
                </c:pt>
                <c:pt idx="1">
                  <c:v>8.8999670000000003E-2</c:v>
                </c:pt>
                <c:pt idx="2">
                  <c:v>9.3674750000000001E-2</c:v>
                </c:pt>
                <c:pt idx="3">
                  <c:v>9.8459679999999994E-2</c:v>
                </c:pt>
                <c:pt idx="4">
                  <c:v>0.10332624</c:v>
                </c:pt>
                <c:pt idx="5">
                  <c:v>0.10823908</c:v>
                </c:pt>
                <c:pt idx="6">
                  <c:v>0.11315525999999999</c:v>
                </c:pt>
                <c:pt idx="7">
                  <c:v>0.1180245</c:v>
                </c:pt>
                <c:pt idx="8">
                  <c:v>0.12279009</c:v>
                </c:pt>
                <c:pt idx="9">
                  <c:v>0.12739093000000001</c:v>
                </c:pt>
                <c:pt idx="10">
                  <c:v>0.13176462999999999</c:v>
                </c:pt>
                <c:pt idx="11">
                  <c:v>0.13585148999999999</c:v>
                </c:pt>
                <c:pt idx="12">
                  <c:v>0.13959899000000001</c:v>
                </c:pt>
                <c:pt idx="13">
                  <c:v>0.14296581999999999</c:v>
                </c:pt>
                <c:pt idx="14">
                  <c:v>0.14592477000000001</c:v>
                </c:pt>
                <c:pt idx="15">
                  <c:v>0.14846392</c:v>
                </c:pt>
                <c:pt idx="16">
                  <c:v>0.15058579999999999</c:v>
                </c:pt>
                <c:pt idx="17">
                  <c:v>0.15230524000000001</c:v>
                </c:pt>
                <c:pt idx="18">
                  <c:v>0.15364625000000001</c:v>
                </c:pt>
                <c:pt idx="19">
                  <c:v>0.15463873</c:v>
                </c:pt>
              </c:numCache>
            </c:numRef>
          </c:yVal>
          <c:smooth val="1"/>
          <c:extLst>
            <c:ext xmlns:c16="http://schemas.microsoft.com/office/drawing/2014/chart" uri="{C3380CC4-5D6E-409C-BE32-E72D297353CC}">
              <c16:uniqueId val="{00000003-B8A8-4367-8094-32F83948D646}"/>
            </c:ext>
          </c:extLst>
        </c:ser>
        <c:ser>
          <c:idx val="4"/>
          <c:order val="4"/>
          <c:spPr>
            <a:ln w="19050" cmpd="sng">
              <a:solidFill>
                <a:schemeClr val="bg1">
                  <a:lumMod val="65000"/>
                </a:schemeClr>
              </a:solidFill>
              <a:prstDash val="dash"/>
            </a:ln>
          </c:spPr>
          <c:marker>
            <c:symbol val="none"/>
          </c:marker>
          <c:xVal>
            <c:numRef>
              <c:f>[New_models_graphs_table.xlsx]Power.bin!$B$2:$B$21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[New_models_graphs_table.xlsx]Power.bin!$H$65:$H$84</c:f>
              <c:numCache>
                <c:formatCode>General</c:formatCode>
                <c:ptCount val="20"/>
                <c:pt idx="0">
                  <c:v>0.29024106999999999</c:v>
                </c:pt>
                <c:pt idx="1">
                  <c:v>0.28969539</c:v>
                </c:pt>
                <c:pt idx="2">
                  <c:v>0.28949907000000002</c:v>
                </c:pt>
                <c:pt idx="3">
                  <c:v>0.28970170000000001</c:v>
                </c:pt>
                <c:pt idx="4">
                  <c:v>0.29036117</c:v>
                </c:pt>
                <c:pt idx="5">
                  <c:v>0.29154447999999999</c:v>
                </c:pt>
                <c:pt idx="6">
                  <c:v>0.29332825000000001</c:v>
                </c:pt>
                <c:pt idx="7">
                  <c:v>0.29579866999999999</c:v>
                </c:pt>
                <c:pt idx="8">
                  <c:v>0.29905068000000001</c:v>
                </c:pt>
                <c:pt idx="9">
                  <c:v>0.30318612</c:v>
                </c:pt>
                <c:pt idx="10">
                  <c:v>0.30831079</c:v>
                </c:pt>
                <c:pt idx="11">
                  <c:v>0.31453059</c:v>
                </c:pt>
                <c:pt idx="12">
                  <c:v>0.32194728</c:v>
                </c:pt>
                <c:pt idx="13">
                  <c:v>0.33065459000000003</c:v>
                </c:pt>
                <c:pt idx="14">
                  <c:v>0.34073555999999999</c:v>
                </c:pt>
                <c:pt idx="15">
                  <c:v>0.35226161</c:v>
                </c:pt>
                <c:pt idx="16">
                  <c:v>0.36529350999999999</c:v>
                </c:pt>
                <c:pt idx="17">
                  <c:v>0.37988386000000002</c:v>
                </c:pt>
                <c:pt idx="18">
                  <c:v>0.3960805</c:v>
                </c:pt>
                <c:pt idx="19">
                  <c:v>0.41392997999999998</c:v>
                </c:pt>
              </c:numCache>
            </c:numRef>
          </c:yVal>
          <c:smooth val="1"/>
          <c:extLst>
            <c:ext xmlns:c16="http://schemas.microsoft.com/office/drawing/2014/chart" uri="{C3380CC4-5D6E-409C-BE32-E72D297353CC}">
              <c16:uniqueId val="{00000004-B8A8-4367-8094-32F83948D646}"/>
            </c:ext>
          </c:extLst>
        </c:ser>
        <c:ser>
          <c:idx val="5"/>
          <c:order val="5"/>
          <c:spPr>
            <a:ln w="19050" cmpd="sng">
              <a:solidFill>
                <a:schemeClr val="bg1">
                  <a:lumMod val="85000"/>
                </a:schemeClr>
              </a:solidFill>
              <a:prstDash val="dash"/>
            </a:ln>
          </c:spPr>
          <c:marker>
            <c:symbol val="none"/>
          </c:marker>
          <c:xVal>
            <c:numRef>
              <c:f>[New_models_graphs_table.xlsx]Power.bin!$B$2:$B$21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[New_models_graphs_table.xlsx]Power.bin!$L$65:$L$84</c:f>
              <c:numCache>
                <c:formatCode>General</c:formatCode>
                <c:ptCount val="20"/>
                <c:pt idx="0">
                  <c:v>9.5949000000000007E-2</c:v>
                </c:pt>
                <c:pt idx="1">
                  <c:v>9.6379279999999998E-2</c:v>
                </c:pt>
                <c:pt idx="2">
                  <c:v>9.6930530000000001E-2</c:v>
                </c:pt>
                <c:pt idx="3">
                  <c:v>9.7626729999999995E-2</c:v>
                </c:pt>
                <c:pt idx="4">
                  <c:v>9.8497829999999995E-2</c:v>
                </c:pt>
                <c:pt idx="5">
                  <c:v>9.9581240000000001E-2</c:v>
                </c:pt>
                <c:pt idx="6">
                  <c:v>0.10092369</c:v>
                </c:pt>
                <c:pt idx="7">
                  <c:v>0.10258335</c:v>
                </c:pt>
                <c:pt idx="8">
                  <c:v>0.10463190999999999</c:v>
                </c:pt>
                <c:pt idx="9">
                  <c:v>0.10715646</c:v>
                </c:pt>
                <c:pt idx="10">
                  <c:v>0.11026028</c:v>
                </c:pt>
                <c:pt idx="11">
                  <c:v>0.11406213</c:v>
                </c:pt>
                <c:pt idx="12">
                  <c:v>0.11869317</c:v>
                </c:pt>
                <c:pt idx="13">
                  <c:v>0.12429182</c:v>
                </c:pt>
                <c:pt idx="14">
                  <c:v>0.13099770999999999</c:v>
                </c:pt>
                <c:pt idx="15">
                  <c:v>0.13894675000000001</c:v>
                </c:pt>
                <c:pt idx="16">
                  <c:v>0.14826923</c:v>
                </c:pt>
                <c:pt idx="17">
                  <c:v>0.15909166</c:v>
                </c:pt>
                <c:pt idx="18">
                  <c:v>0.17154135000000001</c:v>
                </c:pt>
                <c:pt idx="19">
                  <c:v>0.18575232999999999</c:v>
                </c:pt>
              </c:numCache>
            </c:numRef>
          </c:yVal>
          <c:smooth val="1"/>
          <c:extLst>
            <c:ext xmlns:c16="http://schemas.microsoft.com/office/drawing/2014/chart" uri="{C3380CC4-5D6E-409C-BE32-E72D297353CC}">
              <c16:uniqueId val="{00000005-B8A8-4367-8094-32F83948D646}"/>
            </c:ext>
          </c:extLst>
        </c:ser>
        <c:ser>
          <c:idx val="6"/>
          <c:order val="6"/>
          <c:tx>
            <c:v>Control</c:v>
          </c:tx>
          <c:spPr>
            <a:ln w="28575">
              <a:solidFill>
                <a:schemeClr val="tx1">
                  <a:lumMod val="65000"/>
                  <a:lumOff val="35000"/>
                </a:schemeClr>
              </a:solidFill>
            </a:ln>
          </c:spPr>
          <c:marker>
            <c:symbol val="none"/>
          </c:marker>
          <c:xVal>
            <c:numRef>
              <c:f>[New_models_graphs_table.xlsx]Power.bin!$B$42:$B$61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[New_models_graphs_table.xlsx]Power.bin!$F$65:$F$84</c:f>
              <c:numCache>
                <c:formatCode>General</c:formatCode>
                <c:ptCount val="20"/>
                <c:pt idx="0">
                  <c:v>0.4781629</c:v>
                </c:pt>
                <c:pt idx="1">
                  <c:v>0.46731034999999999</c:v>
                </c:pt>
                <c:pt idx="2">
                  <c:v>0.45670411999999999</c:v>
                </c:pt>
                <c:pt idx="3">
                  <c:v>0.44633861000000002</c:v>
                </c:pt>
                <c:pt idx="4">
                  <c:v>0.43620836000000002</c:v>
                </c:pt>
                <c:pt idx="5">
                  <c:v>0.42630804</c:v>
                </c:pt>
                <c:pt idx="6">
                  <c:v>0.41663241000000001</c:v>
                </c:pt>
                <c:pt idx="7">
                  <c:v>0.40717638</c:v>
                </c:pt>
                <c:pt idx="8">
                  <c:v>0.39793497</c:v>
                </c:pt>
                <c:pt idx="9">
                  <c:v>0.38890331</c:v>
                </c:pt>
                <c:pt idx="10">
                  <c:v>0.38007663000000003</c:v>
                </c:pt>
                <c:pt idx="11">
                  <c:v>0.37145028000000002</c:v>
                </c:pt>
                <c:pt idx="12">
                  <c:v>0.36301971999999999</c:v>
                </c:pt>
                <c:pt idx="13">
                  <c:v>0.35478050999999999</c:v>
                </c:pt>
                <c:pt idx="14">
                  <c:v>0.34672828999999999</c:v>
                </c:pt>
                <c:pt idx="15">
                  <c:v>0.33885883</c:v>
                </c:pt>
                <c:pt idx="16">
                  <c:v>0.33116797999999997</c:v>
                </c:pt>
                <c:pt idx="17">
                  <c:v>0.32365168</c:v>
                </c:pt>
                <c:pt idx="18">
                  <c:v>0.31630596999999999</c:v>
                </c:pt>
                <c:pt idx="19">
                  <c:v>0.30912698999999999</c:v>
                </c:pt>
              </c:numCache>
            </c:numRef>
          </c:yVal>
          <c:smooth val="1"/>
          <c:extLst>
            <c:ext xmlns:c16="http://schemas.microsoft.com/office/drawing/2014/chart" uri="{C3380CC4-5D6E-409C-BE32-E72D297353CC}">
              <c16:uniqueId val="{00000006-B8A8-4367-8094-32F83948D646}"/>
            </c:ext>
          </c:extLst>
        </c:ser>
        <c:ser>
          <c:idx val="7"/>
          <c:order val="7"/>
          <c:spPr>
            <a:ln w="19050">
              <a:solidFill>
                <a:schemeClr val="tx1">
                  <a:lumMod val="65000"/>
                  <a:lumOff val="35000"/>
                </a:schemeClr>
              </a:solidFill>
              <a:prstDash val="dash"/>
            </a:ln>
          </c:spPr>
          <c:marker>
            <c:symbol val="none"/>
          </c:marker>
          <c:xVal>
            <c:numRef>
              <c:f>[New_models_graphs_table.xlsx]Power.bin!$B$42:$B$61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[New_models_graphs_table.xlsx]Power.bin!$E$65:$E$84</c:f>
              <c:numCache>
                <c:formatCode>General</c:formatCode>
                <c:ptCount val="20"/>
                <c:pt idx="0">
                  <c:v>0.3567689</c:v>
                </c:pt>
                <c:pt idx="1">
                  <c:v>0.35167493</c:v>
                </c:pt>
                <c:pt idx="2">
                  <c:v>0.34640684999999999</c:v>
                </c:pt>
                <c:pt idx="3">
                  <c:v>0.34095341000000001</c:v>
                </c:pt>
                <c:pt idx="4">
                  <c:v>0.33530493</c:v>
                </c:pt>
                <c:pt idx="5">
                  <c:v>0.32945392000000001</c:v>
                </c:pt>
                <c:pt idx="6">
                  <c:v>0.32339590000000001</c:v>
                </c:pt>
                <c:pt idx="7">
                  <c:v>0.31713016999999999</c:v>
                </c:pt>
                <c:pt idx="8">
                  <c:v>0.31066034999999997</c:v>
                </c:pt>
                <c:pt idx="9">
                  <c:v>0.30399493999999999</c:v>
                </c:pt>
                <c:pt idx="10">
                  <c:v>0.29714737000000002</c:v>
                </c:pt>
                <c:pt idx="11">
                  <c:v>0.29013587000000002</c:v>
                </c:pt>
                <c:pt idx="12">
                  <c:v>0.28298293000000002</c:v>
                </c:pt>
                <c:pt idx="13">
                  <c:v>0.27571447999999998</c:v>
                </c:pt>
                <c:pt idx="14">
                  <c:v>0.26835882999999999</c:v>
                </c:pt>
                <c:pt idx="15">
                  <c:v>0.26094559000000001</c:v>
                </c:pt>
                <c:pt idx="16">
                  <c:v>0.25350455</c:v>
                </c:pt>
                <c:pt idx="17">
                  <c:v>0.24606468000000001</c:v>
                </c:pt>
                <c:pt idx="18">
                  <c:v>0.23865341000000001</c:v>
                </c:pt>
                <c:pt idx="19">
                  <c:v>0.23129595999999999</c:v>
                </c:pt>
              </c:numCache>
            </c:numRef>
          </c:yVal>
          <c:smooth val="1"/>
          <c:extLst>
            <c:ext xmlns:c16="http://schemas.microsoft.com/office/drawing/2014/chart" uri="{C3380CC4-5D6E-409C-BE32-E72D297353CC}">
              <c16:uniqueId val="{00000007-B8A8-4367-8094-32F83948D646}"/>
            </c:ext>
          </c:extLst>
        </c:ser>
        <c:ser>
          <c:idx val="8"/>
          <c:order val="8"/>
          <c:spPr>
            <a:ln w="19050">
              <a:solidFill>
                <a:schemeClr val="tx1">
                  <a:lumMod val="65000"/>
                  <a:lumOff val="35000"/>
                </a:schemeClr>
              </a:solidFill>
              <a:prstDash val="dash"/>
            </a:ln>
          </c:spPr>
          <c:marker>
            <c:symbol val="none"/>
          </c:marker>
          <c:xVal>
            <c:numRef>
              <c:f>[New_models_graphs_table.xlsx]Power.bin!$B$42:$B$61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[New_models_graphs_table.xlsx]Power.bin!$D$65:$D$84</c:f>
              <c:numCache>
                <c:formatCode>General</c:formatCode>
                <c:ptCount val="20"/>
                <c:pt idx="0">
                  <c:v>0.64086235000000003</c:v>
                </c:pt>
                <c:pt idx="1">
                  <c:v>0.62096823999999995</c:v>
                </c:pt>
                <c:pt idx="2">
                  <c:v>0.60212047999999996</c:v>
                </c:pt>
                <c:pt idx="3">
                  <c:v>0.58429730000000002</c:v>
                </c:pt>
                <c:pt idx="4">
                  <c:v>0.56747671</c:v>
                </c:pt>
                <c:pt idx="5">
                  <c:v>0.55163569999999995</c:v>
                </c:pt>
                <c:pt idx="6">
                  <c:v>0.53674940999999998</c:v>
                </c:pt>
                <c:pt idx="7">
                  <c:v>0.52279039000000005</c:v>
                </c:pt>
                <c:pt idx="8">
                  <c:v>0.50972786999999997</c:v>
                </c:pt>
                <c:pt idx="9">
                  <c:v>0.49752730000000001</c:v>
                </c:pt>
                <c:pt idx="10">
                  <c:v>0.48615016999999999</c:v>
                </c:pt>
                <c:pt idx="11">
                  <c:v>0.47555413000000002</c:v>
                </c:pt>
                <c:pt idx="12">
                  <c:v>0.46569353000000002</c:v>
                </c:pt>
                <c:pt idx="13">
                  <c:v>0.45652013000000002</c:v>
                </c:pt>
                <c:pt idx="14">
                  <c:v>0.44798417000000001</c:v>
                </c:pt>
                <c:pt idx="15">
                  <c:v>0.44003544</c:v>
                </c:pt>
                <c:pt idx="16">
                  <c:v>0.43262431000000001</c:v>
                </c:pt>
                <c:pt idx="17">
                  <c:v>0.42570274000000002</c:v>
                </c:pt>
                <c:pt idx="18">
                  <c:v>0.41922496999999997</c:v>
                </c:pt>
                <c:pt idx="19">
                  <c:v>0.41314814</c:v>
                </c:pt>
              </c:numCache>
            </c:numRef>
          </c:yVal>
          <c:smooth val="1"/>
          <c:extLst>
            <c:ext xmlns:c16="http://schemas.microsoft.com/office/drawing/2014/chart" uri="{C3380CC4-5D6E-409C-BE32-E72D297353CC}">
              <c16:uniqueId val="{00000008-B8A8-4367-8094-32F83948D646}"/>
            </c:ext>
          </c:extLst>
        </c:ser>
        <c:dLbls>
          <c:showLegendKey val="0"/>
          <c:showVal val="0"/>
          <c:showCatName val="0"/>
          <c:showSerName val="0"/>
          <c:showPercent val="0"/>
          <c:showBubbleSize val="0"/>
        </c:dLbls>
        <c:axId val="189435320"/>
        <c:axId val="189435712"/>
      </c:scatterChart>
      <c:valAx>
        <c:axId val="189435320"/>
        <c:scaling>
          <c:orientation val="minMax"/>
          <c:max val="400"/>
          <c:min val="100"/>
        </c:scaling>
        <c:delete val="0"/>
        <c:axPos val="b"/>
        <c:title>
          <c:tx>
            <c:rich>
              <a:bodyPr/>
              <a:lstStyle/>
              <a:p>
                <a:pPr>
                  <a:defRPr/>
                </a:pPr>
                <a:r>
                  <a:rPr lang="en-US"/>
                  <a:t>Distance from center point (m)</a:t>
                </a:r>
              </a:p>
            </c:rich>
          </c:tx>
          <c:overlay val="0"/>
        </c:title>
        <c:numFmt formatCode="General" sourceLinked="1"/>
        <c:majorTickMark val="out"/>
        <c:minorTickMark val="none"/>
        <c:tickLblPos val="nextTo"/>
        <c:crossAx val="189435712"/>
        <c:crosses val="autoZero"/>
        <c:crossBetween val="midCat"/>
        <c:majorUnit val="100"/>
      </c:valAx>
      <c:valAx>
        <c:axId val="189435712"/>
        <c:scaling>
          <c:orientation val="minMax"/>
        </c:scaling>
        <c:delete val="0"/>
        <c:axPos val="l"/>
        <c:title>
          <c:tx>
            <c:rich>
              <a:bodyPr rot="-5400000" vert="horz"/>
              <a:lstStyle/>
              <a:p>
                <a:pPr>
                  <a:defRPr/>
                </a:pPr>
                <a:r>
                  <a:rPr lang="en-US"/>
                  <a:t>Baird's</a:t>
                </a:r>
                <a:r>
                  <a:rPr lang="en-US" baseline="0"/>
                  <a:t> sparrows per hectare</a:t>
                </a:r>
                <a:endParaRPr lang="en-US"/>
              </a:p>
            </c:rich>
          </c:tx>
          <c:layout>
            <c:manualLayout>
              <c:xMode val="edge"/>
              <c:yMode val="edge"/>
              <c:x val="3.9657186175622625E-2"/>
              <c:y val="7.2657351265282458E-2"/>
            </c:manualLayout>
          </c:layout>
          <c:overlay val="0"/>
        </c:title>
        <c:numFmt formatCode="General" sourceLinked="1"/>
        <c:majorTickMark val="out"/>
        <c:minorTickMark val="none"/>
        <c:tickLblPos val="nextTo"/>
        <c:crossAx val="189435320"/>
        <c:crosses val="autoZero"/>
        <c:crossBetween val="midCat"/>
      </c:valAx>
    </c:plotArea>
    <c:legend>
      <c:legendPos val="b"/>
      <c:legendEntry>
        <c:idx val="2"/>
        <c:delete val="1"/>
      </c:legendEntry>
      <c:legendEntry>
        <c:idx val="3"/>
        <c:delete val="1"/>
      </c:legendEntry>
      <c:legendEntry>
        <c:idx val="4"/>
        <c:delete val="1"/>
      </c:legendEntry>
      <c:legendEntry>
        <c:idx val="5"/>
        <c:delete val="1"/>
      </c:legendEntry>
      <c:legendEntry>
        <c:idx val="7"/>
        <c:delete val="1"/>
      </c:legendEntry>
      <c:legendEntry>
        <c:idx val="8"/>
        <c:delete val="1"/>
      </c:legendEntry>
      <c:layout>
        <c:manualLayout>
          <c:xMode val="edge"/>
          <c:yMode val="edge"/>
          <c:x val="0.28316270964931389"/>
          <c:y val="4.2940585528170559E-2"/>
          <c:w val="0.69752459879565809"/>
          <c:h val="0.15524398330692779"/>
        </c:manualLayout>
      </c:layout>
      <c:overlay val="0"/>
      <c:txPr>
        <a:bodyPr/>
        <a:lstStyle/>
        <a:p>
          <a:pPr>
            <a:defRPr>
              <a:latin typeface="+mn-lt"/>
            </a:defRPr>
          </a:pPr>
          <a:endParaRPr lang="en-US"/>
        </a:p>
      </c:txPr>
    </c:legend>
    <c:plotVisOnly val="1"/>
    <c:dispBlanksAs val="gap"/>
    <c:showDLblsOverMax val="0"/>
  </c:chart>
  <c:spPr>
    <a:ln>
      <a:solidFill>
        <a:srgbClr val="FFFFFF"/>
      </a:solidFill>
    </a:ln>
  </c:spPr>
  <c:externalData r:id="rId2">
    <c:autoUpdate val="0"/>
  </c:externalData>
  <c:userShapes r:id="rId3"/>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21826542539195601"/>
          <c:y val="5.4187192118226597E-2"/>
          <c:w val="0.69843696919345988"/>
          <c:h val="0.7321659302877247"/>
        </c:manualLayout>
      </c:layout>
      <c:scatterChart>
        <c:scatterStyle val="smoothMarker"/>
        <c:varyColors val="0"/>
        <c:ser>
          <c:idx val="1"/>
          <c:order val="0"/>
          <c:tx>
            <c:v>Generator-powered pump</c:v>
          </c:tx>
          <c:spPr>
            <a:ln w="28575" cmpd="sng">
              <a:solidFill>
                <a:schemeClr val="bg1">
                  <a:lumMod val="65000"/>
                </a:schemeClr>
              </a:solidFill>
              <a:prstDash val="solid"/>
            </a:ln>
          </c:spPr>
          <c:marker>
            <c:symbol val="none"/>
          </c:marker>
          <c:xVal>
            <c:numRef>
              <c:f>'[New_models_graphs_table (1).xlsx]Power.bin'!$B$2:$B$21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155.1073652233186</c:v>
                </c:pt>
                <c:pt idx="7">
                  <c:v>166.8800758862991</c:v>
                </c:pt>
                <c:pt idx="8">
                  <c:v>179.54634176275559</c:v>
                </c:pt>
                <c:pt idx="9">
                  <c:v>193.1739804575796</c:v>
                </c:pt>
                <c:pt idx="10">
                  <c:v>207.8359644235756</c:v>
                </c:pt>
                <c:pt idx="11">
                  <c:v>223.61079672117421</c:v>
                </c:pt>
                <c:pt idx="12">
                  <c:v>240.58294746519971</c:v>
                </c:pt>
                <c:pt idx="13">
                  <c:v>258.84328878991329</c:v>
                </c:pt>
                <c:pt idx="14">
                  <c:v>278.48960006306521</c:v>
                </c:pt>
                <c:pt idx="15">
                  <c:v>299.62707138476031</c:v>
                </c:pt>
                <c:pt idx="16">
                  <c:v>322.36888840388218</c:v>
                </c:pt>
                <c:pt idx="17">
                  <c:v>346.83681514908449</c:v>
                </c:pt>
                <c:pt idx="18">
                  <c:v>373.16187098987228</c:v>
                </c:pt>
                <c:pt idx="19">
                  <c:v>401.4850052994201</c:v>
                </c:pt>
              </c:numCache>
            </c:numRef>
          </c:xVal>
          <c:yVal>
            <c:numRef>
              <c:f>'[New_models_graphs_table (1).xlsx]Power.bin'!$N$97:$N$116</c:f>
              <c:numCache>
                <c:formatCode>General</c:formatCode>
                <c:ptCount val="20"/>
                <c:pt idx="0">
                  <c:v>0.16818920000000001</c:v>
                </c:pt>
                <c:pt idx="1">
                  <c:v>0.1710487</c:v>
                </c:pt>
                <c:pt idx="2">
                  <c:v>0.1739569</c:v>
                </c:pt>
                <c:pt idx="3">
                  <c:v>0.1769145</c:v>
                </c:pt>
                <c:pt idx="4">
                  <c:v>0.17992250000000001</c:v>
                </c:pt>
                <c:pt idx="5">
                  <c:v>0.18298149999999999</c:v>
                </c:pt>
                <c:pt idx="6">
                  <c:v>0.1860926</c:v>
                </c:pt>
                <c:pt idx="7">
                  <c:v>0.18925649999999999</c:v>
                </c:pt>
                <c:pt idx="8">
                  <c:v>0.19247429999999999</c:v>
                </c:pt>
                <c:pt idx="9">
                  <c:v>0.1957467</c:v>
                </c:pt>
                <c:pt idx="10">
                  <c:v>0.1990748</c:v>
                </c:pt>
                <c:pt idx="11">
                  <c:v>0.20245949999999999</c:v>
                </c:pt>
                <c:pt idx="12">
                  <c:v>0.20590169999999999</c:v>
                </c:pt>
                <c:pt idx="13">
                  <c:v>0.20940249999999999</c:v>
                </c:pt>
                <c:pt idx="14">
                  <c:v>0.2129627</c:v>
                </c:pt>
                <c:pt idx="15">
                  <c:v>0.21658350000000001</c:v>
                </c:pt>
                <c:pt idx="16">
                  <c:v>0.22026589999999999</c:v>
                </c:pt>
                <c:pt idx="17">
                  <c:v>0.22401090000000001</c:v>
                </c:pt>
                <c:pt idx="18">
                  <c:v>0.22781950000000001</c:v>
                </c:pt>
                <c:pt idx="19">
                  <c:v>0.23169290000000001</c:v>
                </c:pt>
              </c:numCache>
            </c:numRef>
          </c:yVal>
          <c:smooth val="1"/>
          <c:extLst>
            <c:ext xmlns:c16="http://schemas.microsoft.com/office/drawing/2014/chart" uri="{C3380CC4-5D6E-409C-BE32-E72D297353CC}">
              <c16:uniqueId val="{00000000-C59A-4B83-B5AD-A2719B5966A7}"/>
            </c:ext>
          </c:extLst>
        </c:ser>
        <c:ser>
          <c:idx val="0"/>
          <c:order val="1"/>
          <c:tx>
            <c:v>Grid-powered pump</c:v>
          </c:tx>
          <c:spPr>
            <a:ln w="28575" cmpd="sng">
              <a:solidFill>
                <a:schemeClr val="bg1">
                  <a:lumMod val="85000"/>
                </a:schemeClr>
              </a:solidFill>
            </a:ln>
          </c:spPr>
          <c:marker>
            <c:symbol val="none"/>
          </c:marker>
          <c:xVal>
            <c:numRef>
              <c:f>'[New_models_graphs_table (1).xlsx]Power.bin'!$B$2:$B$21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155.1073652233186</c:v>
                </c:pt>
                <c:pt idx="7">
                  <c:v>166.8800758862991</c:v>
                </c:pt>
                <c:pt idx="8">
                  <c:v>179.54634176275559</c:v>
                </c:pt>
                <c:pt idx="9">
                  <c:v>193.1739804575796</c:v>
                </c:pt>
                <c:pt idx="10">
                  <c:v>207.8359644235756</c:v>
                </c:pt>
                <c:pt idx="11">
                  <c:v>223.61079672117421</c:v>
                </c:pt>
                <c:pt idx="12">
                  <c:v>240.58294746519971</c:v>
                </c:pt>
                <c:pt idx="13">
                  <c:v>258.84328878991329</c:v>
                </c:pt>
                <c:pt idx="14">
                  <c:v>278.48960006306521</c:v>
                </c:pt>
                <c:pt idx="15">
                  <c:v>299.62707138476031</c:v>
                </c:pt>
                <c:pt idx="16">
                  <c:v>322.36888840388218</c:v>
                </c:pt>
                <c:pt idx="17">
                  <c:v>346.83681514908449</c:v>
                </c:pt>
                <c:pt idx="18">
                  <c:v>373.16187098987228</c:v>
                </c:pt>
                <c:pt idx="19">
                  <c:v>401.4850052994201</c:v>
                </c:pt>
              </c:numCache>
            </c:numRef>
          </c:xVal>
          <c:yVal>
            <c:numRef>
              <c:f>'[New_models_graphs_table (1).xlsx]Power.bin'!$J$97:$J$116</c:f>
              <c:numCache>
                <c:formatCode>General</c:formatCode>
                <c:ptCount val="20"/>
                <c:pt idx="0">
                  <c:v>0.51003109999999996</c:v>
                </c:pt>
                <c:pt idx="1">
                  <c:v>0.47275309999999998</c:v>
                </c:pt>
                <c:pt idx="2">
                  <c:v>0.43819970000000003</c:v>
                </c:pt>
                <c:pt idx="3">
                  <c:v>0.40617180000000003</c:v>
                </c:pt>
                <c:pt idx="4">
                  <c:v>0.37648490000000001</c:v>
                </c:pt>
                <c:pt idx="5">
                  <c:v>0.34896769999999999</c:v>
                </c:pt>
                <c:pt idx="6">
                  <c:v>0.32346180000000002</c:v>
                </c:pt>
                <c:pt idx="7">
                  <c:v>0.29982009999999998</c:v>
                </c:pt>
                <c:pt idx="8">
                  <c:v>0.27790629999999999</c:v>
                </c:pt>
                <c:pt idx="9">
                  <c:v>0.2575942</c:v>
                </c:pt>
                <c:pt idx="10">
                  <c:v>0.2387667</c:v>
                </c:pt>
                <c:pt idx="11">
                  <c:v>0.2213154</c:v>
                </c:pt>
                <c:pt idx="12">
                  <c:v>0.2051395</c:v>
                </c:pt>
                <c:pt idx="13">
                  <c:v>0.19014590000000001</c:v>
                </c:pt>
                <c:pt idx="14">
                  <c:v>0.17624819999999999</c:v>
                </c:pt>
                <c:pt idx="15">
                  <c:v>0.16336629999999999</c:v>
                </c:pt>
                <c:pt idx="16">
                  <c:v>0.1514259</c:v>
                </c:pt>
                <c:pt idx="17">
                  <c:v>0.14035819999999999</c:v>
                </c:pt>
                <c:pt idx="18">
                  <c:v>0.13009950000000001</c:v>
                </c:pt>
                <c:pt idx="19">
                  <c:v>0.12059060000000001</c:v>
                </c:pt>
              </c:numCache>
            </c:numRef>
          </c:yVal>
          <c:smooth val="1"/>
          <c:extLst>
            <c:ext xmlns:c16="http://schemas.microsoft.com/office/drawing/2014/chart" uri="{C3380CC4-5D6E-409C-BE32-E72D297353CC}">
              <c16:uniqueId val="{00000001-C59A-4B83-B5AD-A2719B5966A7}"/>
            </c:ext>
          </c:extLst>
        </c:ser>
        <c:ser>
          <c:idx val="2"/>
          <c:order val="2"/>
          <c:spPr>
            <a:ln w="19050" cmpd="sng">
              <a:solidFill>
                <a:schemeClr val="bg1">
                  <a:lumMod val="65000"/>
                </a:schemeClr>
              </a:solidFill>
              <a:prstDash val="dash"/>
            </a:ln>
          </c:spPr>
          <c:marker>
            <c:symbol val="none"/>
          </c:marker>
          <c:xVal>
            <c:numRef>
              <c:f>'[New_models_graphs_table (1).xlsx]Power.bin'!$B$2:$B$21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155.1073652233186</c:v>
                </c:pt>
                <c:pt idx="7">
                  <c:v>166.8800758862991</c:v>
                </c:pt>
                <c:pt idx="8">
                  <c:v>179.54634176275559</c:v>
                </c:pt>
                <c:pt idx="9">
                  <c:v>193.1739804575796</c:v>
                </c:pt>
                <c:pt idx="10">
                  <c:v>207.8359644235756</c:v>
                </c:pt>
                <c:pt idx="11">
                  <c:v>223.61079672117421</c:v>
                </c:pt>
                <c:pt idx="12">
                  <c:v>240.58294746519971</c:v>
                </c:pt>
                <c:pt idx="13">
                  <c:v>258.84328878991329</c:v>
                </c:pt>
                <c:pt idx="14">
                  <c:v>278.48960006306521</c:v>
                </c:pt>
                <c:pt idx="15">
                  <c:v>299.62707138476031</c:v>
                </c:pt>
                <c:pt idx="16">
                  <c:v>322.36888840388218</c:v>
                </c:pt>
                <c:pt idx="17">
                  <c:v>346.83681514908449</c:v>
                </c:pt>
                <c:pt idx="18">
                  <c:v>373.16187098987228</c:v>
                </c:pt>
                <c:pt idx="19">
                  <c:v>401.4850052994201</c:v>
                </c:pt>
              </c:numCache>
            </c:numRef>
          </c:xVal>
          <c:yVal>
            <c:numRef>
              <c:f>'[New_models_graphs_table (1).xlsx]Power.bin'!$M$97:$M$116</c:f>
              <c:numCache>
                <c:formatCode>General</c:formatCode>
                <c:ptCount val="20"/>
                <c:pt idx="0">
                  <c:v>0.10151364</c:v>
                </c:pt>
                <c:pt idx="1">
                  <c:v>0.10632923</c:v>
                </c:pt>
                <c:pt idx="2">
                  <c:v>0.11125781999999999</c:v>
                </c:pt>
                <c:pt idx="3">
                  <c:v>0.11626968999999999</c:v>
                </c:pt>
                <c:pt idx="4">
                  <c:v>0.12132444000000001</c:v>
                </c:pt>
                <c:pt idx="5">
                  <c:v>0.1263687</c:v>
                </c:pt>
                <c:pt idx="6">
                  <c:v>0.13133415000000001</c:v>
                </c:pt>
                <c:pt idx="7">
                  <c:v>0.13613644999999999</c:v>
                </c:pt>
                <c:pt idx="8">
                  <c:v>0.14067648999999999</c:v>
                </c:pt>
                <c:pt idx="9">
                  <c:v>0.14484531</c:v>
                </c:pt>
                <c:pt idx="10">
                  <c:v>0.14853374999999999</c:v>
                </c:pt>
                <c:pt idx="11">
                  <c:v>0.15164637</c:v>
                </c:pt>
                <c:pt idx="12">
                  <c:v>0.15411614000000001</c:v>
                </c:pt>
                <c:pt idx="13">
                  <c:v>0.15591492000000001</c:v>
                </c:pt>
                <c:pt idx="14">
                  <c:v>0.15705546000000001</c:v>
                </c:pt>
                <c:pt idx="15">
                  <c:v>0.15758441000000001</c:v>
                </c:pt>
                <c:pt idx="16">
                  <c:v>0.15757028000000001</c:v>
                </c:pt>
                <c:pt idx="17">
                  <c:v>0.15709085</c:v>
                </c:pt>
                <c:pt idx="18">
                  <c:v>0.15622342</c:v>
                </c:pt>
                <c:pt idx="19">
                  <c:v>0.15503897</c:v>
                </c:pt>
              </c:numCache>
            </c:numRef>
          </c:yVal>
          <c:smooth val="1"/>
          <c:extLst>
            <c:ext xmlns:c16="http://schemas.microsoft.com/office/drawing/2014/chart" uri="{C3380CC4-5D6E-409C-BE32-E72D297353CC}">
              <c16:uniqueId val="{00000002-C59A-4B83-B5AD-A2719B5966A7}"/>
            </c:ext>
          </c:extLst>
        </c:ser>
        <c:ser>
          <c:idx val="3"/>
          <c:order val="3"/>
          <c:spPr>
            <a:ln w="19050" cmpd="sng">
              <a:solidFill>
                <a:schemeClr val="bg1">
                  <a:lumMod val="85000"/>
                </a:schemeClr>
              </a:solidFill>
              <a:prstDash val="dash"/>
            </a:ln>
          </c:spPr>
          <c:marker>
            <c:symbol val="none"/>
          </c:marker>
          <c:xVal>
            <c:numRef>
              <c:f>'[New_models_graphs_table (1).xlsx]Power.bin'!$B$2:$B$21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155.1073652233186</c:v>
                </c:pt>
                <c:pt idx="7">
                  <c:v>166.8800758862991</c:v>
                </c:pt>
                <c:pt idx="8">
                  <c:v>179.54634176275559</c:v>
                </c:pt>
                <c:pt idx="9">
                  <c:v>193.1739804575796</c:v>
                </c:pt>
                <c:pt idx="10">
                  <c:v>207.8359644235756</c:v>
                </c:pt>
                <c:pt idx="11">
                  <c:v>223.61079672117421</c:v>
                </c:pt>
                <c:pt idx="12">
                  <c:v>240.58294746519971</c:v>
                </c:pt>
                <c:pt idx="13">
                  <c:v>258.84328878991329</c:v>
                </c:pt>
                <c:pt idx="14">
                  <c:v>278.48960006306521</c:v>
                </c:pt>
                <c:pt idx="15">
                  <c:v>299.62707138476031</c:v>
                </c:pt>
                <c:pt idx="16">
                  <c:v>322.36888840388218</c:v>
                </c:pt>
                <c:pt idx="17">
                  <c:v>346.83681514908449</c:v>
                </c:pt>
                <c:pt idx="18">
                  <c:v>373.16187098987228</c:v>
                </c:pt>
                <c:pt idx="19">
                  <c:v>401.4850052994201</c:v>
                </c:pt>
              </c:numCache>
            </c:numRef>
          </c:xVal>
          <c:yVal>
            <c:numRef>
              <c:f>'[New_models_graphs_table (1).xlsx]Power.bin'!$I$97:$I$116</c:f>
              <c:numCache>
                <c:formatCode>General</c:formatCode>
                <c:ptCount val="20"/>
                <c:pt idx="0">
                  <c:v>0.32609601999999999</c:v>
                </c:pt>
                <c:pt idx="1">
                  <c:v>0.31034022999999999</c:v>
                </c:pt>
                <c:pt idx="2">
                  <c:v>0.29473906999999999</c:v>
                </c:pt>
                <c:pt idx="3">
                  <c:v>0.27923535999999999</c:v>
                </c:pt>
                <c:pt idx="4">
                  <c:v>0.26377848999999998</c:v>
                </c:pt>
                <c:pt idx="5">
                  <c:v>0.24833232</c:v>
                </c:pt>
                <c:pt idx="6">
                  <c:v>0.23288543</c:v>
                </c:pt>
                <c:pt idx="7">
                  <c:v>0.21746166</c:v>
                </c:pt>
                <c:pt idx="8">
                  <c:v>0.20212706999999999</c:v>
                </c:pt>
                <c:pt idx="9">
                  <c:v>0.18698888</c:v>
                </c:pt>
                <c:pt idx="10">
                  <c:v>0.17218417</c:v>
                </c:pt>
                <c:pt idx="11">
                  <c:v>0.15786089</c:v>
                </c:pt>
                <c:pt idx="12">
                  <c:v>0.14415718</c:v>
                </c:pt>
                <c:pt idx="13">
                  <c:v>0.13118539000000001</c:v>
                </c:pt>
                <c:pt idx="14">
                  <c:v>0.11902401999999999</c:v>
                </c:pt>
                <c:pt idx="15">
                  <c:v>0.10771691999999999</c:v>
                </c:pt>
                <c:pt idx="16">
                  <c:v>9.7277329999999995E-2</c:v>
                </c:pt>
                <c:pt idx="17">
                  <c:v>8.7694179999999997E-2</c:v>
                </c:pt>
                <c:pt idx="18">
                  <c:v>7.8938649999999999E-2</c:v>
                </c:pt>
                <c:pt idx="19">
                  <c:v>7.0969930000000001E-2</c:v>
                </c:pt>
              </c:numCache>
            </c:numRef>
          </c:yVal>
          <c:smooth val="1"/>
          <c:extLst>
            <c:ext xmlns:c16="http://schemas.microsoft.com/office/drawing/2014/chart" uri="{C3380CC4-5D6E-409C-BE32-E72D297353CC}">
              <c16:uniqueId val="{00000003-C59A-4B83-B5AD-A2719B5966A7}"/>
            </c:ext>
          </c:extLst>
        </c:ser>
        <c:ser>
          <c:idx val="4"/>
          <c:order val="4"/>
          <c:spPr>
            <a:ln w="19050" cmpd="sng">
              <a:solidFill>
                <a:schemeClr val="bg1">
                  <a:lumMod val="85000"/>
                </a:schemeClr>
              </a:solidFill>
              <a:prstDash val="dash"/>
            </a:ln>
          </c:spPr>
          <c:marker>
            <c:symbol val="none"/>
          </c:marker>
          <c:xVal>
            <c:numRef>
              <c:f>'[New_models_graphs_table (1).xlsx]Power.bin'!$B$2:$B$21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155.1073652233186</c:v>
                </c:pt>
                <c:pt idx="7">
                  <c:v>166.8800758862991</c:v>
                </c:pt>
                <c:pt idx="8">
                  <c:v>179.54634176275559</c:v>
                </c:pt>
                <c:pt idx="9">
                  <c:v>193.1739804575796</c:v>
                </c:pt>
                <c:pt idx="10">
                  <c:v>207.8359644235756</c:v>
                </c:pt>
                <c:pt idx="11">
                  <c:v>223.61079672117421</c:v>
                </c:pt>
                <c:pt idx="12">
                  <c:v>240.58294746519971</c:v>
                </c:pt>
                <c:pt idx="13">
                  <c:v>258.84328878991329</c:v>
                </c:pt>
                <c:pt idx="14">
                  <c:v>278.48960006306521</c:v>
                </c:pt>
                <c:pt idx="15">
                  <c:v>299.62707138476031</c:v>
                </c:pt>
                <c:pt idx="16">
                  <c:v>322.36888840388218</c:v>
                </c:pt>
                <c:pt idx="17">
                  <c:v>346.83681514908449</c:v>
                </c:pt>
                <c:pt idx="18">
                  <c:v>373.16187098987228</c:v>
                </c:pt>
                <c:pt idx="19">
                  <c:v>401.4850052994201</c:v>
                </c:pt>
              </c:numCache>
            </c:numRef>
          </c:xVal>
          <c:yVal>
            <c:numRef>
              <c:f>'[New_models_graphs_table (1).xlsx]Power.bin'!$H$97:$H$116</c:f>
              <c:numCache>
                <c:formatCode>General</c:formatCode>
                <c:ptCount val="20"/>
                <c:pt idx="0">
                  <c:v>0.79771510000000001</c:v>
                </c:pt>
                <c:pt idx="1">
                  <c:v>0.72016279999999999</c:v>
                </c:pt>
                <c:pt idx="2">
                  <c:v>0.65148810000000001</c:v>
                </c:pt>
                <c:pt idx="3">
                  <c:v>0.59081189999999995</c:v>
                </c:pt>
                <c:pt idx="4">
                  <c:v>0.53734800000000005</c:v>
                </c:pt>
                <c:pt idx="5">
                  <c:v>0.49038510000000002</c:v>
                </c:pt>
                <c:pt idx="6">
                  <c:v>0.449266</c:v>
                </c:pt>
                <c:pt idx="7">
                  <c:v>0.41336970000000001</c:v>
                </c:pt>
                <c:pt idx="8">
                  <c:v>0.38209579999999999</c:v>
                </c:pt>
                <c:pt idx="9">
                  <c:v>0.35485949999999999</c:v>
                </c:pt>
                <c:pt idx="10">
                  <c:v>0.33109640000000001</c:v>
                </c:pt>
                <c:pt idx="11">
                  <c:v>0.3102762</c:v>
                </c:pt>
                <c:pt idx="12">
                  <c:v>0.29191889999999998</c:v>
                </c:pt>
                <c:pt idx="13">
                  <c:v>0.27560590000000001</c:v>
                </c:pt>
                <c:pt idx="14">
                  <c:v>0.26098450000000001</c:v>
                </c:pt>
                <c:pt idx="15">
                  <c:v>0.2477655</c:v>
                </c:pt>
                <c:pt idx="16">
                  <c:v>0.2357158</c:v>
                </c:pt>
                <c:pt idx="17">
                  <c:v>0.22464919999999999</c:v>
                </c:pt>
                <c:pt idx="18">
                  <c:v>0.2144181</c:v>
                </c:pt>
                <c:pt idx="19">
                  <c:v>0.2049048</c:v>
                </c:pt>
              </c:numCache>
            </c:numRef>
          </c:yVal>
          <c:smooth val="1"/>
          <c:extLst>
            <c:ext xmlns:c16="http://schemas.microsoft.com/office/drawing/2014/chart" uri="{C3380CC4-5D6E-409C-BE32-E72D297353CC}">
              <c16:uniqueId val="{00000004-C59A-4B83-B5AD-A2719B5966A7}"/>
            </c:ext>
          </c:extLst>
        </c:ser>
        <c:ser>
          <c:idx val="5"/>
          <c:order val="5"/>
          <c:spPr>
            <a:ln w="19050" cmpd="sng">
              <a:solidFill>
                <a:schemeClr val="bg1">
                  <a:lumMod val="65000"/>
                </a:schemeClr>
              </a:solidFill>
              <a:prstDash val="dash"/>
            </a:ln>
          </c:spPr>
          <c:marker>
            <c:symbol val="none"/>
          </c:marker>
          <c:xVal>
            <c:numRef>
              <c:f>'[New_models_graphs_table (1).xlsx]Power.bin'!$B$2:$B$21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155.1073652233186</c:v>
                </c:pt>
                <c:pt idx="7">
                  <c:v>166.8800758862991</c:v>
                </c:pt>
                <c:pt idx="8">
                  <c:v>179.54634176275559</c:v>
                </c:pt>
                <c:pt idx="9">
                  <c:v>193.1739804575796</c:v>
                </c:pt>
                <c:pt idx="10">
                  <c:v>207.8359644235756</c:v>
                </c:pt>
                <c:pt idx="11">
                  <c:v>223.61079672117421</c:v>
                </c:pt>
                <c:pt idx="12">
                  <c:v>240.58294746519971</c:v>
                </c:pt>
                <c:pt idx="13">
                  <c:v>258.84328878991329</c:v>
                </c:pt>
                <c:pt idx="14">
                  <c:v>278.48960006306521</c:v>
                </c:pt>
                <c:pt idx="15">
                  <c:v>299.62707138476031</c:v>
                </c:pt>
                <c:pt idx="16">
                  <c:v>322.36888840388218</c:v>
                </c:pt>
                <c:pt idx="17">
                  <c:v>346.83681514908449</c:v>
                </c:pt>
                <c:pt idx="18">
                  <c:v>373.16187098987228</c:v>
                </c:pt>
                <c:pt idx="19">
                  <c:v>401.4850052994201</c:v>
                </c:pt>
              </c:numCache>
            </c:numRef>
          </c:xVal>
          <c:yVal>
            <c:numRef>
              <c:f>'[New_models_graphs_table (1).xlsx]Power.bin'!$L$97:$L$116</c:f>
              <c:numCache>
                <c:formatCode>General</c:formatCode>
                <c:ptCount val="20"/>
                <c:pt idx="0">
                  <c:v>0.27865810000000002</c:v>
                </c:pt>
                <c:pt idx="1">
                  <c:v>0.27516109999999999</c:v>
                </c:pt>
                <c:pt idx="2">
                  <c:v>0.27198990000000001</c:v>
                </c:pt>
                <c:pt idx="3">
                  <c:v>0.26919100000000001</c:v>
                </c:pt>
                <c:pt idx="4">
                  <c:v>0.26682250000000002</c:v>
                </c:pt>
                <c:pt idx="5">
                  <c:v>0.26495669999999999</c:v>
                </c:pt>
                <c:pt idx="6">
                  <c:v>0.26368190000000002</c:v>
                </c:pt>
                <c:pt idx="7">
                  <c:v>0.2631039</c:v>
                </c:pt>
                <c:pt idx="8">
                  <c:v>0.26334419999999997</c:v>
                </c:pt>
                <c:pt idx="9">
                  <c:v>0.26453589999999999</c:v>
                </c:pt>
                <c:pt idx="10">
                  <c:v>0.26681329999999998</c:v>
                </c:pt>
                <c:pt idx="11">
                  <c:v>0.27029890000000001</c:v>
                </c:pt>
                <c:pt idx="12">
                  <c:v>0.2750881</c:v>
                </c:pt>
                <c:pt idx="13">
                  <c:v>0.28123930000000003</c:v>
                </c:pt>
                <c:pt idx="14">
                  <c:v>0.28877140000000001</c:v>
                </c:pt>
                <c:pt idx="15">
                  <c:v>0.29767179999999999</c:v>
                </c:pt>
                <c:pt idx="16">
                  <c:v>0.3079075</c:v>
                </c:pt>
                <c:pt idx="17">
                  <c:v>0.31943860000000002</c:v>
                </c:pt>
                <c:pt idx="18">
                  <c:v>0.33222760000000001</c:v>
                </c:pt>
                <c:pt idx="19">
                  <c:v>0.3462459</c:v>
                </c:pt>
              </c:numCache>
            </c:numRef>
          </c:yVal>
          <c:smooth val="1"/>
          <c:extLst>
            <c:ext xmlns:c16="http://schemas.microsoft.com/office/drawing/2014/chart" uri="{C3380CC4-5D6E-409C-BE32-E72D297353CC}">
              <c16:uniqueId val="{00000005-C59A-4B83-B5AD-A2719B5966A7}"/>
            </c:ext>
          </c:extLst>
        </c:ser>
        <c:ser>
          <c:idx val="6"/>
          <c:order val="6"/>
          <c:tx>
            <c:v>Control</c:v>
          </c:tx>
          <c:spPr>
            <a:ln w="28575">
              <a:solidFill>
                <a:schemeClr val="tx1">
                  <a:lumMod val="75000"/>
                  <a:lumOff val="25000"/>
                </a:schemeClr>
              </a:solidFill>
            </a:ln>
          </c:spPr>
          <c:marker>
            <c:symbol val="none"/>
          </c:marker>
          <c:xVal>
            <c:numRef>
              <c:f>'[New_models_graphs_table (1).xlsx]Power.bin'!$B$42:$B$61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155.1073652233186</c:v>
                </c:pt>
                <c:pt idx="7">
                  <c:v>166.8800758862991</c:v>
                </c:pt>
                <c:pt idx="8">
                  <c:v>179.54634176275559</c:v>
                </c:pt>
                <c:pt idx="9">
                  <c:v>193.1739804575796</c:v>
                </c:pt>
                <c:pt idx="10">
                  <c:v>207.8359644235756</c:v>
                </c:pt>
                <c:pt idx="11">
                  <c:v>223.61079672117421</c:v>
                </c:pt>
                <c:pt idx="12">
                  <c:v>240.58294746519971</c:v>
                </c:pt>
                <c:pt idx="13">
                  <c:v>258.84328878991329</c:v>
                </c:pt>
                <c:pt idx="14">
                  <c:v>278.48960006306521</c:v>
                </c:pt>
                <c:pt idx="15">
                  <c:v>299.62707138476031</c:v>
                </c:pt>
                <c:pt idx="16">
                  <c:v>322.36888840388218</c:v>
                </c:pt>
                <c:pt idx="17">
                  <c:v>346.83681514908449</c:v>
                </c:pt>
                <c:pt idx="18">
                  <c:v>373.16187098987228</c:v>
                </c:pt>
                <c:pt idx="19">
                  <c:v>401.4850052994201</c:v>
                </c:pt>
              </c:numCache>
            </c:numRef>
          </c:xVal>
          <c:yVal>
            <c:numRef>
              <c:f>'[New_models_graphs_table (1).xlsx]Power.bin'!$F$97:$F$116</c:f>
              <c:numCache>
                <c:formatCode>General</c:formatCode>
                <c:ptCount val="20"/>
                <c:pt idx="0">
                  <c:v>0.1512848</c:v>
                </c:pt>
                <c:pt idx="1">
                  <c:v>0.15170429999999999</c:v>
                </c:pt>
                <c:pt idx="2">
                  <c:v>0.15212490000000001</c:v>
                </c:pt>
                <c:pt idx="3">
                  <c:v>0.15254680000000001</c:v>
                </c:pt>
                <c:pt idx="4">
                  <c:v>0.15296979999999999</c:v>
                </c:pt>
                <c:pt idx="5">
                  <c:v>0.1533939</c:v>
                </c:pt>
                <c:pt idx="6">
                  <c:v>0.15381929999999999</c:v>
                </c:pt>
                <c:pt idx="7">
                  <c:v>0.15424579999999999</c:v>
                </c:pt>
                <c:pt idx="8">
                  <c:v>0.15467349999999999</c:v>
                </c:pt>
                <c:pt idx="9">
                  <c:v>0.1551024</c:v>
                </c:pt>
                <c:pt idx="10">
                  <c:v>0.15553249999999999</c:v>
                </c:pt>
                <c:pt idx="11">
                  <c:v>0.15596370000000001</c:v>
                </c:pt>
                <c:pt idx="12">
                  <c:v>0.15639620000000001</c:v>
                </c:pt>
                <c:pt idx="13">
                  <c:v>0.15682989999999999</c:v>
                </c:pt>
                <c:pt idx="14">
                  <c:v>0.15726470000000001</c:v>
                </c:pt>
                <c:pt idx="15">
                  <c:v>0.1577008</c:v>
                </c:pt>
                <c:pt idx="16">
                  <c:v>0.1581381</c:v>
                </c:pt>
                <c:pt idx="17">
                  <c:v>0.15857660000000001</c:v>
                </c:pt>
                <c:pt idx="18">
                  <c:v>0.1590163</c:v>
                </c:pt>
                <c:pt idx="19">
                  <c:v>0.15945719999999999</c:v>
                </c:pt>
              </c:numCache>
            </c:numRef>
          </c:yVal>
          <c:smooth val="1"/>
          <c:extLst>
            <c:ext xmlns:c16="http://schemas.microsoft.com/office/drawing/2014/chart" uri="{C3380CC4-5D6E-409C-BE32-E72D297353CC}">
              <c16:uniqueId val="{00000006-C59A-4B83-B5AD-A2719B5966A7}"/>
            </c:ext>
          </c:extLst>
        </c:ser>
        <c:ser>
          <c:idx val="7"/>
          <c:order val="7"/>
          <c:spPr>
            <a:ln w="19050">
              <a:solidFill>
                <a:schemeClr val="tx1">
                  <a:lumMod val="75000"/>
                  <a:lumOff val="25000"/>
                </a:schemeClr>
              </a:solidFill>
              <a:prstDash val="dash"/>
            </a:ln>
          </c:spPr>
          <c:marker>
            <c:symbol val="none"/>
          </c:marker>
          <c:xVal>
            <c:numRef>
              <c:f>'[New_models_graphs_table (1).xlsx]Power.bin'!$B$42:$B$61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155.1073652233186</c:v>
                </c:pt>
                <c:pt idx="7">
                  <c:v>166.8800758862991</c:v>
                </c:pt>
                <c:pt idx="8">
                  <c:v>179.54634176275559</c:v>
                </c:pt>
                <c:pt idx="9">
                  <c:v>193.1739804575796</c:v>
                </c:pt>
                <c:pt idx="10">
                  <c:v>207.8359644235756</c:v>
                </c:pt>
                <c:pt idx="11">
                  <c:v>223.61079672117421</c:v>
                </c:pt>
                <c:pt idx="12">
                  <c:v>240.58294746519971</c:v>
                </c:pt>
                <c:pt idx="13">
                  <c:v>258.84328878991329</c:v>
                </c:pt>
                <c:pt idx="14">
                  <c:v>278.48960006306521</c:v>
                </c:pt>
                <c:pt idx="15">
                  <c:v>299.62707138476031</c:v>
                </c:pt>
                <c:pt idx="16">
                  <c:v>322.36888840388218</c:v>
                </c:pt>
                <c:pt idx="17">
                  <c:v>346.83681514908449</c:v>
                </c:pt>
                <c:pt idx="18">
                  <c:v>373.16187098987228</c:v>
                </c:pt>
                <c:pt idx="19">
                  <c:v>401.4850052994201</c:v>
                </c:pt>
              </c:numCache>
            </c:numRef>
          </c:xVal>
          <c:yVal>
            <c:numRef>
              <c:f>'[New_models_graphs_table (1).xlsx]Power.bin'!$E$97:$E$116</c:f>
              <c:numCache>
                <c:formatCode>General</c:formatCode>
                <c:ptCount val="20"/>
                <c:pt idx="0">
                  <c:v>0.10111203000000001</c:v>
                </c:pt>
                <c:pt idx="1">
                  <c:v>0.10369587</c:v>
                </c:pt>
                <c:pt idx="2">
                  <c:v>0.10624652</c:v>
                </c:pt>
                <c:pt idx="3">
                  <c:v>0.10873896</c:v>
                </c:pt>
                <c:pt idx="4">
                  <c:v>0.11114254</c:v>
                </c:pt>
                <c:pt idx="5">
                  <c:v>0.11342032000000001</c:v>
                </c:pt>
                <c:pt idx="6">
                  <c:v>0.11552901</c:v>
                </c:pt>
                <c:pt idx="7">
                  <c:v>0.11741981</c:v>
                </c:pt>
                <c:pt idx="8">
                  <c:v>0.11904061000000001</c:v>
                </c:pt>
                <c:pt idx="9">
                  <c:v>0.12034013</c:v>
                </c:pt>
                <c:pt idx="10">
                  <c:v>0.12127367999999999</c:v>
                </c:pt>
                <c:pt idx="11">
                  <c:v>0.12180959</c:v>
                </c:pt>
                <c:pt idx="12">
                  <c:v>0.12193455</c:v>
                </c:pt>
                <c:pt idx="13">
                  <c:v>0.12165578000000001</c:v>
                </c:pt>
                <c:pt idx="14">
                  <c:v>0.12099923999999999</c:v>
                </c:pt>
                <c:pt idx="15">
                  <c:v>0.12000469</c:v>
                </c:pt>
                <c:pt idx="16">
                  <c:v>0.11871942000000001</c:v>
                </c:pt>
                <c:pt idx="17">
                  <c:v>0.11719251</c:v>
                </c:pt>
                <c:pt idx="18">
                  <c:v>0.11547067</c:v>
                </c:pt>
                <c:pt idx="19">
                  <c:v>0.11359587</c:v>
                </c:pt>
              </c:numCache>
            </c:numRef>
          </c:yVal>
          <c:smooth val="1"/>
          <c:extLst>
            <c:ext xmlns:c16="http://schemas.microsoft.com/office/drawing/2014/chart" uri="{C3380CC4-5D6E-409C-BE32-E72D297353CC}">
              <c16:uniqueId val="{00000007-C59A-4B83-B5AD-A2719B5966A7}"/>
            </c:ext>
          </c:extLst>
        </c:ser>
        <c:ser>
          <c:idx val="8"/>
          <c:order val="8"/>
          <c:spPr>
            <a:ln w="19050">
              <a:solidFill>
                <a:schemeClr val="tx1">
                  <a:lumMod val="75000"/>
                  <a:lumOff val="25000"/>
                </a:schemeClr>
              </a:solidFill>
              <a:prstDash val="dash"/>
            </a:ln>
          </c:spPr>
          <c:marker>
            <c:symbol val="none"/>
          </c:marker>
          <c:xVal>
            <c:numRef>
              <c:f>'[New_models_graphs_table (1).xlsx]Power.bin'!$B$42:$B$61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155.1073652233186</c:v>
                </c:pt>
                <c:pt idx="7">
                  <c:v>166.8800758862991</c:v>
                </c:pt>
                <c:pt idx="8">
                  <c:v>179.54634176275559</c:v>
                </c:pt>
                <c:pt idx="9">
                  <c:v>193.1739804575796</c:v>
                </c:pt>
                <c:pt idx="10">
                  <c:v>207.8359644235756</c:v>
                </c:pt>
                <c:pt idx="11">
                  <c:v>223.61079672117421</c:v>
                </c:pt>
                <c:pt idx="12">
                  <c:v>240.58294746519971</c:v>
                </c:pt>
                <c:pt idx="13">
                  <c:v>258.84328878991329</c:v>
                </c:pt>
                <c:pt idx="14">
                  <c:v>278.48960006306521</c:v>
                </c:pt>
                <c:pt idx="15">
                  <c:v>299.62707138476031</c:v>
                </c:pt>
                <c:pt idx="16">
                  <c:v>322.36888840388218</c:v>
                </c:pt>
                <c:pt idx="17">
                  <c:v>346.83681514908449</c:v>
                </c:pt>
                <c:pt idx="18">
                  <c:v>373.16187098987228</c:v>
                </c:pt>
                <c:pt idx="19">
                  <c:v>401.4850052994201</c:v>
                </c:pt>
              </c:numCache>
            </c:numRef>
          </c:xVal>
          <c:yVal>
            <c:numRef>
              <c:f>'[New_models_graphs_table (1).xlsx]Power.bin'!$D$97:$D$116</c:f>
              <c:numCache>
                <c:formatCode>General</c:formatCode>
                <c:ptCount val="20"/>
                <c:pt idx="0">
                  <c:v>0.22635379999999999</c:v>
                </c:pt>
                <c:pt idx="1">
                  <c:v>0.22193930000000001</c:v>
                </c:pt>
                <c:pt idx="2">
                  <c:v>0.21781420000000001</c:v>
                </c:pt>
                <c:pt idx="3">
                  <c:v>0.21400350000000001</c:v>
                </c:pt>
                <c:pt idx="4">
                  <c:v>0.21053820000000001</c:v>
                </c:pt>
                <c:pt idx="5">
                  <c:v>0.2074558</c:v>
                </c:pt>
                <c:pt idx="6">
                  <c:v>0.20480019999999999</c:v>
                </c:pt>
                <c:pt idx="7">
                  <c:v>0.20262140000000001</c:v>
                </c:pt>
                <c:pt idx="8">
                  <c:v>0.2009725</c:v>
                </c:pt>
                <c:pt idx="9">
                  <c:v>0.19990630000000001</c:v>
                </c:pt>
                <c:pt idx="10">
                  <c:v>0.19946910000000001</c:v>
                </c:pt>
                <c:pt idx="11">
                  <c:v>0.19969429999999999</c:v>
                </c:pt>
                <c:pt idx="12">
                  <c:v>0.20059750000000001</c:v>
                </c:pt>
                <c:pt idx="13">
                  <c:v>0.20217379999999999</c:v>
                </c:pt>
                <c:pt idx="14">
                  <c:v>0.20439959999999999</c:v>
                </c:pt>
                <c:pt idx="15">
                  <c:v>0.20723810000000001</c:v>
                </c:pt>
                <c:pt idx="16">
                  <c:v>0.210645</c:v>
                </c:pt>
                <c:pt idx="17">
                  <c:v>0.2145746</c:v>
                </c:pt>
                <c:pt idx="18">
                  <c:v>0.2189836</c:v>
                </c:pt>
                <c:pt idx="19">
                  <c:v>0.2238339</c:v>
                </c:pt>
              </c:numCache>
            </c:numRef>
          </c:yVal>
          <c:smooth val="1"/>
          <c:extLst>
            <c:ext xmlns:c16="http://schemas.microsoft.com/office/drawing/2014/chart" uri="{C3380CC4-5D6E-409C-BE32-E72D297353CC}">
              <c16:uniqueId val="{00000008-C59A-4B83-B5AD-A2719B5966A7}"/>
            </c:ext>
          </c:extLst>
        </c:ser>
        <c:dLbls>
          <c:showLegendKey val="0"/>
          <c:showVal val="0"/>
          <c:showCatName val="0"/>
          <c:showSerName val="0"/>
          <c:showPercent val="0"/>
          <c:showBubbleSize val="0"/>
        </c:dLbls>
        <c:axId val="189436496"/>
        <c:axId val="189436888"/>
      </c:scatterChart>
      <c:valAx>
        <c:axId val="189436496"/>
        <c:scaling>
          <c:orientation val="minMax"/>
          <c:max val="400"/>
          <c:min val="100"/>
        </c:scaling>
        <c:delete val="0"/>
        <c:axPos val="b"/>
        <c:title>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Distance from center point (m)</a:t>
                </a:r>
              </a:p>
            </c:rich>
          </c:tx>
          <c:layout>
            <c:manualLayout>
              <c:xMode val="edge"/>
              <c:yMode val="edge"/>
              <c:x val="0.30124114131184265"/>
              <c:y val="0.88230445283107262"/>
            </c:manualLayout>
          </c:layout>
          <c:overlay val="0"/>
        </c:title>
        <c:numFmt formatCode="General" sourceLinked="1"/>
        <c:majorTickMark val="out"/>
        <c:minorTickMark val="none"/>
        <c:tickLblPos val="nextTo"/>
        <c:spPr>
          <a:ln w="9525"/>
        </c:spPr>
        <c:txPr>
          <a:bodyPr/>
          <a:lstStyle/>
          <a:p>
            <a:pPr>
              <a:defRPr>
                <a:latin typeface="Cambria" panose="02040503050406030204" pitchFamily="18" charset="0"/>
                <a:cs typeface="Times New Roman" panose="02020603050405020304" pitchFamily="18" charset="0"/>
              </a:defRPr>
            </a:pPr>
            <a:endParaRPr lang="en-US"/>
          </a:p>
        </c:txPr>
        <c:crossAx val="189436888"/>
        <c:crosses val="autoZero"/>
        <c:crossBetween val="midCat"/>
        <c:majorUnit val="100"/>
      </c:valAx>
      <c:valAx>
        <c:axId val="189436888"/>
        <c:scaling>
          <c:orientation val="minMax"/>
        </c:scaling>
        <c:delete val="0"/>
        <c:axPos val="l"/>
        <c:title>
          <c:tx>
            <c:rich>
              <a:bodyPr rot="-5400000" vert="horz"/>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Western</a:t>
                </a:r>
                <a:r>
                  <a:rPr lang="en-US" baseline="0">
                    <a:latin typeface="Times New Roman" panose="02020603050405020304" pitchFamily="18" charset="0"/>
                    <a:cs typeface="Times New Roman" panose="02020603050405020304" pitchFamily="18" charset="0"/>
                  </a:rPr>
                  <a:t> meadowlarks per hectare</a:t>
                </a:r>
                <a:endParaRPr lang="en-US">
                  <a:latin typeface="Times New Roman" panose="02020603050405020304" pitchFamily="18" charset="0"/>
                  <a:cs typeface="Times New Roman" panose="02020603050405020304" pitchFamily="18" charset="0"/>
                </a:endParaRPr>
              </a:p>
            </c:rich>
          </c:tx>
          <c:overlay val="0"/>
        </c:title>
        <c:numFmt formatCode="General" sourceLinked="1"/>
        <c:majorTickMark val="out"/>
        <c:minorTickMark val="none"/>
        <c:tickLblPos val="nextTo"/>
        <c:spPr>
          <a:ln w="9525"/>
        </c:spPr>
        <c:txPr>
          <a:bodyPr/>
          <a:lstStyle/>
          <a:p>
            <a:pPr>
              <a:defRPr>
                <a:latin typeface="Times New Roman" panose="02020603050405020304" pitchFamily="18" charset="0"/>
                <a:cs typeface="Times New Roman" panose="02020603050405020304" pitchFamily="18" charset="0"/>
              </a:defRPr>
            </a:pPr>
            <a:endParaRPr lang="en-US"/>
          </a:p>
        </c:txPr>
        <c:crossAx val="189436496"/>
        <c:crosses val="autoZero"/>
        <c:crossBetween val="midCat"/>
      </c:valAx>
    </c:plotArea>
    <c:legend>
      <c:legendPos val="b"/>
      <c:legendEntry>
        <c:idx val="2"/>
        <c:delete val="1"/>
      </c:legendEntry>
      <c:legendEntry>
        <c:idx val="3"/>
        <c:delete val="1"/>
      </c:legendEntry>
      <c:legendEntry>
        <c:idx val="4"/>
        <c:delete val="1"/>
      </c:legendEntry>
      <c:legendEntry>
        <c:idx val="5"/>
        <c:delete val="1"/>
      </c:legendEntry>
      <c:legendEntry>
        <c:idx val="7"/>
        <c:delete val="1"/>
      </c:legendEntry>
      <c:legendEntry>
        <c:idx val="8"/>
        <c:delete val="1"/>
      </c:legendEntry>
      <c:layout>
        <c:manualLayout>
          <c:xMode val="edge"/>
          <c:yMode val="edge"/>
          <c:x val="0.21915932016400555"/>
          <c:y val="7.650739665476354E-2"/>
          <c:w val="0.71241495472306704"/>
          <c:h val="0.15491096095011431"/>
        </c:manualLayout>
      </c:layout>
      <c:overlay val="0"/>
      <c:txPr>
        <a:bodyPr/>
        <a:lstStyle/>
        <a:p>
          <a:pPr>
            <a:defRPr sz="1000">
              <a:latin typeface="Cambria" panose="02040503050406030204" pitchFamily="18" charset="0"/>
              <a:cs typeface="Times New Roman" panose="02020603050405020304" pitchFamily="18" charset="0"/>
            </a:defRPr>
          </a:pPr>
          <a:endParaRPr lang="en-US"/>
        </a:p>
      </c:txPr>
    </c:legend>
    <c:plotVisOnly val="1"/>
    <c:dispBlanksAs val="gap"/>
    <c:showDLblsOverMax val="0"/>
  </c:chart>
  <c:spPr>
    <a:ln>
      <a:noFill/>
    </a:ln>
  </c:sp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51839213234281"/>
          <c:y val="2.61971235703327E-2"/>
          <c:w val="0.71161306048049511"/>
          <c:h val="0.83933307936229495"/>
        </c:manualLayout>
      </c:layout>
      <c:barChart>
        <c:barDir val="col"/>
        <c:grouping val="clustered"/>
        <c:varyColors val="0"/>
        <c:ser>
          <c:idx val="0"/>
          <c:order val="0"/>
          <c:tx>
            <c:v>Control</c:v>
          </c:tx>
          <c:spPr>
            <a:solidFill>
              <a:srgbClr val="595959"/>
            </a:solidFill>
            <a:ln>
              <a:solidFill>
                <a:srgbClr val="595959"/>
              </a:solidFill>
            </a:ln>
          </c:spPr>
          <c:invertIfNegative val="0"/>
          <c:errBars>
            <c:errBarType val="both"/>
            <c:errValType val="cust"/>
            <c:noEndCap val="0"/>
            <c:plus>
              <c:numRef>
                <c:f>('causes.site'!$C$4,'causes.site'!$F$76)</c:f>
                <c:numCache>
                  <c:formatCode>General</c:formatCode>
                  <c:ptCount val="2"/>
                  <c:pt idx="0">
                    <c:v>1.3967939</c:v>
                  </c:pt>
                  <c:pt idx="1">
                    <c:v>0.99021349999999997</c:v>
                  </c:pt>
                </c:numCache>
              </c:numRef>
            </c:plus>
            <c:minus>
              <c:numRef>
                <c:f>('causes.site'!$C$4,'causes.site'!$F$76)</c:f>
                <c:numCache>
                  <c:formatCode>General</c:formatCode>
                  <c:ptCount val="2"/>
                  <c:pt idx="0">
                    <c:v>1.3967939</c:v>
                  </c:pt>
                  <c:pt idx="1">
                    <c:v>0.99021349999999997</c:v>
                  </c:pt>
                </c:numCache>
              </c:numRef>
            </c:minus>
          </c:errBars>
          <c:cat>
            <c:strRef>
              <c:f>('causes.site'!$A$1,'causes.site'!$A$74)</c:f>
              <c:strCache>
                <c:ptCount val="2"/>
                <c:pt idx="0">
                  <c:v>Sprague's pipit</c:v>
                </c:pt>
                <c:pt idx="1">
                  <c:v>Baird's sparrow</c:v>
                </c:pt>
              </c:strCache>
            </c:strRef>
          </c:cat>
          <c:val>
            <c:numRef>
              <c:f>('causes.site'!$F$4,'causes.site'!$I$76)</c:f>
              <c:numCache>
                <c:formatCode>General</c:formatCode>
                <c:ptCount val="2"/>
                <c:pt idx="0">
                  <c:v>4.8236270000000001</c:v>
                </c:pt>
                <c:pt idx="1">
                  <c:v>2.9514710000000002</c:v>
                </c:pt>
              </c:numCache>
            </c:numRef>
          </c:val>
          <c:extLst>
            <c:ext xmlns:c16="http://schemas.microsoft.com/office/drawing/2014/chart" uri="{C3380CC4-5D6E-409C-BE32-E72D297353CC}">
              <c16:uniqueId val="{00000000-657A-4217-82C8-8439C22E6098}"/>
            </c:ext>
          </c:extLst>
        </c:ser>
        <c:ser>
          <c:idx val="1"/>
          <c:order val="1"/>
          <c:tx>
            <c:strRef>
              <c:f>'causes.site'!$L$38</c:f>
              <c:strCache>
                <c:ptCount val="1"/>
                <c:pt idx="0">
                  <c:v>Active well</c:v>
                </c:pt>
              </c:strCache>
            </c:strRef>
          </c:tx>
          <c:spPr>
            <a:solidFill>
              <a:schemeClr val="bg1">
                <a:lumMod val="65000"/>
              </a:schemeClr>
            </a:solidFill>
          </c:spPr>
          <c:invertIfNegative val="0"/>
          <c:errBars>
            <c:errBarType val="both"/>
            <c:errValType val="cust"/>
            <c:noEndCap val="0"/>
            <c:plus>
              <c:numRef>
                <c:f>('causes.site'!$C$2,'causes.site'!$F$75)</c:f>
                <c:numCache>
                  <c:formatCode>General</c:formatCode>
                  <c:ptCount val="2"/>
                  <c:pt idx="0">
                    <c:v>0.56962630000000003</c:v>
                  </c:pt>
                  <c:pt idx="1">
                    <c:v>0.4266682</c:v>
                  </c:pt>
                </c:numCache>
              </c:numRef>
            </c:plus>
            <c:minus>
              <c:numRef>
                <c:f>('causes.site'!$C$2,'causes.site'!$F$75)</c:f>
                <c:numCache>
                  <c:formatCode>General</c:formatCode>
                  <c:ptCount val="2"/>
                  <c:pt idx="0">
                    <c:v>0.56962630000000003</c:v>
                  </c:pt>
                  <c:pt idx="1">
                    <c:v>0.4266682</c:v>
                  </c:pt>
                </c:numCache>
              </c:numRef>
            </c:minus>
          </c:errBars>
          <c:val>
            <c:numRef>
              <c:f>('causes.site'!$F$2,'causes.site'!$I$75)</c:f>
              <c:numCache>
                <c:formatCode>General</c:formatCode>
                <c:ptCount val="2"/>
                <c:pt idx="0">
                  <c:v>1.9181550000000001</c:v>
                </c:pt>
                <c:pt idx="1">
                  <c:v>1.1367141000000001</c:v>
                </c:pt>
              </c:numCache>
            </c:numRef>
          </c:val>
          <c:extLst>
            <c:ext xmlns:c16="http://schemas.microsoft.com/office/drawing/2014/chart" uri="{C3380CC4-5D6E-409C-BE32-E72D297353CC}">
              <c16:uniqueId val="{00000001-657A-4217-82C8-8439C22E6098}"/>
            </c:ext>
          </c:extLst>
        </c:ser>
        <c:ser>
          <c:idx val="2"/>
          <c:order val="2"/>
          <c:tx>
            <c:strRef>
              <c:f>'causes.site'!$L$39</c:f>
              <c:strCache>
                <c:ptCount val="1"/>
                <c:pt idx="0">
                  <c:v>Inactive well</c:v>
                </c:pt>
              </c:strCache>
            </c:strRef>
          </c:tx>
          <c:spPr>
            <a:solidFill>
              <a:schemeClr val="bg1">
                <a:lumMod val="85000"/>
              </a:schemeClr>
            </a:solidFill>
          </c:spPr>
          <c:invertIfNegative val="0"/>
          <c:errBars>
            <c:errBarType val="both"/>
            <c:errValType val="cust"/>
            <c:noEndCap val="0"/>
            <c:plus>
              <c:numRef>
                <c:f>('causes.site'!$C$3,'causes.site'!$F$77)</c:f>
                <c:numCache>
                  <c:formatCode>General</c:formatCode>
                  <c:ptCount val="2"/>
                  <c:pt idx="0">
                    <c:v>0.57733199999999996</c:v>
                  </c:pt>
                  <c:pt idx="1">
                    <c:v>0.35510330000000001</c:v>
                  </c:pt>
                </c:numCache>
              </c:numRef>
            </c:plus>
            <c:minus>
              <c:numRef>
                <c:f>('causes.site'!$C$3,'causes.site'!$F$77)</c:f>
                <c:numCache>
                  <c:formatCode>General</c:formatCode>
                  <c:ptCount val="2"/>
                  <c:pt idx="0">
                    <c:v>0.57733199999999996</c:v>
                  </c:pt>
                  <c:pt idx="1">
                    <c:v>0.35510330000000001</c:v>
                  </c:pt>
                </c:numCache>
              </c:numRef>
            </c:minus>
          </c:errBars>
          <c:val>
            <c:numRef>
              <c:f>('causes.site'!$F$3,'causes.site'!$I$77)</c:f>
              <c:numCache>
                <c:formatCode>General</c:formatCode>
                <c:ptCount val="2"/>
                <c:pt idx="0">
                  <c:v>2.113553</c:v>
                </c:pt>
                <c:pt idx="1">
                  <c:v>0.96400989999999998</c:v>
                </c:pt>
              </c:numCache>
            </c:numRef>
          </c:val>
          <c:extLst>
            <c:ext xmlns:c16="http://schemas.microsoft.com/office/drawing/2014/chart" uri="{C3380CC4-5D6E-409C-BE32-E72D297353CC}">
              <c16:uniqueId val="{00000002-657A-4217-82C8-8439C22E6098}"/>
            </c:ext>
          </c:extLst>
        </c:ser>
        <c:dLbls>
          <c:showLegendKey val="0"/>
          <c:showVal val="0"/>
          <c:showCatName val="0"/>
          <c:showSerName val="0"/>
          <c:showPercent val="0"/>
          <c:showBubbleSize val="0"/>
        </c:dLbls>
        <c:gapWidth val="150"/>
        <c:axId val="189437672"/>
        <c:axId val="189438064"/>
      </c:barChart>
      <c:catAx>
        <c:axId val="189437672"/>
        <c:scaling>
          <c:orientation val="minMax"/>
        </c:scaling>
        <c:delete val="0"/>
        <c:axPos val="b"/>
        <c:numFmt formatCode="General" sourceLinked="0"/>
        <c:majorTickMark val="out"/>
        <c:minorTickMark val="none"/>
        <c:tickLblPos val="nextTo"/>
        <c:crossAx val="189438064"/>
        <c:crosses val="autoZero"/>
        <c:auto val="1"/>
        <c:lblAlgn val="ctr"/>
        <c:lblOffset val="100"/>
        <c:noMultiLvlLbl val="0"/>
      </c:catAx>
      <c:valAx>
        <c:axId val="189438064"/>
        <c:scaling>
          <c:orientation val="minMax"/>
        </c:scaling>
        <c:delete val="0"/>
        <c:axPos val="l"/>
        <c:title>
          <c:tx>
            <c:rich>
              <a:bodyPr/>
              <a:lstStyle/>
              <a:p>
                <a:pPr>
                  <a:defRPr sz="1000">
                    <a:latin typeface="+mn-lt"/>
                    <a:cs typeface="Times New Roman" panose="02020603050405020304" pitchFamily="18" charset="0"/>
                  </a:defRPr>
                </a:pPr>
                <a:r>
                  <a:rPr lang="en-US" sz="1000">
                    <a:latin typeface="+mn-lt"/>
                    <a:cs typeface="Times New Roman" panose="02020603050405020304" pitchFamily="18" charset="0"/>
                  </a:rPr>
                  <a:t>Birds</a:t>
                </a:r>
                <a:r>
                  <a:rPr lang="en-US" sz="1000" baseline="0">
                    <a:latin typeface="+mn-lt"/>
                    <a:cs typeface="Times New Roman" panose="02020603050405020304" pitchFamily="18" charset="0"/>
                  </a:rPr>
                  <a:t> per site</a:t>
                </a:r>
                <a:endParaRPr lang="en-US" sz="1000">
                  <a:latin typeface="+mn-lt"/>
                  <a:cs typeface="Times New Roman" panose="02020603050405020304" pitchFamily="18" charset="0"/>
                </a:endParaRPr>
              </a:p>
            </c:rich>
          </c:tx>
          <c:overlay val="0"/>
        </c:title>
        <c:numFmt formatCode="General" sourceLinked="1"/>
        <c:majorTickMark val="out"/>
        <c:minorTickMark val="none"/>
        <c:tickLblPos val="nextTo"/>
        <c:crossAx val="189437672"/>
        <c:crosses val="autoZero"/>
        <c:crossBetween val="between"/>
      </c:valAx>
    </c:plotArea>
    <c:legend>
      <c:legendPos val="b"/>
      <c:layout>
        <c:manualLayout>
          <c:xMode val="edge"/>
          <c:yMode val="edge"/>
          <c:x val="0.23098144360487913"/>
          <c:y val="0.1530489367680215"/>
          <c:w val="0.54328672552294599"/>
          <c:h val="6.12693253231964E-2"/>
        </c:manualLayout>
      </c:layout>
      <c:overlay val="0"/>
    </c:legend>
    <c:plotVisOnly val="1"/>
    <c:dispBlanksAs val="gap"/>
    <c:showDLblsOverMax val="0"/>
  </c:chart>
  <c:spPr>
    <a:ln>
      <a:solidFill>
        <a:srgbClr val="FFFFFF"/>
      </a:solidFill>
    </a:ln>
  </c:spPr>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649248389405869"/>
          <c:y val="5.8479532163742687E-2"/>
          <c:w val="0.77243412755223784"/>
          <c:h val="0.73804769619108623"/>
        </c:manualLayout>
      </c:layout>
      <c:scatterChart>
        <c:scatterStyle val="smoothMarker"/>
        <c:varyColors val="0"/>
        <c:ser>
          <c:idx val="0"/>
          <c:order val="0"/>
          <c:spPr>
            <a:ln w="19050" cmpd="sng">
              <a:solidFill>
                <a:schemeClr val="bg1">
                  <a:lumMod val="65000"/>
                </a:schemeClr>
              </a:solidFill>
              <a:prstDash val="dash"/>
            </a:ln>
          </c:spPr>
          <c:marker>
            <c:symbol val="none"/>
          </c:marker>
          <c:xVal>
            <c:numRef>
              <c:f>'causes.site'!$A$53:$A$72</c:f>
              <c:numCache>
                <c:formatCode>General</c:formatCode>
                <c:ptCount val="20"/>
                <c:pt idx="0">
                  <c:v>1</c:v>
                </c:pt>
                <c:pt idx="1">
                  <c:v>1.5515772590000001</c:v>
                </c:pt>
                <c:pt idx="2">
                  <c:v>2.4073919909999999</c:v>
                </c:pt>
                <c:pt idx="3">
                  <c:v>3.7352546659999999</c:v>
                </c:pt>
                <c:pt idx="4">
                  <c:v>5.7955361969999997</c:v>
                </c:pt>
                <c:pt idx="5">
                  <c:v>8.9922221669999995</c:v>
                </c:pt>
                <c:pt idx="6">
                  <c:v>13.95212742</c:v>
                </c:pt>
                <c:pt idx="7">
                  <c:v>21.647803620000001</c:v>
                </c:pt>
                <c:pt idx="8">
                  <c:v>33.588239809999997</c:v>
                </c:pt>
                <c:pt idx="9">
                  <c:v>52.114749060000001</c:v>
                </c:pt>
                <c:pt idx="10">
                  <c:v>80.860059500000006</c:v>
                </c:pt>
                <c:pt idx="11">
                  <c:v>125.4606295</c:v>
                </c:pt>
                <c:pt idx="12">
                  <c:v>194.66185960000001</c:v>
                </c:pt>
                <c:pt idx="13">
                  <c:v>302.0329145</c:v>
                </c:pt>
                <c:pt idx="14">
                  <c:v>468.62740170000001</c:v>
                </c:pt>
                <c:pt idx="15">
                  <c:v>727.1116194</c:v>
                </c:pt>
                <c:pt idx="16">
                  <c:v>1128.1698530000001</c:v>
                </c:pt>
                <c:pt idx="17">
                  <c:v>1750.442689</c:v>
                </c:pt>
                <c:pt idx="18">
                  <c:v>2715.9470689999998</c:v>
                </c:pt>
                <c:pt idx="19">
                  <c:v>4214.0017090000001</c:v>
                </c:pt>
              </c:numCache>
            </c:numRef>
          </c:xVal>
          <c:yVal>
            <c:numRef>
              <c:f>'causes.site'!$B$53:$B$72</c:f>
              <c:numCache>
                <c:formatCode>General</c:formatCode>
                <c:ptCount val="20"/>
                <c:pt idx="0">
                  <c:v>11.298689</c:v>
                </c:pt>
                <c:pt idx="1">
                  <c:v>10.246979</c:v>
                </c:pt>
                <c:pt idx="2">
                  <c:v>9.295814</c:v>
                </c:pt>
                <c:pt idx="3">
                  <c:v>8.4359359999999999</c:v>
                </c:pt>
                <c:pt idx="4">
                  <c:v>7.6590379999999998</c:v>
                </c:pt>
                <c:pt idx="5">
                  <c:v>6.9577099999999996</c:v>
                </c:pt>
                <c:pt idx="6">
                  <c:v>6.3253959999999996</c:v>
                </c:pt>
                <c:pt idx="7">
                  <c:v>5.7563899999999997</c:v>
                </c:pt>
                <c:pt idx="8">
                  <c:v>5.245857</c:v>
                </c:pt>
                <c:pt idx="9">
                  <c:v>4.7899180000000001</c:v>
                </c:pt>
                <c:pt idx="10">
                  <c:v>4.3857759999999999</c:v>
                </c:pt>
                <c:pt idx="11">
                  <c:v>4.0318690000000004</c:v>
                </c:pt>
                <c:pt idx="12">
                  <c:v>3.727824</c:v>
                </c:pt>
                <c:pt idx="13">
                  <c:v>3.4737399999999998</c:v>
                </c:pt>
                <c:pt idx="14">
                  <c:v>3.2683019999999998</c:v>
                </c:pt>
                <c:pt idx="15">
                  <c:v>3.1065860000000001</c:v>
                </c:pt>
                <c:pt idx="16">
                  <c:v>2.9800650000000002</c:v>
                </c:pt>
                <c:pt idx="17">
                  <c:v>2.8792659999999999</c:v>
                </c:pt>
                <c:pt idx="18">
                  <c:v>2.7962630000000002</c:v>
                </c:pt>
                <c:pt idx="19">
                  <c:v>2.7254119999999999</c:v>
                </c:pt>
              </c:numCache>
            </c:numRef>
          </c:yVal>
          <c:smooth val="1"/>
          <c:extLst>
            <c:ext xmlns:c16="http://schemas.microsoft.com/office/drawing/2014/chart" uri="{C3380CC4-5D6E-409C-BE32-E72D297353CC}">
              <c16:uniqueId val="{00000000-40D9-4D61-956C-A399C1799050}"/>
            </c:ext>
          </c:extLst>
        </c:ser>
        <c:ser>
          <c:idx val="1"/>
          <c:order val="1"/>
          <c:spPr>
            <a:ln w="19050" cmpd="sng">
              <a:solidFill>
                <a:schemeClr val="bg1">
                  <a:lumMod val="65000"/>
                </a:schemeClr>
              </a:solidFill>
              <a:prstDash val="dash"/>
            </a:ln>
          </c:spPr>
          <c:marker>
            <c:symbol val="none"/>
          </c:marker>
          <c:xVal>
            <c:numRef>
              <c:f>'causes.site'!$A$53:$A$72</c:f>
              <c:numCache>
                <c:formatCode>General</c:formatCode>
                <c:ptCount val="20"/>
                <c:pt idx="0">
                  <c:v>1</c:v>
                </c:pt>
                <c:pt idx="1">
                  <c:v>1.5515772590000001</c:v>
                </c:pt>
                <c:pt idx="2">
                  <c:v>2.4073919909999999</c:v>
                </c:pt>
                <c:pt idx="3">
                  <c:v>3.7352546659999999</c:v>
                </c:pt>
                <c:pt idx="4">
                  <c:v>5.7955361969999997</c:v>
                </c:pt>
                <c:pt idx="5">
                  <c:v>8.9922221669999995</c:v>
                </c:pt>
                <c:pt idx="6">
                  <c:v>13.95212742</c:v>
                </c:pt>
                <c:pt idx="7">
                  <c:v>21.647803620000001</c:v>
                </c:pt>
                <c:pt idx="8">
                  <c:v>33.588239809999997</c:v>
                </c:pt>
                <c:pt idx="9">
                  <c:v>52.114749060000001</c:v>
                </c:pt>
                <c:pt idx="10">
                  <c:v>80.860059500000006</c:v>
                </c:pt>
                <c:pt idx="11">
                  <c:v>125.4606295</c:v>
                </c:pt>
                <c:pt idx="12">
                  <c:v>194.66185960000001</c:v>
                </c:pt>
                <c:pt idx="13">
                  <c:v>302.0329145</c:v>
                </c:pt>
                <c:pt idx="14">
                  <c:v>468.62740170000001</c:v>
                </c:pt>
                <c:pt idx="15">
                  <c:v>727.1116194</c:v>
                </c:pt>
                <c:pt idx="16">
                  <c:v>1128.1698530000001</c:v>
                </c:pt>
                <c:pt idx="17">
                  <c:v>1750.442689</c:v>
                </c:pt>
                <c:pt idx="18">
                  <c:v>2715.9470689999998</c:v>
                </c:pt>
                <c:pt idx="19">
                  <c:v>4214.0017090000001</c:v>
                </c:pt>
              </c:numCache>
            </c:numRef>
          </c:xVal>
          <c:yVal>
            <c:numRef>
              <c:f>'causes.site'!$C$53:$C$72</c:f>
              <c:numCache>
                <c:formatCode>General</c:formatCode>
                <c:ptCount val="20"/>
                <c:pt idx="0">
                  <c:v>3.3477749999999999</c:v>
                </c:pt>
                <c:pt idx="1">
                  <c:v>3.2911519999999999</c:v>
                </c:pt>
                <c:pt idx="2">
                  <c:v>3.2345640000000002</c:v>
                </c:pt>
                <c:pt idx="3">
                  <c:v>3.1778209999999998</c:v>
                </c:pt>
                <c:pt idx="4">
                  <c:v>3.1206700000000001</c:v>
                </c:pt>
                <c:pt idx="5">
                  <c:v>3.0627759999999999</c:v>
                </c:pt>
                <c:pt idx="6">
                  <c:v>3.0036770000000002</c:v>
                </c:pt>
                <c:pt idx="7">
                  <c:v>2.9427279999999998</c:v>
                </c:pt>
                <c:pt idx="8">
                  <c:v>2.8790110000000002</c:v>
                </c:pt>
                <c:pt idx="9">
                  <c:v>2.8111969999999999</c:v>
                </c:pt>
                <c:pt idx="10">
                  <c:v>2.7373620000000001</c:v>
                </c:pt>
                <c:pt idx="11">
                  <c:v>2.6547990000000001</c:v>
                </c:pt>
                <c:pt idx="12">
                  <c:v>2.5600130000000001</c:v>
                </c:pt>
                <c:pt idx="13">
                  <c:v>2.4493999999999998</c:v>
                </c:pt>
                <c:pt idx="14">
                  <c:v>2.3211020000000002</c:v>
                </c:pt>
                <c:pt idx="15">
                  <c:v>2.1771699999999998</c:v>
                </c:pt>
                <c:pt idx="16">
                  <c:v>2.0235289999999999</c:v>
                </c:pt>
                <c:pt idx="17">
                  <c:v>1.8672949999999999</c:v>
                </c:pt>
                <c:pt idx="18">
                  <c:v>1.7142580000000001</c:v>
                </c:pt>
                <c:pt idx="19">
                  <c:v>1.568127</c:v>
                </c:pt>
              </c:numCache>
            </c:numRef>
          </c:yVal>
          <c:smooth val="1"/>
          <c:extLst>
            <c:ext xmlns:c16="http://schemas.microsoft.com/office/drawing/2014/chart" uri="{C3380CC4-5D6E-409C-BE32-E72D297353CC}">
              <c16:uniqueId val="{00000001-40D9-4D61-956C-A399C1799050}"/>
            </c:ext>
          </c:extLst>
        </c:ser>
        <c:ser>
          <c:idx val="2"/>
          <c:order val="2"/>
          <c:tx>
            <c:strRef>
              <c:f>'causes.site'!$S$59</c:f>
              <c:strCache>
                <c:ptCount val="1"/>
                <c:pt idx="0">
                  <c:v>Sprague's pipit</c:v>
                </c:pt>
              </c:strCache>
            </c:strRef>
          </c:tx>
          <c:spPr>
            <a:ln w="28575" cmpd="sng">
              <a:solidFill>
                <a:schemeClr val="bg1">
                  <a:lumMod val="65000"/>
                </a:schemeClr>
              </a:solidFill>
            </a:ln>
          </c:spPr>
          <c:marker>
            <c:symbol val="none"/>
          </c:marker>
          <c:xVal>
            <c:numRef>
              <c:f>'causes.site'!$A$53:$A$72</c:f>
              <c:numCache>
                <c:formatCode>General</c:formatCode>
                <c:ptCount val="20"/>
                <c:pt idx="0">
                  <c:v>1</c:v>
                </c:pt>
                <c:pt idx="1">
                  <c:v>1.5515772590000001</c:v>
                </c:pt>
                <c:pt idx="2">
                  <c:v>2.4073919909999999</c:v>
                </c:pt>
                <c:pt idx="3">
                  <c:v>3.7352546659999999</c:v>
                </c:pt>
                <c:pt idx="4">
                  <c:v>5.7955361969999997</c:v>
                </c:pt>
                <c:pt idx="5">
                  <c:v>8.9922221669999995</c:v>
                </c:pt>
                <c:pt idx="6">
                  <c:v>13.95212742</c:v>
                </c:pt>
                <c:pt idx="7">
                  <c:v>21.647803620000001</c:v>
                </c:pt>
                <c:pt idx="8">
                  <c:v>33.588239809999997</c:v>
                </c:pt>
                <c:pt idx="9">
                  <c:v>52.114749060000001</c:v>
                </c:pt>
                <c:pt idx="10">
                  <c:v>80.860059500000006</c:v>
                </c:pt>
                <c:pt idx="11">
                  <c:v>125.4606295</c:v>
                </c:pt>
                <c:pt idx="12">
                  <c:v>194.66185960000001</c:v>
                </c:pt>
                <c:pt idx="13">
                  <c:v>302.0329145</c:v>
                </c:pt>
                <c:pt idx="14">
                  <c:v>468.62740170000001</c:v>
                </c:pt>
                <c:pt idx="15">
                  <c:v>727.1116194</c:v>
                </c:pt>
                <c:pt idx="16">
                  <c:v>1128.1698530000001</c:v>
                </c:pt>
                <c:pt idx="17">
                  <c:v>1750.442689</c:v>
                </c:pt>
                <c:pt idx="18">
                  <c:v>2715.9470689999998</c:v>
                </c:pt>
                <c:pt idx="19">
                  <c:v>4214.0017090000001</c:v>
                </c:pt>
              </c:numCache>
            </c:numRef>
          </c:xVal>
          <c:yVal>
            <c:numRef>
              <c:f>'causes.site'!$D$53:$D$72</c:f>
              <c:numCache>
                <c:formatCode>General</c:formatCode>
                <c:ptCount val="20"/>
                <c:pt idx="0">
                  <c:v>6.1502420000000004</c:v>
                </c:pt>
                <c:pt idx="1">
                  <c:v>5.8072689999999998</c:v>
                </c:pt>
                <c:pt idx="2">
                  <c:v>5.4834209999999999</c:v>
                </c:pt>
                <c:pt idx="3">
                  <c:v>5.1776340000000003</c:v>
                </c:pt>
                <c:pt idx="4">
                  <c:v>4.8888990000000003</c:v>
                </c:pt>
                <c:pt idx="5">
                  <c:v>4.6162650000000003</c:v>
                </c:pt>
                <c:pt idx="6">
                  <c:v>4.3588360000000002</c:v>
                </c:pt>
                <c:pt idx="7">
                  <c:v>4.115761</c:v>
                </c:pt>
                <c:pt idx="8">
                  <c:v>3.8862429999999999</c:v>
                </c:pt>
                <c:pt idx="9">
                  <c:v>3.6695229999999999</c:v>
                </c:pt>
                <c:pt idx="10">
                  <c:v>3.4648889999999999</c:v>
                </c:pt>
                <c:pt idx="11">
                  <c:v>3.2716669999999999</c:v>
                </c:pt>
                <c:pt idx="12">
                  <c:v>3.0892200000000001</c:v>
                </c:pt>
                <c:pt idx="13">
                  <c:v>2.916947</c:v>
                </c:pt>
                <c:pt idx="14">
                  <c:v>2.7542810000000002</c:v>
                </c:pt>
                <c:pt idx="15">
                  <c:v>2.6006860000000001</c:v>
                </c:pt>
                <c:pt idx="16">
                  <c:v>2.455657</c:v>
                </c:pt>
                <c:pt idx="17">
                  <c:v>2.3187150000000001</c:v>
                </c:pt>
                <c:pt idx="18">
                  <c:v>2.1894100000000001</c:v>
                </c:pt>
                <c:pt idx="19">
                  <c:v>2.0673159999999999</c:v>
                </c:pt>
              </c:numCache>
            </c:numRef>
          </c:yVal>
          <c:smooth val="1"/>
          <c:extLst>
            <c:ext xmlns:c16="http://schemas.microsoft.com/office/drawing/2014/chart" uri="{C3380CC4-5D6E-409C-BE32-E72D297353CC}">
              <c16:uniqueId val="{00000002-40D9-4D61-956C-A399C1799050}"/>
            </c:ext>
          </c:extLst>
        </c:ser>
        <c:ser>
          <c:idx val="3"/>
          <c:order val="3"/>
          <c:spPr>
            <a:ln w="19050" cap="rnd">
              <a:solidFill>
                <a:schemeClr val="tx1">
                  <a:lumMod val="95000"/>
                  <a:lumOff val="5000"/>
                </a:schemeClr>
              </a:solidFill>
              <a:prstDash val="dash"/>
            </a:ln>
          </c:spPr>
          <c:marker>
            <c:symbol val="none"/>
          </c:marker>
          <c:xVal>
            <c:numRef>
              <c:f>'causes.site'!$A$53:$A$72</c:f>
              <c:numCache>
                <c:formatCode>General</c:formatCode>
                <c:ptCount val="20"/>
                <c:pt idx="0">
                  <c:v>1</c:v>
                </c:pt>
                <c:pt idx="1">
                  <c:v>1.5515772590000001</c:v>
                </c:pt>
                <c:pt idx="2">
                  <c:v>2.4073919909999999</c:v>
                </c:pt>
                <c:pt idx="3">
                  <c:v>3.7352546659999999</c:v>
                </c:pt>
                <c:pt idx="4">
                  <c:v>5.7955361969999997</c:v>
                </c:pt>
                <c:pt idx="5">
                  <c:v>8.9922221669999995</c:v>
                </c:pt>
                <c:pt idx="6">
                  <c:v>13.95212742</c:v>
                </c:pt>
                <c:pt idx="7">
                  <c:v>21.647803620000001</c:v>
                </c:pt>
                <c:pt idx="8">
                  <c:v>33.588239809999997</c:v>
                </c:pt>
                <c:pt idx="9">
                  <c:v>52.114749060000001</c:v>
                </c:pt>
                <c:pt idx="10">
                  <c:v>80.860059500000006</c:v>
                </c:pt>
                <c:pt idx="11">
                  <c:v>125.4606295</c:v>
                </c:pt>
                <c:pt idx="12">
                  <c:v>194.66185960000001</c:v>
                </c:pt>
                <c:pt idx="13">
                  <c:v>302.0329145</c:v>
                </c:pt>
                <c:pt idx="14">
                  <c:v>468.62740170000001</c:v>
                </c:pt>
                <c:pt idx="15">
                  <c:v>727.1116194</c:v>
                </c:pt>
                <c:pt idx="16">
                  <c:v>1128.1698530000001</c:v>
                </c:pt>
                <c:pt idx="17">
                  <c:v>1750.442689</c:v>
                </c:pt>
                <c:pt idx="18">
                  <c:v>2715.9470689999998</c:v>
                </c:pt>
                <c:pt idx="19">
                  <c:v>4214.0017090000001</c:v>
                </c:pt>
              </c:numCache>
            </c:numRef>
          </c:xVal>
          <c:yVal>
            <c:numRef>
              <c:f>'causes.site'!$B$88:$B$107</c:f>
              <c:numCache>
                <c:formatCode>General</c:formatCode>
                <c:ptCount val="20"/>
                <c:pt idx="0">
                  <c:v>5.2626169999999997</c:v>
                </c:pt>
                <c:pt idx="1">
                  <c:v>4.8242890000000003</c:v>
                </c:pt>
                <c:pt idx="2">
                  <c:v>4.4239889999999997</c:v>
                </c:pt>
                <c:pt idx="3">
                  <c:v>4.0586399999999996</c:v>
                </c:pt>
                <c:pt idx="4">
                  <c:v>3.7254710000000002</c:v>
                </c:pt>
                <c:pt idx="5">
                  <c:v>3.422018</c:v>
                </c:pt>
                <c:pt idx="6">
                  <c:v>3.1461199999999998</c:v>
                </c:pt>
                <c:pt idx="7">
                  <c:v>2.8959359999999998</c:v>
                </c:pt>
                <c:pt idx="8">
                  <c:v>2.6699760000000001</c:v>
                </c:pt>
                <c:pt idx="9">
                  <c:v>2.4671560000000001</c:v>
                </c:pt>
                <c:pt idx="10">
                  <c:v>2.2868550000000001</c:v>
                </c:pt>
                <c:pt idx="11">
                  <c:v>2.128962</c:v>
                </c:pt>
                <c:pt idx="12">
                  <c:v>1.9937609999999999</c:v>
                </c:pt>
                <c:pt idx="13">
                  <c:v>1.8814869999999999</c:v>
                </c:pt>
                <c:pt idx="14">
                  <c:v>1.791477</c:v>
                </c:pt>
                <c:pt idx="15">
                  <c:v>1.7214309999999999</c:v>
                </c:pt>
                <c:pt idx="16">
                  <c:v>1.667632</c:v>
                </c:pt>
                <c:pt idx="17">
                  <c:v>1.626004</c:v>
                </c:pt>
                <c:pt idx="18">
                  <c:v>1.5930519999999999</c:v>
                </c:pt>
                <c:pt idx="19">
                  <c:v>1.5661750000000001</c:v>
                </c:pt>
              </c:numCache>
            </c:numRef>
          </c:yVal>
          <c:smooth val="1"/>
          <c:extLst>
            <c:ext xmlns:c16="http://schemas.microsoft.com/office/drawing/2014/chart" uri="{C3380CC4-5D6E-409C-BE32-E72D297353CC}">
              <c16:uniqueId val="{00000003-40D9-4D61-956C-A399C1799050}"/>
            </c:ext>
          </c:extLst>
        </c:ser>
        <c:ser>
          <c:idx val="4"/>
          <c:order val="4"/>
          <c:spPr>
            <a:ln w="19050">
              <a:solidFill>
                <a:schemeClr val="tx1">
                  <a:lumMod val="95000"/>
                  <a:lumOff val="5000"/>
                </a:schemeClr>
              </a:solidFill>
              <a:prstDash val="dash"/>
            </a:ln>
          </c:spPr>
          <c:marker>
            <c:symbol val="none"/>
          </c:marker>
          <c:xVal>
            <c:numRef>
              <c:f>'causes.site'!$A$53:$A$72</c:f>
              <c:numCache>
                <c:formatCode>General</c:formatCode>
                <c:ptCount val="20"/>
                <c:pt idx="0">
                  <c:v>1</c:v>
                </c:pt>
                <c:pt idx="1">
                  <c:v>1.5515772590000001</c:v>
                </c:pt>
                <c:pt idx="2">
                  <c:v>2.4073919909999999</c:v>
                </c:pt>
                <c:pt idx="3">
                  <c:v>3.7352546659999999</c:v>
                </c:pt>
                <c:pt idx="4">
                  <c:v>5.7955361969999997</c:v>
                </c:pt>
                <c:pt idx="5">
                  <c:v>8.9922221669999995</c:v>
                </c:pt>
                <c:pt idx="6">
                  <c:v>13.95212742</c:v>
                </c:pt>
                <c:pt idx="7">
                  <c:v>21.647803620000001</c:v>
                </c:pt>
                <c:pt idx="8">
                  <c:v>33.588239809999997</c:v>
                </c:pt>
                <c:pt idx="9">
                  <c:v>52.114749060000001</c:v>
                </c:pt>
                <c:pt idx="10">
                  <c:v>80.860059500000006</c:v>
                </c:pt>
                <c:pt idx="11">
                  <c:v>125.4606295</c:v>
                </c:pt>
                <c:pt idx="12">
                  <c:v>194.66185960000001</c:v>
                </c:pt>
                <c:pt idx="13">
                  <c:v>302.0329145</c:v>
                </c:pt>
                <c:pt idx="14">
                  <c:v>468.62740170000001</c:v>
                </c:pt>
                <c:pt idx="15">
                  <c:v>727.1116194</c:v>
                </c:pt>
                <c:pt idx="16">
                  <c:v>1128.1698530000001</c:v>
                </c:pt>
                <c:pt idx="17">
                  <c:v>1750.442689</c:v>
                </c:pt>
                <c:pt idx="18">
                  <c:v>2715.9470689999998</c:v>
                </c:pt>
                <c:pt idx="19">
                  <c:v>4214.0017090000001</c:v>
                </c:pt>
              </c:numCache>
            </c:numRef>
          </c:xVal>
          <c:yVal>
            <c:numRef>
              <c:f>'causes.site'!$C$88:$C$107</c:f>
              <c:numCache>
                <c:formatCode>General</c:formatCode>
                <c:ptCount val="20"/>
                <c:pt idx="0">
                  <c:v>1.5933360999999999</c:v>
                </c:pt>
                <c:pt idx="1">
                  <c:v>1.5803347000000001</c:v>
                </c:pt>
                <c:pt idx="2">
                  <c:v>1.5669008</c:v>
                </c:pt>
                <c:pt idx="3">
                  <c:v>1.5529170000000001</c:v>
                </c:pt>
                <c:pt idx="4">
                  <c:v>1.5382279999999999</c:v>
                </c:pt>
                <c:pt idx="5">
                  <c:v>1.5226244</c:v>
                </c:pt>
                <c:pt idx="6">
                  <c:v>1.5058197</c:v>
                </c:pt>
                <c:pt idx="7">
                  <c:v>1.4874162</c:v>
                </c:pt>
                <c:pt idx="8">
                  <c:v>1.4668551999999999</c:v>
                </c:pt>
                <c:pt idx="9">
                  <c:v>1.4433488000000001</c:v>
                </c:pt>
                <c:pt idx="10">
                  <c:v>1.4158014000000001</c:v>
                </c:pt>
                <c:pt idx="11">
                  <c:v>1.3827583999999999</c:v>
                </c:pt>
                <c:pt idx="12">
                  <c:v>1.3425001000000001</c:v>
                </c:pt>
                <c:pt idx="13">
                  <c:v>1.2934787000000001</c:v>
                </c:pt>
                <c:pt idx="14">
                  <c:v>1.2351581</c:v>
                </c:pt>
                <c:pt idx="15">
                  <c:v>1.1687384999999999</c:v>
                </c:pt>
                <c:pt idx="16">
                  <c:v>1.0969328</c:v>
                </c:pt>
                <c:pt idx="17">
                  <c:v>1.0228964</c:v>
                </c:pt>
                <c:pt idx="18">
                  <c:v>0.94928480000000004</c:v>
                </c:pt>
                <c:pt idx="19">
                  <c:v>0.87792919999999997</c:v>
                </c:pt>
              </c:numCache>
            </c:numRef>
          </c:yVal>
          <c:smooth val="1"/>
          <c:extLst>
            <c:ext xmlns:c16="http://schemas.microsoft.com/office/drawing/2014/chart" uri="{C3380CC4-5D6E-409C-BE32-E72D297353CC}">
              <c16:uniqueId val="{00000004-40D9-4D61-956C-A399C1799050}"/>
            </c:ext>
          </c:extLst>
        </c:ser>
        <c:ser>
          <c:idx val="5"/>
          <c:order val="5"/>
          <c:tx>
            <c:strRef>
              <c:f>'causes.site'!$S$60</c:f>
              <c:strCache>
                <c:ptCount val="1"/>
                <c:pt idx="0">
                  <c:v>Baird's sparrow</c:v>
                </c:pt>
              </c:strCache>
            </c:strRef>
          </c:tx>
          <c:spPr>
            <a:ln w="28575">
              <a:solidFill>
                <a:schemeClr val="tx1">
                  <a:lumMod val="95000"/>
                  <a:lumOff val="5000"/>
                </a:schemeClr>
              </a:solidFill>
              <a:prstDash val="solid"/>
            </a:ln>
          </c:spPr>
          <c:marker>
            <c:symbol val="none"/>
          </c:marker>
          <c:xVal>
            <c:numRef>
              <c:f>'causes.site'!$A$53:$A$72</c:f>
              <c:numCache>
                <c:formatCode>General</c:formatCode>
                <c:ptCount val="20"/>
                <c:pt idx="0">
                  <c:v>1</c:v>
                </c:pt>
                <c:pt idx="1">
                  <c:v>1.5515772590000001</c:v>
                </c:pt>
                <c:pt idx="2">
                  <c:v>2.4073919909999999</c:v>
                </c:pt>
                <c:pt idx="3">
                  <c:v>3.7352546659999999</c:v>
                </c:pt>
                <c:pt idx="4">
                  <c:v>5.7955361969999997</c:v>
                </c:pt>
                <c:pt idx="5">
                  <c:v>8.9922221669999995</c:v>
                </c:pt>
                <c:pt idx="6">
                  <c:v>13.95212742</c:v>
                </c:pt>
                <c:pt idx="7">
                  <c:v>21.647803620000001</c:v>
                </c:pt>
                <c:pt idx="8">
                  <c:v>33.588239809999997</c:v>
                </c:pt>
                <c:pt idx="9">
                  <c:v>52.114749060000001</c:v>
                </c:pt>
                <c:pt idx="10">
                  <c:v>80.860059500000006</c:v>
                </c:pt>
                <c:pt idx="11">
                  <c:v>125.4606295</c:v>
                </c:pt>
                <c:pt idx="12">
                  <c:v>194.66185960000001</c:v>
                </c:pt>
                <c:pt idx="13">
                  <c:v>302.0329145</c:v>
                </c:pt>
                <c:pt idx="14">
                  <c:v>468.62740170000001</c:v>
                </c:pt>
                <c:pt idx="15">
                  <c:v>727.1116194</c:v>
                </c:pt>
                <c:pt idx="16">
                  <c:v>1128.1698530000001</c:v>
                </c:pt>
                <c:pt idx="17">
                  <c:v>1750.442689</c:v>
                </c:pt>
                <c:pt idx="18">
                  <c:v>2715.9470689999998</c:v>
                </c:pt>
                <c:pt idx="19">
                  <c:v>4214.0017090000001</c:v>
                </c:pt>
              </c:numCache>
            </c:numRef>
          </c:xVal>
          <c:yVal>
            <c:numRef>
              <c:f>'causes.site'!$D$88:$D$107</c:f>
              <c:numCache>
                <c:formatCode>General</c:formatCode>
                <c:ptCount val="20"/>
                <c:pt idx="0">
                  <c:v>2.8957069999999998</c:v>
                </c:pt>
                <c:pt idx="1">
                  <c:v>2.761158</c:v>
                </c:pt>
                <c:pt idx="2">
                  <c:v>2.63286</c:v>
                </c:pt>
                <c:pt idx="3">
                  <c:v>2.5105240000000002</c:v>
                </c:pt>
                <c:pt idx="4">
                  <c:v>2.393872</c:v>
                </c:pt>
                <c:pt idx="5">
                  <c:v>2.2826409999999999</c:v>
                </c:pt>
                <c:pt idx="6">
                  <c:v>2.1765780000000001</c:v>
                </c:pt>
                <c:pt idx="7">
                  <c:v>2.0754429999999999</c:v>
                </c:pt>
                <c:pt idx="8">
                  <c:v>1.979007</c:v>
                </c:pt>
                <c:pt idx="9">
                  <c:v>1.887052</c:v>
                </c:pt>
                <c:pt idx="10">
                  <c:v>1.7993699999999999</c:v>
                </c:pt>
                <c:pt idx="11">
                  <c:v>1.715762</c:v>
                </c:pt>
                <c:pt idx="12">
                  <c:v>1.636039</c:v>
                </c:pt>
                <c:pt idx="13">
                  <c:v>1.56002</c:v>
                </c:pt>
                <c:pt idx="14">
                  <c:v>1.4875339999999999</c:v>
                </c:pt>
                <c:pt idx="15">
                  <c:v>1.4184159999999999</c:v>
                </c:pt>
                <c:pt idx="16">
                  <c:v>1.352509</c:v>
                </c:pt>
                <c:pt idx="17">
                  <c:v>1.2896639999999999</c:v>
                </c:pt>
                <c:pt idx="18">
                  <c:v>1.2297400000000001</c:v>
                </c:pt>
                <c:pt idx="19">
                  <c:v>1.1726000000000001</c:v>
                </c:pt>
              </c:numCache>
            </c:numRef>
          </c:yVal>
          <c:smooth val="1"/>
          <c:extLst>
            <c:ext xmlns:c16="http://schemas.microsoft.com/office/drawing/2014/chart" uri="{C3380CC4-5D6E-409C-BE32-E72D297353CC}">
              <c16:uniqueId val="{00000005-40D9-4D61-956C-A399C1799050}"/>
            </c:ext>
          </c:extLst>
        </c:ser>
        <c:dLbls>
          <c:showLegendKey val="0"/>
          <c:showVal val="0"/>
          <c:showCatName val="0"/>
          <c:showSerName val="0"/>
          <c:showPercent val="0"/>
          <c:showBubbleSize val="0"/>
        </c:dLbls>
        <c:axId val="189224032"/>
        <c:axId val="189224424"/>
      </c:scatterChart>
      <c:valAx>
        <c:axId val="189224032"/>
        <c:scaling>
          <c:orientation val="minMax"/>
          <c:max val="1500"/>
          <c:min val="0"/>
        </c:scaling>
        <c:delete val="0"/>
        <c:axPos val="b"/>
        <c:title>
          <c:tx>
            <c:rich>
              <a:bodyPr/>
              <a:lstStyle/>
              <a:p>
                <a:pPr>
                  <a:defRPr/>
                </a:pPr>
                <a:r>
                  <a:rPr lang="en-US"/>
                  <a:t>Linear</a:t>
                </a:r>
                <a:r>
                  <a:rPr lang="en-US" baseline="0"/>
                  <a:t> meters of perch</a:t>
                </a:r>
                <a:endParaRPr lang="en-US"/>
              </a:p>
            </c:rich>
          </c:tx>
          <c:layout>
            <c:manualLayout>
              <c:xMode val="edge"/>
              <c:yMode val="edge"/>
              <c:x val="0.31962504686914134"/>
              <c:y val="0.889845826687932"/>
            </c:manualLayout>
          </c:layout>
          <c:overlay val="0"/>
        </c:title>
        <c:numFmt formatCode="General" sourceLinked="1"/>
        <c:majorTickMark val="out"/>
        <c:minorTickMark val="none"/>
        <c:tickLblPos val="nextTo"/>
        <c:crossAx val="189224424"/>
        <c:crosses val="autoZero"/>
        <c:crossBetween val="midCat"/>
      </c:valAx>
      <c:valAx>
        <c:axId val="189224424"/>
        <c:scaling>
          <c:orientation val="minMax"/>
          <c:max val="8"/>
        </c:scaling>
        <c:delete val="0"/>
        <c:axPos val="l"/>
        <c:title>
          <c:tx>
            <c:rich>
              <a:bodyPr rot="-5400000" vert="horz"/>
              <a:lstStyle/>
              <a:p>
                <a:pPr>
                  <a:defRPr/>
                </a:pPr>
                <a:r>
                  <a:rPr lang="en-US"/>
                  <a:t>Birds per site</a:t>
                </a:r>
              </a:p>
            </c:rich>
          </c:tx>
          <c:overlay val="0"/>
        </c:title>
        <c:numFmt formatCode="General" sourceLinked="1"/>
        <c:majorTickMark val="out"/>
        <c:minorTickMark val="none"/>
        <c:tickLblPos val="nextTo"/>
        <c:crossAx val="189224032"/>
        <c:crosses val="autoZero"/>
        <c:crossBetween val="midCat"/>
      </c:valAx>
    </c:plotArea>
    <c:legend>
      <c:legendPos val="r"/>
      <c:legendEntry>
        <c:idx val="0"/>
        <c:delete val="1"/>
      </c:legendEntry>
      <c:legendEntry>
        <c:idx val="1"/>
        <c:delete val="1"/>
      </c:legendEntry>
      <c:legendEntry>
        <c:idx val="3"/>
        <c:delete val="1"/>
      </c:legendEntry>
      <c:legendEntry>
        <c:idx val="4"/>
        <c:delete val="1"/>
      </c:legendEntry>
      <c:layout>
        <c:manualLayout>
          <c:xMode val="edge"/>
          <c:yMode val="edge"/>
          <c:x val="0.16365477042642396"/>
          <c:y val="5.7653618656519606E-2"/>
          <c:w val="0.44903879415927911"/>
          <c:h val="0.15635677119307456"/>
        </c:manualLayout>
      </c:layout>
      <c:overlay val="0"/>
    </c:legend>
    <c:plotVisOnly val="1"/>
    <c:dispBlanksAs val="gap"/>
    <c:showDLblsOverMax val="0"/>
  </c:chart>
  <c:spPr>
    <a:ln>
      <a:solidFill>
        <a:srgbClr val="FFFFFF"/>
      </a:solidFill>
    </a:ln>
  </c:sp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539656770253422"/>
          <c:y val="5.6906363166063102E-2"/>
          <c:w val="0.78548174175095176"/>
          <c:h val="0.74867428948515413"/>
        </c:manualLayout>
      </c:layout>
      <c:scatterChart>
        <c:scatterStyle val="smoothMarker"/>
        <c:varyColors val="0"/>
        <c:ser>
          <c:idx val="0"/>
          <c:order val="0"/>
          <c:spPr>
            <a:ln w="19050">
              <a:solidFill>
                <a:schemeClr val="tx1"/>
              </a:solidFill>
              <a:prstDash val="sysDash"/>
            </a:ln>
          </c:spPr>
          <c:marker>
            <c:symbol val="none"/>
          </c:marker>
          <c:xVal>
            <c:numRef>
              <c:f>'causes.bin'!$A$2:$A$21</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'causes.bin'!$G$125:$G$144</c:f>
              <c:numCache>
                <c:formatCode>General</c:formatCode>
                <c:ptCount val="20"/>
                <c:pt idx="0">
                  <c:v>0.1383074</c:v>
                </c:pt>
                <c:pt idx="1">
                  <c:v>0.14218500000000001</c:v>
                </c:pt>
                <c:pt idx="2">
                  <c:v>0.14623949999999999</c:v>
                </c:pt>
                <c:pt idx="3">
                  <c:v>0.15049969999999999</c:v>
                </c:pt>
                <c:pt idx="4">
                  <c:v>0.15500549999999999</c:v>
                </c:pt>
                <c:pt idx="5">
                  <c:v>0.15981400000000001</c:v>
                </c:pt>
                <c:pt idx="6">
                  <c:v>0.16500889999999999</c:v>
                </c:pt>
                <c:pt idx="7">
                  <c:v>0.1707167</c:v>
                </c:pt>
                <c:pt idx="8">
                  <c:v>0.17713400000000001</c:v>
                </c:pt>
                <c:pt idx="9">
                  <c:v>0.1845697</c:v>
                </c:pt>
                <c:pt idx="10">
                  <c:v>0.19350100000000001</c:v>
                </c:pt>
                <c:pt idx="11">
                  <c:v>0.20461560000000001</c:v>
                </c:pt>
                <c:pt idx="12">
                  <c:v>0.2187568</c:v>
                </c:pt>
                <c:pt idx="13">
                  <c:v>0.23671310000000001</c:v>
                </c:pt>
                <c:pt idx="14">
                  <c:v>0.25900089999999998</c:v>
                </c:pt>
                <c:pt idx="15">
                  <c:v>0.28587859999999998</c:v>
                </c:pt>
                <c:pt idx="16">
                  <c:v>0.31753120000000001</c:v>
                </c:pt>
                <c:pt idx="17">
                  <c:v>0.35421469999999999</c:v>
                </c:pt>
                <c:pt idx="18">
                  <c:v>0.3963082</c:v>
                </c:pt>
                <c:pt idx="19">
                  <c:v>0.44431900000000002</c:v>
                </c:pt>
              </c:numCache>
            </c:numRef>
          </c:yVal>
          <c:smooth val="1"/>
          <c:extLst>
            <c:ext xmlns:c16="http://schemas.microsoft.com/office/drawing/2014/chart" uri="{C3380CC4-5D6E-409C-BE32-E72D297353CC}">
              <c16:uniqueId val="{00000000-D1A0-4EA4-BC96-7A9BC1388AAA}"/>
            </c:ext>
          </c:extLst>
        </c:ser>
        <c:ser>
          <c:idx val="1"/>
          <c:order val="1"/>
          <c:spPr>
            <a:ln w="19050">
              <a:solidFill>
                <a:schemeClr val="tx1"/>
              </a:solidFill>
              <a:prstDash val="sysDash"/>
            </a:ln>
          </c:spPr>
          <c:marker>
            <c:symbol val="none"/>
          </c:marker>
          <c:xVal>
            <c:numRef>
              <c:f>'causes.bin'!$F$125:$F$144</c:f>
              <c:numCache>
                <c:formatCode>General</c:formatCode>
                <c:ptCount val="20"/>
                <c:pt idx="0">
                  <c:v>3.5008297085958655</c:v>
                </c:pt>
                <c:pt idx="1">
                  <c:v>4.760325270274774</c:v>
                </c:pt>
                <c:pt idx="2">
                  <c:v>6.4729502903771596</c:v>
                </c:pt>
                <c:pt idx="3">
                  <c:v>8.8017186187385814</c:v>
                </c:pt>
                <c:pt idx="4">
                  <c:v>11.968318098921293</c:v>
                </c:pt>
                <c:pt idx="5">
                  <c:v>16.274166935081531</c:v>
                </c:pt>
                <c:pt idx="6">
                  <c:v>22.129133537549606</c:v>
                </c:pt>
                <c:pt idx="7">
                  <c:v>30.090544915517633</c:v>
                </c:pt>
                <c:pt idx="8">
                  <c:v>40.916197027595146</c:v>
                </c:pt>
                <c:pt idx="9">
                  <c:v>55.636641278425422</c:v>
                </c:pt>
                <c:pt idx="10">
                  <c:v>75.653068408496864</c:v>
                </c:pt>
                <c:pt idx="11">
                  <c:v>102.87081729069249</c:v>
                </c:pt>
                <c:pt idx="12">
                  <c:v>139.88057180330756</c:v>
                </c:pt>
                <c:pt idx="13">
                  <c:v>190.20548732798665</c:v>
                </c:pt>
                <c:pt idx="14">
                  <c:v>258.6358272866413</c:v>
                </c:pt>
                <c:pt idx="15">
                  <c:v>351.68539086833624</c:v>
                </c:pt>
                <c:pt idx="16">
                  <c:v>478.21145062450796</c:v>
                </c:pt>
                <c:pt idx="17">
                  <c:v>650.25721500025088</c:v>
                </c:pt>
                <c:pt idx="18">
                  <c:v>884.2006353932959</c:v>
                </c:pt>
                <c:pt idx="19">
                  <c:v>1202.310017628341</c:v>
                </c:pt>
              </c:numCache>
            </c:numRef>
          </c:xVal>
          <c:yVal>
            <c:numRef>
              <c:f>'causes.bin'!$H$125:$H$144</c:f>
              <c:numCache>
                <c:formatCode>General</c:formatCode>
                <c:ptCount val="20"/>
                <c:pt idx="0">
                  <c:v>4.0883849999999999E-2</c:v>
                </c:pt>
                <c:pt idx="1">
                  <c:v>4.6040810000000001E-2</c:v>
                </c:pt>
                <c:pt idx="2">
                  <c:v>5.182411E-2</c:v>
                </c:pt>
                <c:pt idx="3">
                  <c:v>5.8298929999999999E-2</c:v>
                </c:pt>
                <c:pt idx="4">
                  <c:v>6.5531259999999994E-2</c:v>
                </c:pt>
                <c:pt idx="5">
                  <c:v>7.3583490000000001E-2</c:v>
                </c:pt>
                <c:pt idx="6">
                  <c:v>8.2506399999999994E-2</c:v>
                </c:pt>
                <c:pt idx="7">
                  <c:v>9.2324840000000005E-2</c:v>
                </c:pt>
                <c:pt idx="8">
                  <c:v>0.10301304</c:v>
                </c:pt>
                <c:pt idx="9">
                  <c:v>0.11445466999999999</c:v>
                </c:pt>
                <c:pt idx="10">
                  <c:v>0.12638927999999999</c:v>
                </c:pt>
                <c:pt idx="11">
                  <c:v>0.13837395</c:v>
                </c:pt>
                <c:pt idx="12">
                  <c:v>0.14984117</c:v>
                </c:pt>
                <c:pt idx="13">
                  <c:v>0.16031348000000001</c:v>
                </c:pt>
                <c:pt idx="14">
                  <c:v>0.16962537</c:v>
                </c:pt>
                <c:pt idx="15">
                  <c:v>0.17791398999999999</c:v>
                </c:pt>
                <c:pt idx="16">
                  <c:v>0.18544063999999999</c:v>
                </c:pt>
                <c:pt idx="17">
                  <c:v>0.19245282999999999</c:v>
                </c:pt>
                <c:pt idx="18">
                  <c:v>0.19913954</c:v>
                </c:pt>
                <c:pt idx="19">
                  <c:v>0.20563418999999999</c:v>
                </c:pt>
              </c:numCache>
            </c:numRef>
          </c:yVal>
          <c:smooth val="1"/>
          <c:extLst>
            <c:ext xmlns:c16="http://schemas.microsoft.com/office/drawing/2014/chart" uri="{C3380CC4-5D6E-409C-BE32-E72D297353CC}">
              <c16:uniqueId val="{00000001-D1A0-4EA4-BC96-7A9BC1388AAA}"/>
            </c:ext>
          </c:extLst>
        </c:ser>
        <c:ser>
          <c:idx val="2"/>
          <c:order val="2"/>
          <c:tx>
            <c:strRef>
              <c:f>'causes.bin'!$T$158</c:f>
              <c:strCache>
                <c:ptCount val="1"/>
                <c:pt idx="0">
                  <c:v>Baird's sparrow</c:v>
                </c:pt>
              </c:strCache>
            </c:strRef>
          </c:tx>
          <c:spPr>
            <a:ln w="25400">
              <a:solidFill>
                <a:schemeClr val="tx1"/>
              </a:solidFill>
            </a:ln>
          </c:spPr>
          <c:marker>
            <c:symbol val="none"/>
          </c:marker>
          <c:xVal>
            <c:numRef>
              <c:f>'causes.bin'!$A$2:$A$21</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'causes.bin'!$I$125:$I$144</c:f>
              <c:numCache>
                <c:formatCode>General</c:formatCode>
                <c:ptCount val="20"/>
                <c:pt idx="0">
                  <c:v>7.5196659999999999E-2</c:v>
                </c:pt>
                <c:pt idx="1">
                  <c:v>8.0909289999999995E-2</c:v>
                </c:pt>
                <c:pt idx="2">
                  <c:v>8.7055900000000006E-2</c:v>
                </c:pt>
                <c:pt idx="3">
                  <c:v>9.3669459999999996E-2</c:v>
                </c:pt>
                <c:pt idx="4">
                  <c:v>0.10078545</c:v>
                </c:pt>
                <c:pt idx="5">
                  <c:v>0.10844204</c:v>
                </c:pt>
                <c:pt idx="6">
                  <c:v>0.11668029000000001</c:v>
                </c:pt>
                <c:pt idx="7">
                  <c:v>0.12554439000000001</c:v>
                </c:pt>
                <c:pt idx="8">
                  <c:v>0.13508189000000001</c:v>
                </c:pt>
                <c:pt idx="9">
                  <c:v>0.14534394</c:v>
                </c:pt>
                <c:pt idx="10">
                  <c:v>0.15638560000000001</c:v>
                </c:pt>
                <c:pt idx="11">
                  <c:v>0.16826608000000001</c:v>
                </c:pt>
                <c:pt idx="12">
                  <c:v>0.18104911000000001</c:v>
                </c:pt>
                <c:pt idx="13">
                  <c:v>0.19480325000000001</c:v>
                </c:pt>
                <c:pt idx="14">
                  <c:v>0.20960229</c:v>
                </c:pt>
                <c:pt idx="15">
                  <c:v>0.22552559999999999</c:v>
                </c:pt>
                <c:pt idx="16">
                  <c:v>0.24265858000000001</c:v>
                </c:pt>
                <c:pt idx="17">
                  <c:v>0.26109315</c:v>
                </c:pt>
                <c:pt idx="18">
                  <c:v>0.28092816999999998</c:v>
                </c:pt>
                <c:pt idx="19">
                  <c:v>0.30227005000000001</c:v>
                </c:pt>
              </c:numCache>
            </c:numRef>
          </c:yVal>
          <c:smooth val="1"/>
          <c:extLst>
            <c:ext xmlns:c16="http://schemas.microsoft.com/office/drawing/2014/chart" uri="{C3380CC4-5D6E-409C-BE32-E72D297353CC}">
              <c16:uniqueId val="{00000002-D1A0-4EA4-BC96-7A9BC1388AAA}"/>
            </c:ext>
          </c:extLst>
        </c:ser>
        <c:ser>
          <c:idx val="3"/>
          <c:order val="3"/>
          <c:tx>
            <c:strRef>
              <c:f>'causes.bin'!$T$159</c:f>
              <c:strCache>
                <c:ptCount val="1"/>
                <c:pt idx="0">
                  <c:v>Western meadowlark</c:v>
                </c:pt>
              </c:strCache>
            </c:strRef>
          </c:tx>
          <c:spPr>
            <a:ln w="25400">
              <a:solidFill>
                <a:schemeClr val="bg1">
                  <a:lumMod val="50000"/>
                </a:schemeClr>
              </a:solidFill>
            </a:ln>
          </c:spPr>
          <c:marker>
            <c:symbol val="none"/>
          </c:marker>
          <c:xVal>
            <c:numRef>
              <c:f>'causes.bin'!$A$188:$A$207</c:f>
              <c:numCache>
                <c:formatCode>General</c:formatCode>
                <c:ptCount val="20"/>
                <c:pt idx="0">
                  <c:v>3.5008297085958655</c:v>
                </c:pt>
                <c:pt idx="1">
                  <c:v>4.760325270274774</c:v>
                </c:pt>
                <c:pt idx="2">
                  <c:v>6.4729502903771596</c:v>
                </c:pt>
                <c:pt idx="3">
                  <c:v>8.8017186187385814</c:v>
                </c:pt>
                <c:pt idx="4">
                  <c:v>11.968318098921293</c:v>
                </c:pt>
                <c:pt idx="5">
                  <c:v>16.274166935081531</c:v>
                </c:pt>
                <c:pt idx="6">
                  <c:v>22.129133537549606</c:v>
                </c:pt>
                <c:pt idx="7">
                  <c:v>30.090544915517633</c:v>
                </c:pt>
                <c:pt idx="8">
                  <c:v>40.916197027595146</c:v>
                </c:pt>
                <c:pt idx="9">
                  <c:v>55.636641278425422</c:v>
                </c:pt>
                <c:pt idx="10">
                  <c:v>75.653068408496864</c:v>
                </c:pt>
                <c:pt idx="11">
                  <c:v>102.87081729069249</c:v>
                </c:pt>
                <c:pt idx="12">
                  <c:v>139.88057180330756</c:v>
                </c:pt>
                <c:pt idx="13">
                  <c:v>190.20548732798665</c:v>
                </c:pt>
                <c:pt idx="14">
                  <c:v>258.6358272866413</c:v>
                </c:pt>
                <c:pt idx="15">
                  <c:v>351.68539086833624</c:v>
                </c:pt>
                <c:pt idx="16">
                  <c:v>478.21145062450796</c:v>
                </c:pt>
                <c:pt idx="17">
                  <c:v>650.25721500025088</c:v>
                </c:pt>
                <c:pt idx="18">
                  <c:v>884.2006353932959</c:v>
                </c:pt>
                <c:pt idx="19">
                  <c:v>1202.310017628341</c:v>
                </c:pt>
              </c:numCache>
            </c:numRef>
          </c:xVal>
          <c:yVal>
            <c:numRef>
              <c:f>'causes.bin'!$D$188:$D$207</c:f>
              <c:numCache>
                <c:formatCode>General</c:formatCode>
                <c:ptCount val="20"/>
                <c:pt idx="0">
                  <c:v>0.30834070000000002</c:v>
                </c:pt>
                <c:pt idx="1">
                  <c:v>0.29264250000000003</c:v>
                </c:pt>
                <c:pt idx="2">
                  <c:v>0.27774349999999998</c:v>
                </c:pt>
                <c:pt idx="3">
                  <c:v>0.26360309999999998</c:v>
                </c:pt>
                <c:pt idx="4">
                  <c:v>0.25018259999999998</c:v>
                </c:pt>
                <c:pt idx="5">
                  <c:v>0.2374454</c:v>
                </c:pt>
                <c:pt idx="6">
                  <c:v>0.22535659999999999</c:v>
                </c:pt>
                <c:pt idx="7">
                  <c:v>0.2138833</c:v>
                </c:pt>
                <c:pt idx="8">
                  <c:v>0.20299410000000001</c:v>
                </c:pt>
                <c:pt idx="9">
                  <c:v>0.19265930000000001</c:v>
                </c:pt>
                <c:pt idx="10">
                  <c:v>0.1828507</c:v>
                </c:pt>
                <c:pt idx="11">
                  <c:v>0.17354140000000001</c:v>
                </c:pt>
                <c:pt idx="12">
                  <c:v>0.16470609999999999</c:v>
                </c:pt>
                <c:pt idx="13">
                  <c:v>0.1563206</c:v>
                </c:pt>
                <c:pt idx="14">
                  <c:v>0.1483621</c:v>
                </c:pt>
                <c:pt idx="15">
                  <c:v>0.14080870000000001</c:v>
                </c:pt>
                <c:pt idx="16">
                  <c:v>0.13363990000000001</c:v>
                </c:pt>
                <c:pt idx="17">
                  <c:v>0.126836</c:v>
                </c:pt>
                <c:pt idx="18">
                  <c:v>0.1203786</c:v>
                </c:pt>
                <c:pt idx="19">
                  <c:v>0.1142499</c:v>
                </c:pt>
              </c:numCache>
            </c:numRef>
          </c:yVal>
          <c:smooth val="1"/>
          <c:extLst>
            <c:ext xmlns:c16="http://schemas.microsoft.com/office/drawing/2014/chart" uri="{C3380CC4-5D6E-409C-BE32-E72D297353CC}">
              <c16:uniqueId val="{00000003-D1A0-4EA4-BC96-7A9BC1388AAA}"/>
            </c:ext>
          </c:extLst>
        </c:ser>
        <c:ser>
          <c:idx val="4"/>
          <c:order val="4"/>
          <c:spPr>
            <a:ln w="19050">
              <a:solidFill>
                <a:schemeClr val="bg1">
                  <a:lumMod val="50000"/>
                </a:schemeClr>
              </a:solidFill>
              <a:prstDash val="sysDash"/>
            </a:ln>
          </c:spPr>
          <c:marker>
            <c:symbol val="none"/>
          </c:marker>
          <c:xVal>
            <c:numRef>
              <c:f>'causes.bin'!$A$188:$A$207</c:f>
              <c:numCache>
                <c:formatCode>General</c:formatCode>
                <c:ptCount val="20"/>
                <c:pt idx="0">
                  <c:v>3.5008297085958655</c:v>
                </c:pt>
                <c:pt idx="1">
                  <c:v>4.760325270274774</c:v>
                </c:pt>
                <c:pt idx="2">
                  <c:v>6.4729502903771596</c:v>
                </c:pt>
                <c:pt idx="3">
                  <c:v>8.8017186187385814</c:v>
                </c:pt>
                <c:pt idx="4">
                  <c:v>11.968318098921293</c:v>
                </c:pt>
                <c:pt idx="5">
                  <c:v>16.274166935081531</c:v>
                </c:pt>
                <c:pt idx="6">
                  <c:v>22.129133537549606</c:v>
                </c:pt>
                <c:pt idx="7">
                  <c:v>30.090544915517633</c:v>
                </c:pt>
                <c:pt idx="8">
                  <c:v>40.916197027595146</c:v>
                </c:pt>
                <c:pt idx="9">
                  <c:v>55.636641278425422</c:v>
                </c:pt>
                <c:pt idx="10">
                  <c:v>75.653068408496864</c:v>
                </c:pt>
                <c:pt idx="11">
                  <c:v>102.87081729069249</c:v>
                </c:pt>
                <c:pt idx="12">
                  <c:v>139.88057180330756</c:v>
                </c:pt>
                <c:pt idx="13">
                  <c:v>190.20548732798665</c:v>
                </c:pt>
                <c:pt idx="14">
                  <c:v>258.6358272866413</c:v>
                </c:pt>
                <c:pt idx="15">
                  <c:v>351.68539086833624</c:v>
                </c:pt>
                <c:pt idx="16">
                  <c:v>478.21145062450796</c:v>
                </c:pt>
                <c:pt idx="17">
                  <c:v>650.25721500025088</c:v>
                </c:pt>
                <c:pt idx="18">
                  <c:v>884.2006353932959</c:v>
                </c:pt>
                <c:pt idx="19">
                  <c:v>1202.310017628341</c:v>
                </c:pt>
              </c:numCache>
            </c:numRef>
          </c:xVal>
          <c:yVal>
            <c:numRef>
              <c:f>'causes.bin'!$C$188:$C$207</c:f>
              <c:numCache>
                <c:formatCode>General</c:formatCode>
                <c:ptCount val="20"/>
                <c:pt idx="0">
                  <c:v>0.18120891</c:v>
                </c:pt>
                <c:pt idx="1">
                  <c:v>0.17919745000000001</c:v>
                </c:pt>
                <c:pt idx="2">
                  <c:v>0.17712681999999999</c:v>
                </c:pt>
                <c:pt idx="3">
                  <c:v>0.17497562999999999</c:v>
                </c:pt>
                <c:pt idx="4">
                  <c:v>0.17271399000000001</c:v>
                </c:pt>
                <c:pt idx="5">
                  <c:v>0.17029917</c:v>
                </c:pt>
                <c:pt idx="6">
                  <c:v>0.16766887</c:v>
                </c:pt>
                <c:pt idx="7">
                  <c:v>0.16473085000000001</c:v>
                </c:pt>
                <c:pt idx="8">
                  <c:v>0.16134844000000001</c:v>
                </c:pt>
                <c:pt idx="9">
                  <c:v>0.1573251</c:v>
                </c:pt>
                <c:pt idx="10">
                  <c:v>0.15240512000000001</c:v>
                </c:pt>
                <c:pt idx="11">
                  <c:v>0.14633292000000001</c:v>
                </c:pt>
                <c:pt idx="12">
                  <c:v>0.13900481000000001</c:v>
                </c:pt>
                <c:pt idx="13">
                  <c:v>0.1306155</c:v>
                </c:pt>
                <c:pt idx="14">
                  <c:v>0.12160346</c:v>
                </c:pt>
                <c:pt idx="15">
                  <c:v>0.11243659</c:v>
                </c:pt>
                <c:pt idx="16">
                  <c:v>0.10346456</c:v>
                </c:pt>
                <c:pt idx="17">
                  <c:v>9.4898670000000004E-2</c:v>
                </c:pt>
                <c:pt idx="18">
                  <c:v>8.684741E-2</c:v>
                </c:pt>
                <c:pt idx="19">
                  <c:v>7.9354729999999998E-2</c:v>
                </c:pt>
              </c:numCache>
            </c:numRef>
          </c:yVal>
          <c:smooth val="1"/>
          <c:extLst>
            <c:ext xmlns:c16="http://schemas.microsoft.com/office/drawing/2014/chart" uri="{C3380CC4-5D6E-409C-BE32-E72D297353CC}">
              <c16:uniqueId val="{00000004-D1A0-4EA4-BC96-7A9BC1388AAA}"/>
            </c:ext>
          </c:extLst>
        </c:ser>
        <c:ser>
          <c:idx val="5"/>
          <c:order val="5"/>
          <c:spPr>
            <a:ln w="19050">
              <a:solidFill>
                <a:schemeClr val="bg1">
                  <a:lumMod val="50000"/>
                </a:schemeClr>
              </a:solidFill>
              <a:prstDash val="sysDash"/>
            </a:ln>
          </c:spPr>
          <c:marker>
            <c:symbol val="none"/>
          </c:marker>
          <c:xVal>
            <c:numRef>
              <c:f>'causes.bin'!$A$188:$A$207</c:f>
              <c:numCache>
                <c:formatCode>General</c:formatCode>
                <c:ptCount val="20"/>
                <c:pt idx="0">
                  <c:v>3.5008297085958655</c:v>
                </c:pt>
                <c:pt idx="1">
                  <c:v>4.760325270274774</c:v>
                </c:pt>
                <c:pt idx="2">
                  <c:v>6.4729502903771596</c:v>
                </c:pt>
                <c:pt idx="3">
                  <c:v>8.8017186187385814</c:v>
                </c:pt>
                <c:pt idx="4">
                  <c:v>11.968318098921293</c:v>
                </c:pt>
                <c:pt idx="5">
                  <c:v>16.274166935081531</c:v>
                </c:pt>
                <c:pt idx="6">
                  <c:v>22.129133537549606</c:v>
                </c:pt>
                <c:pt idx="7">
                  <c:v>30.090544915517633</c:v>
                </c:pt>
                <c:pt idx="8">
                  <c:v>40.916197027595146</c:v>
                </c:pt>
                <c:pt idx="9">
                  <c:v>55.636641278425422</c:v>
                </c:pt>
                <c:pt idx="10">
                  <c:v>75.653068408496864</c:v>
                </c:pt>
                <c:pt idx="11">
                  <c:v>102.87081729069249</c:v>
                </c:pt>
                <c:pt idx="12">
                  <c:v>139.88057180330756</c:v>
                </c:pt>
                <c:pt idx="13">
                  <c:v>190.20548732798665</c:v>
                </c:pt>
                <c:pt idx="14">
                  <c:v>258.6358272866413</c:v>
                </c:pt>
                <c:pt idx="15">
                  <c:v>351.68539086833624</c:v>
                </c:pt>
                <c:pt idx="16">
                  <c:v>478.21145062450796</c:v>
                </c:pt>
                <c:pt idx="17">
                  <c:v>650.25721500025088</c:v>
                </c:pt>
                <c:pt idx="18">
                  <c:v>884.2006353932959</c:v>
                </c:pt>
                <c:pt idx="19">
                  <c:v>1202.310017628341</c:v>
                </c:pt>
              </c:numCache>
            </c:numRef>
          </c:xVal>
          <c:yVal>
            <c:numRef>
              <c:f>'causes.bin'!$B$188:$B$207</c:f>
              <c:numCache>
                <c:formatCode>General</c:formatCode>
                <c:ptCount val="20"/>
                <c:pt idx="0">
                  <c:v>0.52466489999999999</c:v>
                </c:pt>
                <c:pt idx="1">
                  <c:v>0.47790650000000001</c:v>
                </c:pt>
                <c:pt idx="2">
                  <c:v>0.4355155</c:v>
                </c:pt>
                <c:pt idx="3">
                  <c:v>0.39712160000000002</c:v>
                </c:pt>
                <c:pt idx="4">
                  <c:v>0.36239880000000002</c:v>
                </c:pt>
                <c:pt idx="5">
                  <c:v>0.33106619999999998</c:v>
                </c:pt>
                <c:pt idx="6">
                  <c:v>0.3028922</c:v>
                </c:pt>
                <c:pt idx="7">
                  <c:v>0.2777018</c:v>
                </c:pt>
                <c:pt idx="8">
                  <c:v>0.25538889999999997</c:v>
                </c:pt>
                <c:pt idx="9">
                  <c:v>0.23592940000000001</c:v>
                </c:pt>
                <c:pt idx="10">
                  <c:v>0.2193783</c:v>
                </c:pt>
                <c:pt idx="11">
                  <c:v>0.20580899999999999</c:v>
                </c:pt>
                <c:pt idx="12">
                  <c:v>0.19515950000000001</c:v>
                </c:pt>
                <c:pt idx="13">
                  <c:v>0.18708449999999999</c:v>
                </c:pt>
                <c:pt idx="14">
                  <c:v>0.1810089</c:v>
                </c:pt>
                <c:pt idx="15">
                  <c:v>0.1763402</c:v>
                </c:pt>
                <c:pt idx="16">
                  <c:v>0.17261580000000001</c:v>
                </c:pt>
                <c:pt idx="17">
                  <c:v>0.16952159999999999</c:v>
                </c:pt>
                <c:pt idx="18">
                  <c:v>0.1668559</c:v>
                </c:pt>
                <c:pt idx="19">
                  <c:v>0.16448969999999999</c:v>
                </c:pt>
              </c:numCache>
            </c:numRef>
          </c:yVal>
          <c:smooth val="1"/>
          <c:extLst>
            <c:ext xmlns:c16="http://schemas.microsoft.com/office/drawing/2014/chart" uri="{C3380CC4-5D6E-409C-BE32-E72D297353CC}">
              <c16:uniqueId val="{00000005-D1A0-4EA4-BC96-7A9BC1388AAA}"/>
            </c:ext>
          </c:extLst>
        </c:ser>
        <c:ser>
          <c:idx val="6"/>
          <c:order val="6"/>
          <c:tx>
            <c:strRef>
              <c:f>'causes.bin'!$T$160</c:f>
              <c:strCache>
                <c:ptCount val="1"/>
                <c:pt idx="0">
                  <c:v>Chestnut-collared longspur</c:v>
                </c:pt>
              </c:strCache>
            </c:strRef>
          </c:tx>
          <c:spPr>
            <a:ln w="25400">
              <a:solidFill>
                <a:schemeClr val="bg1">
                  <a:lumMod val="75000"/>
                </a:schemeClr>
              </a:solidFill>
            </a:ln>
          </c:spPr>
          <c:marker>
            <c:symbol val="none"/>
          </c:marker>
          <c:xVal>
            <c:numRef>
              <c:f>'causes.bin'!$A$273:$A$292</c:f>
              <c:numCache>
                <c:formatCode>General</c:formatCode>
                <c:ptCount val="20"/>
                <c:pt idx="0">
                  <c:v>3.5008297085958655</c:v>
                </c:pt>
                <c:pt idx="1">
                  <c:v>4.760325270274774</c:v>
                </c:pt>
                <c:pt idx="2">
                  <c:v>6.4729502903771596</c:v>
                </c:pt>
                <c:pt idx="3">
                  <c:v>8.8017186187385814</c:v>
                </c:pt>
                <c:pt idx="4">
                  <c:v>11.968318098921293</c:v>
                </c:pt>
                <c:pt idx="5">
                  <c:v>16.274166935081531</c:v>
                </c:pt>
                <c:pt idx="6">
                  <c:v>22.129133537549606</c:v>
                </c:pt>
                <c:pt idx="7">
                  <c:v>30.090544915517633</c:v>
                </c:pt>
                <c:pt idx="8">
                  <c:v>40.916197027595146</c:v>
                </c:pt>
                <c:pt idx="9">
                  <c:v>55.636641278425422</c:v>
                </c:pt>
                <c:pt idx="10">
                  <c:v>75.653068408496864</c:v>
                </c:pt>
                <c:pt idx="11">
                  <c:v>102.87081729069249</c:v>
                </c:pt>
                <c:pt idx="12">
                  <c:v>139.88057180330756</c:v>
                </c:pt>
                <c:pt idx="13">
                  <c:v>190.20548732798665</c:v>
                </c:pt>
                <c:pt idx="14">
                  <c:v>258.6358272866413</c:v>
                </c:pt>
                <c:pt idx="15">
                  <c:v>351.68539086833624</c:v>
                </c:pt>
                <c:pt idx="16">
                  <c:v>478.21145062450796</c:v>
                </c:pt>
                <c:pt idx="17">
                  <c:v>650.25721500025088</c:v>
                </c:pt>
                <c:pt idx="18">
                  <c:v>884.2006353932959</c:v>
                </c:pt>
                <c:pt idx="19">
                  <c:v>1202.310017628341</c:v>
                </c:pt>
              </c:numCache>
            </c:numRef>
          </c:xVal>
          <c:yVal>
            <c:numRef>
              <c:f>'causes.bin'!$D$273:$D$292</c:f>
              <c:numCache>
                <c:formatCode>General</c:formatCode>
                <c:ptCount val="20"/>
                <c:pt idx="0">
                  <c:v>9.6648940000000003E-3</c:v>
                </c:pt>
                <c:pt idx="1">
                  <c:v>1.0573358E-2</c:v>
                </c:pt>
                <c:pt idx="2">
                  <c:v>1.1566217E-2</c:v>
                </c:pt>
                <c:pt idx="3">
                  <c:v>1.2651114999999999E-2</c:v>
                </c:pt>
                <c:pt idx="4">
                  <c:v>1.3836352E-2</c:v>
                </c:pt>
                <c:pt idx="5">
                  <c:v>1.5130927000000001E-2</c:v>
                </c:pt>
                <c:pt idx="6">
                  <c:v>1.6544593999999999E-2</c:v>
                </c:pt>
                <c:pt idx="7">
                  <c:v>1.8087914E-2</c:v>
                </c:pt>
                <c:pt idx="8">
                  <c:v>1.9772304000000001E-2</c:v>
                </c:pt>
                <c:pt idx="9">
                  <c:v>2.1610095999999999E-2</c:v>
                </c:pt>
                <c:pt idx="10">
                  <c:v>2.3614591000000001E-2</c:v>
                </c:pt>
                <c:pt idx="11">
                  <c:v>2.5800116000000001E-2</c:v>
                </c:pt>
                <c:pt idx="12">
                  <c:v>2.8182071999999999E-2</c:v>
                </c:pt>
                <c:pt idx="13">
                  <c:v>3.0776990000000001E-2</c:v>
                </c:pt>
                <c:pt idx="14">
                  <c:v>3.360258E-2</c:v>
                </c:pt>
                <c:pt idx="15">
                  <c:v>3.6677765000000001E-2</c:v>
                </c:pt>
                <c:pt idx="16">
                  <c:v>4.0022726000000002E-2</c:v>
                </c:pt>
                <c:pt idx="17">
                  <c:v>4.3658915999999999E-2</c:v>
                </c:pt>
                <c:pt idx="18">
                  <c:v>4.7609081999999997E-2</c:v>
                </c:pt>
                <c:pt idx="19">
                  <c:v>5.1897256000000003E-2</c:v>
                </c:pt>
              </c:numCache>
            </c:numRef>
          </c:yVal>
          <c:smooth val="1"/>
          <c:extLst>
            <c:ext xmlns:c16="http://schemas.microsoft.com/office/drawing/2014/chart" uri="{C3380CC4-5D6E-409C-BE32-E72D297353CC}">
              <c16:uniqueId val="{00000006-D1A0-4EA4-BC96-7A9BC1388AAA}"/>
            </c:ext>
          </c:extLst>
        </c:ser>
        <c:ser>
          <c:idx val="7"/>
          <c:order val="7"/>
          <c:spPr>
            <a:ln w="19050">
              <a:solidFill>
                <a:schemeClr val="bg1">
                  <a:lumMod val="75000"/>
                </a:schemeClr>
              </a:solidFill>
              <a:prstDash val="sysDash"/>
            </a:ln>
          </c:spPr>
          <c:marker>
            <c:symbol val="none"/>
          </c:marker>
          <c:xVal>
            <c:numRef>
              <c:f>'causes.bin'!$A$273:$A$292</c:f>
              <c:numCache>
                <c:formatCode>General</c:formatCode>
                <c:ptCount val="20"/>
                <c:pt idx="0">
                  <c:v>3.5008297085958655</c:v>
                </c:pt>
                <c:pt idx="1">
                  <c:v>4.760325270274774</c:v>
                </c:pt>
                <c:pt idx="2">
                  <c:v>6.4729502903771596</c:v>
                </c:pt>
                <c:pt idx="3">
                  <c:v>8.8017186187385814</c:v>
                </c:pt>
                <c:pt idx="4">
                  <c:v>11.968318098921293</c:v>
                </c:pt>
                <c:pt idx="5">
                  <c:v>16.274166935081531</c:v>
                </c:pt>
                <c:pt idx="6">
                  <c:v>22.129133537549606</c:v>
                </c:pt>
                <c:pt idx="7">
                  <c:v>30.090544915517633</c:v>
                </c:pt>
                <c:pt idx="8">
                  <c:v>40.916197027595146</c:v>
                </c:pt>
                <c:pt idx="9">
                  <c:v>55.636641278425422</c:v>
                </c:pt>
                <c:pt idx="10">
                  <c:v>75.653068408496864</c:v>
                </c:pt>
                <c:pt idx="11">
                  <c:v>102.87081729069249</c:v>
                </c:pt>
                <c:pt idx="12">
                  <c:v>139.88057180330756</c:v>
                </c:pt>
                <c:pt idx="13">
                  <c:v>190.20548732798665</c:v>
                </c:pt>
                <c:pt idx="14">
                  <c:v>258.6358272866413</c:v>
                </c:pt>
                <c:pt idx="15">
                  <c:v>351.68539086833624</c:v>
                </c:pt>
                <c:pt idx="16">
                  <c:v>478.21145062450796</c:v>
                </c:pt>
                <c:pt idx="17">
                  <c:v>650.25721500025088</c:v>
                </c:pt>
                <c:pt idx="18">
                  <c:v>884.2006353932959</c:v>
                </c:pt>
                <c:pt idx="19">
                  <c:v>1202.310017628341</c:v>
                </c:pt>
              </c:numCache>
            </c:numRef>
          </c:xVal>
          <c:yVal>
            <c:numRef>
              <c:f>'causes.bin'!$C$273:$C$292</c:f>
              <c:numCache>
                <c:formatCode>General</c:formatCode>
                <c:ptCount val="20"/>
                <c:pt idx="0">
                  <c:v>2.586381E-3</c:v>
                </c:pt>
                <c:pt idx="1">
                  <c:v>3.0415469999999999E-3</c:v>
                </c:pt>
                <c:pt idx="2">
                  <c:v>3.5683020000000002E-3</c:v>
                </c:pt>
                <c:pt idx="3">
                  <c:v>4.1744850000000003E-3</c:v>
                </c:pt>
                <c:pt idx="4">
                  <c:v>4.8673060000000001E-3</c:v>
                </c:pt>
                <c:pt idx="5">
                  <c:v>5.6525539999999997E-3</c:v>
                </c:pt>
                <c:pt idx="6">
                  <c:v>6.5335280000000003E-3</c:v>
                </c:pt>
                <c:pt idx="7">
                  <c:v>7.5097439999999996E-3</c:v>
                </c:pt>
                <c:pt idx="8">
                  <c:v>8.5755290000000001E-3</c:v>
                </c:pt>
                <c:pt idx="9">
                  <c:v>9.7188350000000003E-3</c:v>
                </c:pt>
                <c:pt idx="10">
                  <c:v>1.0920714E-2</c:v>
                </c:pt>
                <c:pt idx="11">
                  <c:v>1.215602E-2</c:v>
                </c:pt>
                <c:pt idx="12">
                  <c:v>1.3395627E-2</c:v>
                </c:pt>
                <c:pt idx="13">
                  <c:v>1.4609932000000001E-2</c:v>
                </c:pt>
                <c:pt idx="14">
                  <c:v>1.5772712000000001E-2</c:v>
                </c:pt>
                <c:pt idx="15">
                  <c:v>1.6864127E-2</c:v>
                </c:pt>
                <c:pt idx="16">
                  <c:v>1.7872042000000001E-2</c:v>
                </c:pt>
                <c:pt idx="17">
                  <c:v>1.8791618999999999E-2</c:v>
                </c:pt>
                <c:pt idx="18">
                  <c:v>1.9623789999999999E-2</c:v>
                </c:pt>
                <c:pt idx="19">
                  <c:v>2.0373353E-2</c:v>
                </c:pt>
              </c:numCache>
            </c:numRef>
          </c:yVal>
          <c:smooth val="1"/>
          <c:extLst>
            <c:ext xmlns:c16="http://schemas.microsoft.com/office/drawing/2014/chart" uri="{C3380CC4-5D6E-409C-BE32-E72D297353CC}">
              <c16:uniqueId val="{00000007-D1A0-4EA4-BC96-7A9BC1388AAA}"/>
            </c:ext>
          </c:extLst>
        </c:ser>
        <c:ser>
          <c:idx val="8"/>
          <c:order val="8"/>
          <c:spPr>
            <a:ln w="19050">
              <a:solidFill>
                <a:schemeClr val="bg1">
                  <a:lumMod val="75000"/>
                </a:schemeClr>
              </a:solidFill>
              <a:prstDash val="sysDash"/>
            </a:ln>
          </c:spPr>
          <c:marker>
            <c:symbol val="none"/>
          </c:marker>
          <c:xVal>
            <c:numRef>
              <c:f>'causes.bin'!$A$273:$A$292</c:f>
              <c:numCache>
                <c:formatCode>General</c:formatCode>
                <c:ptCount val="20"/>
                <c:pt idx="0">
                  <c:v>3.5008297085958655</c:v>
                </c:pt>
                <c:pt idx="1">
                  <c:v>4.760325270274774</c:v>
                </c:pt>
                <c:pt idx="2">
                  <c:v>6.4729502903771596</c:v>
                </c:pt>
                <c:pt idx="3">
                  <c:v>8.8017186187385814</c:v>
                </c:pt>
                <c:pt idx="4">
                  <c:v>11.968318098921293</c:v>
                </c:pt>
                <c:pt idx="5">
                  <c:v>16.274166935081531</c:v>
                </c:pt>
                <c:pt idx="6">
                  <c:v>22.129133537549606</c:v>
                </c:pt>
                <c:pt idx="7">
                  <c:v>30.090544915517633</c:v>
                </c:pt>
                <c:pt idx="8">
                  <c:v>40.916197027595146</c:v>
                </c:pt>
                <c:pt idx="9">
                  <c:v>55.636641278425422</c:v>
                </c:pt>
                <c:pt idx="10">
                  <c:v>75.653068408496864</c:v>
                </c:pt>
                <c:pt idx="11">
                  <c:v>102.87081729069249</c:v>
                </c:pt>
                <c:pt idx="12">
                  <c:v>139.88057180330756</c:v>
                </c:pt>
                <c:pt idx="13">
                  <c:v>190.20548732798665</c:v>
                </c:pt>
                <c:pt idx="14">
                  <c:v>258.6358272866413</c:v>
                </c:pt>
                <c:pt idx="15">
                  <c:v>351.68539086833624</c:v>
                </c:pt>
                <c:pt idx="16">
                  <c:v>478.21145062450796</c:v>
                </c:pt>
                <c:pt idx="17">
                  <c:v>650.25721500025088</c:v>
                </c:pt>
                <c:pt idx="18">
                  <c:v>884.2006353932959</c:v>
                </c:pt>
                <c:pt idx="19">
                  <c:v>1202.310017628341</c:v>
                </c:pt>
              </c:numCache>
            </c:numRef>
          </c:xVal>
          <c:yVal>
            <c:numRef>
              <c:f>'causes.bin'!$B$273:$B$292</c:f>
              <c:numCache>
                <c:formatCode>General</c:formatCode>
                <c:ptCount val="20"/>
                <c:pt idx="0">
                  <c:v>3.5428050000000003E-2</c:v>
                </c:pt>
                <c:pt idx="1">
                  <c:v>3.6081250000000002E-2</c:v>
                </c:pt>
                <c:pt idx="2">
                  <c:v>3.6827930000000002E-2</c:v>
                </c:pt>
                <c:pt idx="3">
                  <c:v>3.7688800000000001E-2</c:v>
                </c:pt>
                <c:pt idx="4">
                  <c:v>3.8690189999999999E-2</c:v>
                </c:pt>
                <c:pt idx="5">
                  <c:v>3.9865709999999999E-2</c:v>
                </c:pt>
                <c:pt idx="6">
                  <c:v>4.1258179999999998E-2</c:v>
                </c:pt>
                <c:pt idx="7">
                  <c:v>4.292203E-2</c:v>
                </c:pt>
                <c:pt idx="8">
                  <c:v>4.4925859999999998E-2</c:v>
                </c:pt>
                <c:pt idx="9">
                  <c:v>4.7354899999999998E-2</c:v>
                </c:pt>
                <c:pt idx="10">
                  <c:v>5.0312849999999999E-2</c:v>
                </c:pt>
                <c:pt idx="11">
                  <c:v>5.3922600000000001E-2</c:v>
                </c:pt>
                <c:pt idx="12">
                  <c:v>5.8325290000000002E-2</c:v>
                </c:pt>
                <c:pt idx="13">
                  <c:v>6.3678090000000007E-2</c:v>
                </c:pt>
                <c:pt idx="14">
                  <c:v>7.0151199999999997E-2</c:v>
                </c:pt>
                <c:pt idx="15">
                  <c:v>7.792528E-2</c:v>
                </c:pt>
                <c:pt idx="16">
                  <c:v>8.7189820000000001E-2</c:v>
                </c:pt>
                <c:pt idx="17">
                  <c:v>9.8142119999999999E-2</c:v>
                </c:pt>
                <c:pt idx="18">
                  <c:v>0.11098587</c:v>
                </c:pt>
                <c:pt idx="19">
                  <c:v>0.12592824999999999</c:v>
                </c:pt>
              </c:numCache>
            </c:numRef>
          </c:yVal>
          <c:smooth val="1"/>
          <c:extLst>
            <c:ext xmlns:c16="http://schemas.microsoft.com/office/drawing/2014/chart" uri="{C3380CC4-5D6E-409C-BE32-E72D297353CC}">
              <c16:uniqueId val="{00000008-D1A0-4EA4-BC96-7A9BC1388AAA}"/>
            </c:ext>
          </c:extLst>
        </c:ser>
        <c:dLbls>
          <c:showLegendKey val="0"/>
          <c:showVal val="0"/>
          <c:showCatName val="0"/>
          <c:showSerName val="0"/>
          <c:showPercent val="0"/>
          <c:showBubbleSize val="0"/>
        </c:dLbls>
        <c:axId val="189225208"/>
        <c:axId val="189225600"/>
      </c:scatterChart>
      <c:valAx>
        <c:axId val="189225208"/>
        <c:scaling>
          <c:orientation val="minMax"/>
          <c:max val="900"/>
          <c:min val="0"/>
        </c:scaling>
        <c:delete val="0"/>
        <c:axPos val="b"/>
        <c:title>
          <c:tx>
            <c:rich>
              <a:bodyPr/>
              <a:lstStyle/>
              <a:p>
                <a:pPr>
                  <a:defRPr/>
                </a:pPr>
                <a:r>
                  <a:rPr lang="en-US"/>
                  <a:t>Distance (m) to nearest perch</a:t>
                </a:r>
              </a:p>
            </c:rich>
          </c:tx>
          <c:layout>
            <c:manualLayout>
              <c:xMode val="edge"/>
              <c:yMode val="edge"/>
              <c:x val="0.27324134758345725"/>
              <c:y val="0.88604225816832394"/>
            </c:manualLayout>
          </c:layout>
          <c:overlay val="0"/>
        </c:title>
        <c:numFmt formatCode="General" sourceLinked="1"/>
        <c:majorTickMark val="out"/>
        <c:minorTickMark val="none"/>
        <c:tickLblPos val="nextTo"/>
        <c:crossAx val="189225600"/>
        <c:crosses val="autoZero"/>
        <c:crossBetween val="midCat"/>
        <c:majorUnit val="200"/>
      </c:valAx>
      <c:valAx>
        <c:axId val="189225600"/>
        <c:scaling>
          <c:orientation val="minMax"/>
        </c:scaling>
        <c:delete val="0"/>
        <c:axPos val="l"/>
        <c:title>
          <c:tx>
            <c:rich>
              <a:bodyPr/>
              <a:lstStyle/>
              <a:p>
                <a:pPr>
                  <a:defRPr/>
                </a:pPr>
                <a:r>
                  <a:rPr lang="en-US"/>
                  <a:t>Birds per hectare</a:t>
                </a:r>
              </a:p>
            </c:rich>
          </c:tx>
          <c:overlay val="0"/>
        </c:title>
        <c:numFmt formatCode="General" sourceLinked="1"/>
        <c:majorTickMark val="out"/>
        <c:minorTickMark val="none"/>
        <c:tickLblPos val="nextTo"/>
        <c:crossAx val="189225208"/>
        <c:crosses val="autoZero"/>
        <c:crossBetween val="midCat"/>
      </c:valAx>
    </c:plotArea>
    <c:legend>
      <c:legendPos val="b"/>
      <c:legendEntry>
        <c:idx val="0"/>
        <c:delete val="1"/>
      </c:legendEntry>
      <c:legendEntry>
        <c:idx val="1"/>
        <c:delete val="1"/>
      </c:legendEntry>
      <c:legendEntry>
        <c:idx val="4"/>
        <c:delete val="1"/>
      </c:legendEntry>
      <c:legendEntry>
        <c:idx val="5"/>
        <c:delete val="1"/>
      </c:legendEntry>
      <c:legendEntry>
        <c:idx val="7"/>
        <c:delete val="1"/>
      </c:legendEntry>
      <c:legendEntry>
        <c:idx val="8"/>
        <c:delete val="1"/>
      </c:legendEntry>
      <c:layout>
        <c:manualLayout>
          <c:xMode val="edge"/>
          <c:yMode val="edge"/>
          <c:x val="0.10836039123390692"/>
          <c:y val="6.2038119523729993E-2"/>
          <c:w val="0.732474481121697"/>
          <c:h val="0.20335246505981899"/>
        </c:manualLayout>
      </c:layout>
      <c:overlay val="0"/>
    </c:legend>
    <c:plotVisOnly val="1"/>
    <c:dispBlanksAs val="gap"/>
    <c:showDLblsOverMax val="0"/>
  </c:chart>
  <c:spPr>
    <a:ln>
      <a:solidFill>
        <a:schemeClr val="bg1"/>
      </a:solidFill>
    </a:ln>
  </c:spPr>
  <c:txPr>
    <a:bodyPr/>
    <a:lstStyle/>
    <a:p>
      <a:pPr>
        <a:defRPr>
          <a:latin typeface="Cambria" panose="02040503050406030204" pitchFamily="18" charset="0"/>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5463906648582701"/>
          <c:y val="4.8297750659955403E-2"/>
          <c:w val="0.78365669495549095"/>
          <c:h val="0.80058837132599636"/>
        </c:manualLayout>
      </c:layout>
      <c:scatterChart>
        <c:scatterStyle val="smoothMarker"/>
        <c:varyColors val="0"/>
        <c:ser>
          <c:idx val="0"/>
          <c:order val="0"/>
          <c:spPr>
            <a:ln w="19050">
              <a:solidFill>
                <a:schemeClr val="tx1"/>
              </a:solidFill>
              <a:prstDash val="sysDash"/>
            </a:ln>
          </c:spPr>
          <c:marker>
            <c:symbol val="none"/>
          </c:marker>
          <c:xVal>
            <c:numRef>
              <c:f>'causes.bin'!$A$2:$A$21</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'causes.bin'!$B$125:$B$144</c:f>
              <c:numCache>
                <c:formatCode>General</c:formatCode>
                <c:ptCount val="20"/>
                <c:pt idx="0">
                  <c:v>0.13317670000000001</c:v>
                </c:pt>
                <c:pt idx="1">
                  <c:v>0.1372323</c:v>
                </c:pt>
                <c:pt idx="2">
                  <c:v>0.14146980000000001</c:v>
                </c:pt>
                <c:pt idx="3">
                  <c:v>0.14591409999999999</c:v>
                </c:pt>
                <c:pt idx="4">
                  <c:v>0.15059829999999999</c:v>
                </c:pt>
                <c:pt idx="5">
                  <c:v>0.15556790000000001</c:v>
                </c:pt>
                <c:pt idx="6">
                  <c:v>0.16088669999999999</c:v>
                </c:pt>
                <c:pt idx="7">
                  <c:v>0.16664689999999999</c:v>
                </c:pt>
                <c:pt idx="8">
                  <c:v>0.17298469999999999</c:v>
                </c:pt>
                <c:pt idx="9">
                  <c:v>0.18010419999999999</c:v>
                </c:pt>
                <c:pt idx="10">
                  <c:v>0.18831049999999999</c:v>
                </c:pt>
                <c:pt idx="11">
                  <c:v>0.1980452</c:v>
                </c:pt>
                <c:pt idx="12">
                  <c:v>0.2098933</c:v>
                </c:pt>
                <c:pt idx="13">
                  <c:v>0.2245152</c:v>
                </c:pt>
                <c:pt idx="14">
                  <c:v>0.24249789999999999</c:v>
                </c:pt>
                <c:pt idx="15">
                  <c:v>0.26424120000000001</c:v>
                </c:pt>
                <c:pt idx="16">
                  <c:v>0.28998380000000001</c:v>
                </c:pt>
                <c:pt idx="17">
                  <c:v>0.31991720000000001</c:v>
                </c:pt>
                <c:pt idx="18">
                  <c:v>0.35427750000000002</c:v>
                </c:pt>
                <c:pt idx="19">
                  <c:v>0.39338509999999999</c:v>
                </c:pt>
              </c:numCache>
            </c:numRef>
          </c:yVal>
          <c:smooth val="1"/>
          <c:extLst>
            <c:ext xmlns:c16="http://schemas.microsoft.com/office/drawing/2014/chart" uri="{C3380CC4-5D6E-409C-BE32-E72D297353CC}">
              <c16:uniqueId val="{00000000-86EC-4EBD-AB73-906C15DCAF18}"/>
            </c:ext>
          </c:extLst>
        </c:ser>
        <c:ser>
          <c:idx val="1"/>
          <c:order val="1"/>
          <c:spPr>
            <a:ln w="19050">
              <a:solidFill>
                <a:schemeClr val="tx1"/>
              </a:solidFill>
              <a:prstDash val="sysDash"/>
            </a:ln>
          </c:spPr>
          <c:marker>
            <c:symbol val="none"/>
          </c:marker>
          <c:xVal>
            <c:numRef>
              <c:f>'causes.bin'!$A$2:$A$21</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'causes.bin'!$C$125:$C$144</c:f>
              <c:numCache>
                <c:formatCode>General</c:formatCode>
                <c:ptCount val="20"/>
                <c:pt idx="0">
                  <c:v>4.1360380000000002E-2</c:v>
                </c:pt>
                <c:pt idx="1">
                  <c:v>4.6227579999999997E-2</c:v>
                </c:pt>
                <c:pt idx="2">
                  <c:v>5.1646209999999998E-2</c:v>
                </c:pt>
                <c:pt idx="3">
                  <c:v>5.7669959999999999E-2</c:v>
                </c:pt>
                <c:pt idx="4">
                  <c:v>6.435341E-2</c:v>
                </c:pt>
                <c:pt idx="5">
                  <c:v>7.1749099999999996E-2</c:v>
                </c:pt>
                <c:pt idx="6">
                  <c:v>7.9902639999999997E-2</c:v>
                </c:pt>
                <c:pt idx="7">
                  <c:v>8.8844119999999999E-2</c:v>
                </c:pt>
                <c:pt idx="8">
                  <c:v>9.8574129999999996E-2</c:v>
                </c:pt>
                <c:pt idx="9">
                  <c:v>0.10904144</c:v>
                </c:pt>
                <c:pt idx="10">
                  <c:v>0.12011173999999999</c:v>
                </c:pt>
                <c:pt idx="11">
                  <c:v>0.13153474000000001</c:v>
                </c:pt>
                <c:pt idx="12">
                  <c:v>0.14293906000000001</c:v>
                </c:pt>
                <c:pt idx="13">
                  <c:v>0.15390354000000001</c:v>
                </c:pt>
                <c:pt idx="14">
                  <c:v>0.16410844999999999</c:v>
                </c:pt>
                <c:pt idx="15">
                  <c:v>0.17345351000000001</c:v>
                </c:pt>
                <c:pt idx="16">
                  <c:v>0.1820349</c:v>
                </c:pt>
                <c:pt idx="17">
                  <c:v>0.19003585000000001</c:v>
                </c:pt>
                <c:pt idx="18">
                  <c:v>0.19763975</c:v>
                </c:pt>
                <c:pt idx="19">
                  <c:v>0.20499566</c:v>
                </c:pt>
              </c:numCache>
            </c:numRef>
          </c:yVal>
          <c:smooth val="1"/>
          <c:extLst>
            <c:ext xmlns:c16="http://schemas.microsoft.com/office/drawing/2014/chart" uri="{C3380CC4-5D6E-409C-BE32-E72D297353CC}">
              <c16:uniqueId val="{00000001-86EC-4EBD-AB73-906C15DCAF18}"/>
            </c:ext>
          </c:extLst>
        </c:ser>
        <c:ser>
          <c:idx val="2"/>
          <c:order val="2"/>
          <c:tx>
            <c:strRef>
              <c:f>'causes.bin'!$U$130</c:f>
              <c:strCache>
                <c:ptCount val="1"/>
                <c:pt idx="0">
                  <c:v>Baird's sparrow</c:v>
                </c:pt>
              </c:strCache>
            </c:strRef>
          </c:tx>
          <c:spPr>
            <a:ln w="25400">
              <a:solidFill>
                <a:schemeClr val="tx1"/>
              </a:solidFill>
            </a:ln>
          </c:spPr>
          <c:marker>
            <c:symbol val="none"/>
          </c:marker>
          <c:xVal>
            <c:numRef>
              <c:f>'causes.bin'!$A$2:$A$21</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'causes.bin'!$D$125:$D$144</c:f>
              <c:numCache>
                <c:formatCode>General</c:formatCode>
                <c:ptCount val="20"/>
                <c:pt idx="0">
                  <c:v>7.4217519999999995E-2</c:v>
                </c:pt>
                <c:pt idx="1">
                  <c:v>7.9648720000000006E-2</c:v>
                </c:pt>
                <c:pt idx="2">
                  <c:v>8.5477369999999997E-2</c:v>
                </c:pt>
                <c:pt idx="3">
                  <c:v>9.1732560000000005E-2</c:v>
                </c:pt>
                <c:pt idx="4">
                  <c:v>9.8445500000000005E-2</c:v>
                </c:pt>
                <c:pt idx="5">
                  <c:v>0.10564969</c:v>
                </c:pt>
                <c:pt idx="6">
                  <c:v>0.11338108</c:v>
                </c:pt>
                <c:pt idx="7">
                  <c:v>0.12167825</c:v>
                </c:pt>
                <c:pt idx="8">
                  <c:v>0.13058259999999999</c:v>
                </c:pt>
                <c:pt idx="9">
                  <c:v>0.14013856999999999</c:v>
                </c:pt>
                <c:pt idx="10">
                  <c:v>0.15039384</c:v>
                </c:pt>
                <c:pt idx="11">
                  <c:v>0.16139957999999999</c:v>
                </c:pt>
                <c:pt idx="12">
                  <c:v>0.17321072000000001</c:v>
                </c:pt>
                <c:pt idx="13">
                  <c:v>0.18588619000000001</c:v>
                </c:pt>
                <c:pt idx="14">
                  <c:v>0.19948925000000001</c:v>
                </c:pt>
                <c:pt idx="15">
                  <c:v>0.21408777000000001</c:v>
                </c:pt>
                <c:pt idx="16">
                  <c:v>0.2297546</c:v>
                </c:pt>
                <c:pt idx="17">
                  <c:v>0.24656792</c:v>
                </c:pt>
                <c:pt idx="18">
                  <c:v>0.26461163999999998</c:v>
                </c:pt>
                <c:pt idx="19">
                  <c:v>0.28397578000000001</c:v>
                </c:pt>
              </c:numCache>
            </c:numRef>
          </c:yVal>
          <c:smooth val="1"/>
          <c:extLst>
            <c:ext xmlns:c16="http://schemas.microsoft.com/office/drawing/2014/chart" uri="{C3380CC4-5D6E-409C-BE32-E72D297353CC}">
              <c16:uniqueId val="{00000002-86EC-4EBD-AB73-906C15DCAF18}"/>
            </c:ext>
          </c:extLst>
        </c:ser>
        <c:ser>
          <c:idx val="3"/>
          <c:order val="3"/>
          <c:tx>
            <c:strRef>
              <c:f>'causes.bin'!$U$131</c:f>
              <c:strCache>
                <c:ptCount val="1"/>
                <c:pt idx="0">
                  <c:v>Chestnut-collared longspur</c:v>
                </c:pt>
              </c:strCache>
            </c:strRef>
          </c:tx>
          <c:spPr>
            <a:ln w="25400">
              <a:solidFill>
                <a:schemeClr val="bg1">
                  <a:lumMod val="50000"/>
                </a:schemeClr>
              </a:solidFill>
            </a:ln>
          </c:spPr>
          <c:marker>
            <c:symbol val="none"/>
          </c:marker>
          <c:xVal>
            <c:numRef>
              <c:f>'causes.bin'!$F$273:$F$292</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'causes.bin'!$I$273:$I$292</c:f>
              <c:numCache>
                <c:formatCode>General</c:formatCode>
                <c:ptCount val="20"/>
                <c:pt idx="0">
                  <c:v>0.13018326</c:v>
                </c:pt>
                <c:pt idx="1">
                  <c:v>0.11580007</c:v>
                </c:pt>
                <c:pt idx="2">
                  <c:v>0.10281815</c:v>
                </c:pt>
                <c:pt idx="3">
                  <c:v>9.1141570000000005E-2</c:v>
                </c:pt>
                <c:pt idx="4">
                  <c:v>8.0671820000000005E-2</c:v>
                </c:pt>
                <c:pt idx="5">
                  <c:v>7.1310390000000001E-2</c:v>
                </c:pt>
                <c:pt idx="6">
                  <c:v>6.29609E-2</c:v>
                </c:pt>
                <c:pt idx="7">
                  <c:v>5.553056E-2</c:v>
                </c:pt>
                <c:pt idx="8">
                  <c:v>4.8931330000000002E-2</c:v>
                </c:pt>
                <c:pt idx="9">
                  <c:v>4.3080569999999999E-2</c:v>
                </c:pt>
                <c:pt idx="10">
                  <c:v>3.7901520000000001E-2</c:v>
                </c:pt>
                <c:pt idx="11">
                  <c:v>3.3323390000000001E-2</c:v>
                </c:pt>
                <c:pt idx="12">
                  <c:v>2.9281430000000001E-2</c:v>
                </c:pt>
                <c:pt idx="13">
                  <c:v>2.5716699999999999E-2</c:v>
                </c:pt>
                <c:pt idx="14">
                  <c:v>2.257584E-2</c:v>
                </c:pt>
                <c:pt idx="15">
                  <c:v>1.9810790000000002E-2</c:v>
                </c:pt>
                <c:pt idx="16">
                  <c:v>1.7378379999999999E-2</c:v>
                </c:pt>
                <c:pt idx="17">
                  <c:v>1.523997E-2</c:v>
                </c:pt>
                <c:pt idx="18">
                  <c:v>1.3361120000000001E-2</c:v>
                </c:pt>
                <c:pt idx="19">
                  <c:v>1.171115E-2</c:v>
                </c:pt>
              </c:numCache>
            </c:numRef>
          </c:yVal>
          <c:smooth val="1"/>
          <c:extLst>
            <c:ext xmlns:c16="http://schemas.microsoft.com/office/drawing/2014/chart" uri="{C3380CC4-5D6E-409C-BE32-E72D297353CC}">
              <c16:uniqueId val="{00000003-86EC-4EBD-AB73-906C15DCAF18}"/>
            </c:ext>
          </c:extLst>
        </c:ser>
        <c:ser>
          <c:idx val="4"/>
          <c:order val="4"/>
          <c:spPr>
            <a:ln w="19050">
              <a:solidFill>
                <a:schemeClr val="bg1">
                  <a:lumMod val="50000"/>
                </a:schemeClr>
              </a:solidFill>
              <a:prstDash val="sysDash"/>
            </a:ln>
          </c:spPr>
          <c:marker>
            <c:symbol val="none"/>
          </c:marker>
          <c:xVal>
            <c:numRef>
              <c:f>'causes.bin'!$F$273:$F$292</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'causes.bin'!$H$273:$H$292</c:f>
              <c:numCache>
                <c:formatCode>General</c:formatCode>
                <c:ptCount val="20"/>
                <c:pt idx="0">
                  <c:v>3.9196257999999998E-2</c:v>
                </c:pt>
                <c:pt idx="1">
                  <c:v>3.7017572999999998E-2</c:v>
                </c:pt>
                <c:pt idx="2">
                  <c:v>3.4866579000000002E-2</c:v>
                </c:pt>
                <c:pt idx="3">
                  <c:v>3.2736024000000002E-2</c:v>
                </c:pt>
                <c:pt idx="4">
                  <c:v>3.0618636000000001E-2</c:v>
                </c:pt>
                <c:pt idx="5">
                  <c:v>2.8507608E-2</c:v>
                </c:pt>
                <c:pt idx="6">
                  <c:v>2.6397403E-2</c:v>
                </c:pt>
                <c:pt idx="7">
                  <c:v>2.4284984999999999E-2</c:v>
                </c:pt>
                <c:pt idx="8">
                  <c:v>2.2171481999999999E-2</c:v>
                </c:pt>
                <c:pt idx="9">
                  <c:v>2.0064096999999999E-2</c:v>
                </c:pt>
                <c:pt idx="10">
                  <c:v>1.7977712E-2</c:v>
                </c:pt>
                <c:pt idx="11">
                  <c:v>1.5935326E-2</c:v>
                </c:pt>
                <c:pt idx="12">
                  <c:v>1.3966454E-2</c:v>
                </c:pt>
                <c:pt idx="13">
                  <c:v>1.2103297000000001E-2</c:v>
                </c:pt>
                <c:pt idx="14">
                  <c:v>1.0375633E-2</c:v>
                </c:pt>
                <c:pt idx="15">
                  <c:v>8.8061670000000002E-3</c:v>
                </c:pt>
                <c:pt idx="16">
                  <c:v>7.4078399999999997E-3</c:v>
                </c:pt>
                <c:pt idx="17">
                  <c:v>6.1835420000000002E-3</c:v>
                </c:pt>
                <c:pt idx="18">
                  <c:v>5.1276669999999998E-3</c:v>
                </c:pt>
                <c:pt idx="19">
                  <c:v>4.228547E-3</c:v>
                </c:pt>
              </c:numCache>
            </c:numRef>
          </c:yVal>
          <c:smooth val="1"/>
          <c:extLst>
            <c:ext xmlns:c16="http://schemas.microsoft.com/office/drawing/2014/chart" uri="{C3380CC4-5D6E-409C-BE32-E72D297353CC}">
              <c16:uniqueId val="{00000004-86EC-4EBD-AB73-906C15DCAF18}"/>
            </c:ext>
          </c:extLst>
        </c:ser>
        <c:ser>
          <c:idx val="5"/>
          <c:order val="5"/>
          <c:spPr>
            <a:ln w="19050">
              <a:solidFill>
                <a:schemeClr val="bg1">
                  <a:lumMod val="50000"/>
                </a:schemeClr>
              </a:solidFill>
              <a:prstDash val="sysDash"/>
            </a:ln>
          </c:spPr>
          <c:marker>
            <c:symbol val="none"/>
          </c:marker>
          <c:xVal>
            <c:numRef>
              <c:f>'causes.bin'!$F$273:$F$292</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'causes.bin'!$G$273:$G$292</c:f>
              <c:numCache>
                <c:formatCode>General</c:formatCode>
                <c:ptCount val="20"/>
                <c:pt idx="0">
                  <c:v>0.35446041</c:v>
                </c:pt>
                <c:pt idx="1">
                  <c:v>0.30853151000000001</c:v>
                </c:pt>
                <c:pt idx="2">
                  <c:v>0.26661685000000002</c:v>
                </c:pt>
                <c:pt idx="3">
                  <c:v>0.22907259999999999</c:v>
                </c:pt>
                <c:pt idx="4">
                  <c:v>0.19600411000000001</c:v>
                </c:pt>
                <c:pt idx="5">
                  <c:v>0.16731145</c:v>
                </c:pt>
                <c:pt idx="6">
                  <c:v>0.14274387999999999</c:v>
                </c:pt>
                <c:pt idx="7">
                  <c:v>0.12195269</c:v>
                </c:pt>
                <c:pt idx="8">
                  <c:v>0.10453610000000001</c:v>
                </c:pt>
                <c:pt idx="9">
                  <c:v>9.0073410000000007E-2</c:v>
                </c:pt>
                <c:pt idx="10">
                  <c:v>7.814873E-2</c:v>
                </c:pt>
                <c:pt idx="11">
                  <c:v>6.8366570000000002E-2</c:v>
                </c:pt>
                <c:pt idx="12">
                  <c:v>6.0362060000000002E-2</c:v>
                </c:pt>
                <c:pt idx="13">
                  <c:v>5.3808019999999998E-2</c:v>
                </c:pt>
                <c:pt idx="14">
                  <c:v>4.8419810000000001E-2</c:v>
                </c:pt>
                <c:pt idx="15">
                  <c:v>4.3957469999999998E-2</c:v>
                </c:pt>
                <c:pt idx="16">
                  <c:v>4.0224849999999999E-2</c:v>
                </c:pt>
                <c:pt idx="17">
                  <c:v>3.706578E-2</c:v>
                </c:pt>
                <c:pt idx="18">
                  <c:v>3.4358409999999999E-2</c:v>
                </c:pt>
                <c:pt idx="19">
                  <c:v>3.2008950000000001E-2</c:v>
                </c:pt>
              </c:numCache>
            </c:numRef>
          </c:yVal>
          <c:smooth val="1"/>
          <c:extLst>
            <c:ext xmlns:c16="http://schemas.microsoft.com/office/drawing/2014/chart" uri="{C3380CC4-5D6E-409C-BE32-E72D297353CC}">
              <c16:uniqueId val="{00000005-86EC-4EBD-AB73-906C15DCAF18}"/>
            </c:ext>
          </c:extLst>
        </c:ser>
        <c:ser>
          <c:idx val="6"/>
          <c:order val="6"/>
          <c:tx>
            <c:strRef>
              <c:f>'causes.bin'!$U$132</c:f>
              <c:strCache>
                <c:ptCount val="1"/>
                <c:pt idx="0">
                  <c:v>Sprague's pipit</c:v>
                </c:pt>
              </c:strCache>
            </c:strRef>
          </c:tx>
          <c:spPr>
            <a:ln w="25400">
              <a:solidFill>
                <a:schemeClr val="bg1">
                  <a:lumMod val="75000"/>
                </a:schemeClr>
              </a:solidFill>
            </a:ln>
          </c:spPr>
          <c:marker>
            <c:symbol val="none"/>
          </c:marker>
          <c:xVal>
            <c:numRef>
              <c:f>'causes.bin'!$A$2:$A$21</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'causes.bin'!$E$2:$E$21</c:f>
              <c:numCache>
                <c:formatCode>General</c:formatCode>
                <c:ptCount val="20"/>
                <c:pt idx="0">
                  <c:v>0.1241876</c:v>
                </c:pt>
                <c:pt idx="1">
                  <c:v>0.13192090000000001</c:v>
                </c:pt>
                <c:pt idx="2">
                  <c:v>0.1401357</c:v>
                </c:pt>
                <c:pt idx="3">
                  <c:v>0.14886199999999999</c:v>
                </c:pt>
                <c:pt idx="4">
                  <c:v>0.15813179999999999</c:v>
                </c:pt>
                <c:pt idx="5">
                  <c:v>0.16797870000000001</c:v>
                </c:pt>
                <c:pt idx="6">
                  <c:v>0.17843890000000001</c:v>
                </c:pt>
                <c:pt idx="7">
                  <c:v>0.18955040000000001</c:v>
                </c:pt>
                <c:pt idx="8">
                  <c:v>0.2013538</c:v>
                </c:pt>
                <c:pt idx="9">
                  <c:v>0.21389230000000001</c:v>
                </c:pt>
                <c:pt idx="10">
                  <c:v>0.22721150000000001</c:v>
                </c:pt>
                <c:pt idx="11">
                  <c:v>0.24136009999999999</c:v>
                </c:pt>
                <c:pt idx="12">
                  <c:v>0.2563897</c:v>
                </c:pt>
                <c:pt idx="13">
                  <c:v>0.27235530000000002</c:v>
                </c:pt>
                <c:pt idx="14">
                  <c:v>0.28931499999999999</c:v>
                </c:pt>
                <c:pt idx="15">
                  <c:v>0.30733090000000002</c:v>
                </c:pt>
                <c:pt idx="16">
                  <c:v>0.3264686</c:v>
                </c:pt>
                <c:pt idx="17">
                  <c:v>0.346798</c:v>
                </c:pt>
                <c:pt idx="18">
                  <c:v>0.36839339999999998</c:v>
                </c:pt>
                <c:pt idx="19">
                  <c:v>0.3913335</c:v>
                </c:pt>
              </c:numCache>
            </c:numRef>
          </c:yVal>
          <c:smooth val="1"/>
          <c:extLst>
            <c:ext xmlns:c16="http://schemas.microsoft.com/office/drawing/2014/chart" uri="{C3380CC4-5D6E-409C-BE32-E72D297353CC}">
              <c16:uniqueId val="{00000006-86EC-4EBD-AB73-906C15DCAF18}"/>
            </c:ext>
          </c:extLst>
        </c:ser>
        <c:ser>
          <c:idx val="7"/>
          <c:order val="7"/>
          <c:spPr>
            <a:ln w="19050">
              <a:solidFill>
                <a:schemeClr val="bg1">
                  <a:lumMod val="75000"/>
                </a:schemeClr>
              </a:solidFill>
              <a:prstDash val="sysDash"/>
            </a:ln>
          </c:spPr>
          <c:marker>
            <c:symbol val="none"/>
          </c:marker>
          <c:xVal>
            <c:numRef>
              <c:f>'causes.bin'!$A$2:$A$21</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'causes.bin'!$D$2:$D$21</c:f>
              <c:numCache>
                <c:formatCode>General</c:formatCode>
                <c:ptCount val="20"/>
                <c:pt idx="0">
                  <c:v>7.4452340000000006E-2</c:v>
                </c:pt>
                <c:pt idx="1">
                  <c:v>8.2060939999999999E-2</c:v>
                </c:pt>
                <c:pt idx="2">
                  <c:v>9.0385969999999996E-2</c:v>
                </c:pt>
                <c:pt idx="3">
                  <c:v>9.9470169999999997E-2</c:v>
                </c:pt>
                <c:pt idx="4">
                  <c:v>0.10934647</c:v>
                </c:pt>
                <c:pt idx="5">
                  <c:v>0.12003004</c:v>
                </c:pt>
                <c:pt idx="6">
                  <c:v>0.13150617000000001</c:v>
                </c:pt>
                <c:pt idx="7">
                  <c:v>0.14371275999999999</c:v>
                </c:pt>
                <c:pt idx="8">
                  <c:v>0.15651756999999999</c:v>
                </c:pt>
                <c:pt idx="9">
                  <c:v>0.16969513</c:v>
                </c:pt>
                <c:pt idx="10">
                  <c:v>0.18291874</c:v>
                </c:pt>
                <c:pt idx="11">
                  <c:v>0.19579426999999999</c:v>
                </c:pt>
                <c:pt idx="12">
                  <c:v>0.20795131</c:v>
                </c:pt>
                <c:pt idx="13">
                  <c:v>0.21915490000000001</c:v>
                </c:pt>
                <c:pt idx="14">
                  <c:v>0.22935783000000001</c:v>
                </c:pt>
                <c:pt idx="15">
                  <c:v>0.23866171999999999</c:v>
                </c:pt>
                <c:pt idx="16">
                  <c:v>0.24723671</c:v>
                </c:pt>
                <c:pt idx="17">
                  <c:v>0.25525832999999998</c:v>
                </c:pt>
                <c:pt idx="18">
                  <c:v>0.26287762999999997</c:v>
                </c:pt>
                <c:pt idx="19">
                  <c:v>0.27021432000000001</c:v>
                </c:pt>
              </c:numCache>
            </c:numRef>
          </c:yVal>
          <c:smooth val="1"/>
          <c:extLst>
            <c:ext xmlns:c16="http://schemas.microsoft.com/office/drawing/2014/chart" uri="{C3380CC4-5D6E-409C-BE32-E72D297353CC}">
              <c16:uniqueId val="{00000007-86EC-4EBD-AB73-906C15DCAF18}"/>
            </c:ext>
          </c:extLst>
        </c:ser>
        <c:ser>
          <c:idx val="8"/>
          <c:order val="8"/>
          <c:spPr>
            <a:ln w="19050">
              <a:solidFill>
                <a:schemeClr val="bg1">
                  <a:lumMod val="75000"/>
                </a:schemeClr>
              </a:solidFill>
              <a:prstDash val="sysDash"/>
            </a:ln>
          </c:spPr>
          <c:marker>
            <c:symbol val="none"/>
          </c:marker>
          <c:xVal>
            <c:numRef>
              <c:f>'causes.bin'!$A$2:$A$21</c:f>
              <c:numCache>
                <c:formatCode>General</c:formatCode>
                <c:ptCount val="20"/>
                <c:pt idx="0">
                  <c:v>2.4992732759606522</c:v>
                </c:pt>
                <c:pt idx="1">
                  <c:v>3.4014812550553186</c:v>
                </c:pt>
                <c:pt idx="2">
                  <c:v>4.6293709734388884</c:v>
                </c:pt>
                <c:pt idx="3">
                  <c:v>6.3005189309668292</c:v>
                </c:pt>
                <c:pt idx="4">
                  <c:v>8.5749228849258206</c:v>
                </c:pt>
                <c:pt idx="5">
                  <c:v>11.670368237506517</c:v>
                </c:pt>
                <c:pt idx="6">
                  <c:v>15.883216727348151</c:v>
                </c:pt>
                <c:pt idx="7">
                  <c:v>21.616869386677823</c:v>
                </c:pt>
                <c:pt idx="8">
                  <c:v>29.420273160869886</c:v>
                </c:pt>
                <c:pt idx="9">
                  <c:v>40.040642469095694</c:v>
                </c:pt>
                <c:pt idx="10">
                  <c:v>54.494784508598272</c:v>
                </c:pt>
                <c:pt idx="11">
                  <c:v>74.166754707136832</c:v>
                </c:pt>
                <c:pt idx="12">
                  <c:v>100.93997164473492</c:v>
                </c:pt>
                <c:pt idx="13">
                  <c:v>137.37810296211353</c:v>
                </c:pt>
                <c:pt idx="14">
                  <c:v>186.96978009028138</c:v>
                </c:pt>
                <c:pt idx="15">
                  <c:v>254.46365083644412</c:v>
                </c:pt>
                <c:pt idx="16">
                  <c:v>346.32166125471286</c:v>
                </c:pt>
                <c:pt idx="17">
                  <c:v>471.33966913831387</c:v>
                </c:pt>
                <c:pt idx="18">
                  <c:v>641.48705205894566</c:v>
                </c:pt>
                <c:pt idx="19">
                  <c:v>873.05626156487267</c:v>
                </c:pt>
              </c:numCache>
            </c:numRef>
          </c:xVal>
          <c:yVal>
            <c:numRef>
              <c:f>'causes.bin'!$C$2:$C$21</c:f>
              <c:numCache>
                <c:formatCode>General</c:formatCode>
                <c:ptCount val="20"/>
                <c:pt idx="0">
                  <c:v>0.20714679999999999</c:v>
                </c:pt>
                <c:pt idx="1">
                  <c:v>0.2120755</c:v>
                </c:pt>
                <c:pt idx="2">
                  <c:v>0.2172683</c:v>
                </c:pt>
                <c:pt idx="3">
                  <c:v>0.22277939999999999</c:v>
                </c:pt>
                <c:pt idx="4">
                  <c:v>0.22868279999999999</c:v>
                </c:pt>
                <c:pt idx="5">
                  <c:v>0.2350816</c:v>
                </c:pt>
                <c:pt idx="6">
                  <c:v>0.24212120000000001</c:v>
                </c:pt>
                <c:pt idx="7">
                  <c:v>0.25000810000000001</c:v>
                </c:pt>
                <c:pt idx="8">
                  <c:v>0.25903389999999998</c:v>
                </c:pt>
                <c:pt idx="9">
                  <c:v>0.26960050000000002</c:v>
                </c:pt>
                <c:pt idx="10">
                  <c:v>0.28222940000000002</c:v>
                </c:pt>
                <c:pt idx="11">
                  <c:v>0.29753010000000002</c:v>
                </c:pt>
                <c:pt idx="12">
                  <c:v>0.31611099999999998</c:v>
                </c:pt>
                <c:pt idx="13">
                  <c:v>0.3384702</c:v>
                </c:pt>
                <c:pt idx="14">
                  <c:v>0.36494589999999999</c:v>
                </c:pt>
                <c:pt idx="15">
                  <c:v>0.395758</c:v>
                </c:pt>
                <c:pt idx="16">
                  <c:v>0.43109189999999997</c:v>
                </c:pt>
                <c:pt idx="17">
                  <c:v>0.47116530000000001</c:v>
                </c:pt>
                <c:pt idx="18">
                  <c:v>0.51626170000000005</c:v>
                </c:pt>
                <c:pt idx="19">
                  <c:v>0.56674230000000003</c:v>
                </c:pt>
              </c:numCache>
            </c:numRef>
          </c:yVal>
          <c:smooth val="1"/>
          <c:extLst>
            <c:ext xmlns:c16="http://schemas.microsoft.com/office/drawing/2014/chart" uri="{C3380CC4-5D6E-409C-BE32-E72D297353CC}">
              <c16:uniqueId val="{00000008-86EC-4EBD-AB73-906C15DCAF18}"/>
            </c:ext>
          </c:extLst>
        </c:ser>
        <c:dLbls>
          <c:showLegendKey val="0"/>
          <c:showVal val="0"/>
          <c:showCatName val="0"/>
          <c:showSerName val="0"/>
          <c:showPercent val="0"/>
          <c:showBubbleSize val="0"/>
        </c:dLbls>
        <c:axId val="189226384"/>
        <c:axId val="189226776"/>
      </c:scatterChart>
      <c:valAx>
        <c:axId val="189226384"/>
        <c:scaling>
          <c:orientation val="minMax"/>
          <c:max val="900"/>
          <c:min val="0"/>
        </c:scaling>
        <c:delete val="0"/>
        <c:axPos val="b"/>
        <c:title>
          <c:tx>
            <c:rich>
              <a:bodyPr/>
              <a:lstStyle/>
              <a:p>
                <a:pPr>
                  <a:defRPr/>
                </a:pPr>
                <a:r>
                  <a:rPr lang="en-US"/>
                  <a:t>Distance (m) to nearest road</a:t>
                </a:r>
              </a:p>
            </c:rich>
          </c:tx>
          <c:layout>
            <c:manualLayout>
              <c:xMode val="edge"/>
              <c:yMode val="edge"/>
              <c:x val="0.24915924843736439"/>
              <c:y val="0.92852122420662753"/>
            </c:manualLayout>
          </c:layout>
          <c:overlay val="0"/>
        </c:title>
        <c:numFmt formatCode="General" sourceLinked="1"/>
        <c:majorTickMark val="out"/>
        <c:minorTickMark val="none"/>
        <c:tickLblPos val="nextTo"/>
        <c:crossAx val="189226776"/>
        <c:crosses val="autoZero"/>
        <c:crossBetween val="midCat"/>
      </c:valAx>
      <c:valAx>
        <c:axId val="189226776"/>
        <c:scaling>
          <c:orientation val="minMax"/>
        </c:scaling>
        <c:delete val="0"/>
        <c:axPos val="l"/>
        <c:title>
          <c:tx>
            <c:rich>
              <a:bodyPr/>
              <a:lstStyle/>
              <a:p>
                <a:pPr>
                  <a:defRPr/>
                </a:pPr>
                <a:r>
                  <a:rPr lang="en-US"/>
                  <a:t>Birds per hectare</a:t>
                </a:r>
              </a:p>
            </c:rich>
          </c:tx>
          <c:overlay val="0"/>
        </c:title>
        <c:numFmt formatCode="General" sourceLinked="1"/>
        <c:majorTickMark val="out"/>
        <c:minorTickMark val="none"/>
        <c:tickLblPos val="nextTo"/>
        <c:crossAx val="189226384"/>
        <c:crosses val="autoZero"/>
        <c:crossBetween val="midCat"/>
      </c:valAx>
    </c:plotArea>
    <c:legend>
      <c:legendPos val="b"/>
      <c:legendEntry>
        <c:idx val="0"/>
        <c:delete val="1"/>
      </c:legendEntry>
      <c:legendEntry>
        <c:idx val="1"/>
        <c:delete val="1"/>
      </c:legendEntry>
      <c:legendEntry>
        <c:idx val="4"/>
        <c:delete val="1"/>
      </c:legendEntry>
      <c:legendEntry>
        <c:idx val="5"/>
        <c:delete val="1"/>
      </c:legendEntry>
      <c:legendEntry>
        <c:idx val="7"/>
        <c:delete val="1"/>
      </c:legendEntry>
      <c:legendEntry>
        <c:idx val="8"/>
        <c:delete val="1"/>
      </c:legendEntry>
      <c:layout>
        <c:manualLayout>
          <c:xMode val="edge"/>
          <c:yMode val="edge"/>
          <c:x val="0.15201972673234301"/>
          <c:y val="2.612376269528659E-2"/>
          <c:w val="0.67434827076267501"/>
          <c:h val="0.1650173061540153"/>
        </c:manualLayout>
      </c:layout>
      <c:overlay val="0"/>
    </c:legend>
    <c:plotVisOnly val="1"/>
    <c:dispBlanksAs val="gap"/>
    <c:showDLblsOverMax val="0"/>
  </c:chart>
  <c:spPr>
    <a:ln>
      <a:noFill/>
    </a:ln>
  </c:spPr>
  <c:txPr>
    <a:bodyPr/>
    <a:lstStyle/>
    <a:p>
      <a:pPr>
        <a:defRPr>
          <a:latin typeface="Cambria" panose="02040503050406030204" pitchFamily="18" charset="0"/>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2426709695321"/>
          <c:y val="6.45905584516617E-2"/>
          <c:w val="0.78188919361184128"/>
          <c:h val="0.80039588195519862"/>
        </c:manualLayout>
      </c:layout>
      <c:scatterChart>
        <c:scatterStyle val="smoothMarker"/>
        <c:varyColors val="0"/>
        <c:ser>
          <c:idx val="0"/>
          <c:order val="0"/>
          <c:spPr>
            <a:ln w="19050" cmpd="sng">
              <a:solidFill>
                <a:schemeClr val="tx1"/>
              </a:solidFill>
              <a:prstDash val="dash"/>
            </a:ln>
          </c:spPr>
          <c:marker>
            <c:symbol val="none"/>
          </c:marker>
          <c:xVal>
            <c:numRef>
              <c:f>[New_models_graphs_table.xlsx]causes.site!$E$88:$E$107</c:f>
              <c:numCache>
                <c:formatCode>General</c:formatCode>
                <c:ptCount val="20"/>
                <c:pt idx="0">
                  <c:v>0</c:v>
                </c:pt>
                <c:pt idx="1">
                  <c:v>1.3157890000000001</c:v>
                </c:pt>
                <c:pt idx="2">
                  <c:v>2.6315789999999981</c:v>
                </c:pt>
                <c:pt idx="3">
                  <c:v>3.947368</c:v>
                </c:pt>
                <c:pt idx="4">
                  <c:v>5.26315799999999</c:v>
                </c:pt>
                <c:pt idx="5">
                  <c:v>6.5789470000000003</c:v>
                </c:pt>
                <c:pt idx="6">
                  <c:v>7.8947369999999841</c:v>
                </c:pt>
                <c:pt idx="7">
                  <c:v>9.2105259999999998</c:v>
                </c:pt>
                <c:pt idx="8">
                  <c:v>10.526316</c:v>
                </c:pt>
                <c:pt idx="9">
                  <c:v>11.842105</c:v>
                </c:pt>
                <c:pt idx="10">
                  <c:v>13.157895</c:v>
                </c:pt>
                <c:pt idx="11">
                  <c:v>14.473684</c:v>
                </c:pt>
                <c:pt idx="12">
                  <c:v>15.789474</c:v>
                </c:pt>
                <c:pt idx="13">
                  <c:v>17.105263000000001</c:v>
                </c:pt>
                <c:pt idx="14">
                  <c:v>18.421053000000001</c:v>
                </c:pt>
                <c:pt idx="15">
                  <c:v>19.736841999999999</c:v>
                </c:pt>
                <c:pt idx="16">
                  <c:v>21.052631999999999</c:v>
                </c:pt>
                <c:pt idx="17">
                  <c:v>22.368421000000001</c:v>
                </c:pt>
                <c:pt idx="18">
                  <c:v>23.684211000000001</c:v>
                </c:pt>
                <c:pt idx="19">
                  <c:v>25</c:v>
                </c:pt>
              </c:numCache>
            </c:numRef>
          </c:xVal>
          <c:yVal>
            <c:numRef>
              <c:f>[New_models_graphs_table.xlsx]causes.site!$F$88:$F$107</c:f>
              <c:numCache>
                <c:formatCode>General</c:formatCode>
                <c:ptCount val="20"/>
                <c:pt idx="0">
                  <c:v>2.6227996999999998</c:v>
                </c:pt>
                <c:pt idx="1">
                  <c:v>2.3397597000000001</c:v>
                </c:pt>
                <c:pt idx="2">
                  <c:v>2.1040307</c:v>
                </c:pt>
                <c:pt idx="3">
                  <c:v>1.9113279000000001</c:v>
                </c:pt>
                <c:pt idx="4">
                  <c:v>1.7556883000000001</c:v>
                </c:pt>
                <c:pt idx="5">
                  <c:v>1.6294071000000001</c:v>
                </c:pt>
                <c:pt idx="6">
                  <c:v>1.5246831000000001</c:v>
                </c:pt>
                <c:pt idx="7">
                  <c:v>1.435221099999999</c:v>
                </c:pt>
                <c:pt idx="8">
                  <c:v>1.3566246</c:v>
                </c:pt>
                <c:pt idx="9">
                  <c:v>1.2860161999999999</c:v>
                </c:pt>
                <c:pt idx="10">
                  <c:v>1.221534399999999</c:v>
                </c:pt>
                <c:pt idx="11">
                  <c:v>1.1619534</c:v>
                </c:pt>
                <c:pt idx="12">
                  <c:v>1.1064400999999999</c:v>
                </c:pt>
                <c:pt idx="13">
                  <c:v>1.0544070999999999</c:v>
                </c:pt>
                <c:pt idx="14">
                  <c:v>1.0054239</c:v>
                </c:pt>
                <c:pt idx="15">
                  <c:v>0.95916400000000002</c:v>
                </c:pt>
                <c:pt idx="16">
                  <c:v>0.91537060000000003</c:v>
                </c:pt>
                <c:pt idx="17">
                  <c:v>0.87383599999999995</c:v>
                </c:pt>
                <c:pt idx="18">
                  <c:v>0.83438780000000001</c:v>
                </c:pt>
                <c:pt idx="19">
                  <c:v>0.79687920000000001</c:v>
                </c:pt>
              </c:numCache>
            </c:numRef>
          </c:yVal>
          <c:smooth val="1"/>
          <c:extLst>
            <c:ext xmlns:c16="http://schemas.microsoft.com/office/drawing/2014/chart" uri="{C3380CC4-5D6E-409C-BE32-E72D297353CC}">
              <c16:uniqueId val="{00000000-4789-4F0A-BEBA-8700D7097025}"/>
            </c:ext>
          </c:extLst>
        </c:ser>
        <c:ser>
          <c:idx val="1"/>
          <c:order val="1"/>
          <c:spPr>
            <a:ln w="19050" cmpd="sng">
              <a:solidFill>
                <a:schemeClr val="tx1"/>
              </a:solidFill>
              <a:prstDash val="dash"/>
            </a:ln>
          </c:spPr>
          <c:marker>
            <c:symbol val="none"/>
          </c:marker>
          <c:xVal>
            <c:numRef>
              <c:f>[New_models_graphs_table.xlsx]causes.site!$E$88:$E$107</c:f>
              <c:numCache>
                <c:formatCode>General</c:formatCode>
                <c:ptCount val="20"/>
                <c:pt idx="0">
                  <c:v>0</c:v>
                </c:pt>
                <c:pt idx="1">
                  <c:v>1.3157890000000001</c:v>
                </c:pt>
                <c:pt idx="2">
                  <c:v>2.6315789999999981</c:v>
                </c:pt>
                <c:pt idx="3">
                  <c:v>3.947368</c:v>
                </c:pt>
                <c:pt idx="4">
                  <c:v>5.26315799999999</c:v>
                </c:pt>
                <c:pt idx="5">
                  <c:v>6.5789470000000003</c:v>
                </c:pt>
                <c:pt idx="6">
                  <c:v>7.8947369999999841</c:v>
                </c:pt>
                <c:pt idx="7">
                  <c:v>9.2105259999999998</c:v>
                </c:pt>
                <c:pt idx="8">
                  <c:v>10.526316</c:v>
                </c:pt>
                <c:pt idx="9">
                  <c:v>11.842105</c:v>
                </c:pt>
                <c:pt idx="10">
                  <c:v>13.157895</c:v>
                </c:pt>
                <c:pt idx="11">
                  <c:v>14.473684</c:v>
                </c:pt>
                <c:pt idx="12">
                  <c:v>15.789474</c:v>
                </c:pt>
                <c:pt idx="13">
                  <c:v>17.105263000000001</c:v>
                </c:pt>
                <c:pt idx="14">
                  <c:v>18.421053000000001</c:v>
                </c:pt>
                <c:pt idx="15">
                  <c:v>19.736841999999999</c:v>
                </c:pt>
                <c:pt idx="16">
                  <c:v>21.052631999999999</c:v>
                </c:pt>
                <c:pt idx="17">
                  <c:v>22.368421000000001</c:v>
                </c:pt>
                <c:pt idx="18">
                  <c:v>23.684211000000001</c:v>
                </c:pt>
                <c:pt idx="19">
                  <c:v>25</c:v>
                </c:pt>
              </c:numCache>
            </c:numRef>
          </c:xVal>
          <c:yVal>
            <c:numRef>
              <c:f>[New_models_graphs_table.xlsx]causes.site!$G$88:$G$107</c:f>
              <c:numCache>
                <c:formatCode>General</c:formatCode>
                <c:ptCount val="20"/>
                <c:pt idx="0">
                  <c:v>1.6571028999999999</c:v>
                </c:pt>
                <c:pt idx="1">
                  <c:v>1.5515903</c:v>
                </c:pt>
                <c:pt idx="2">
                  <c:v>1.4412189</c:v>
                </c:pt>
                <c:pt idx="3">
                  <c:v>1.3251972000000001</c:v>
                </c:pt>
                <c:pt idx="4">
                  <c:v>1.2050415000000001</c:v>
                </c:pt>
                <c:pt idx="5">
                  <c:v>1.0845598999999999</c:v>
                </c:pt>
                <c:pt idx="6">
                  <c:v>0.96813800000000005</c:v>
                </c:pt>
                <c:pt idx="7">
                  <c:v>0.85907630000000001</c:v>
                </c:pt>
                <c:pt idx="8">
                  <c:v>0.75914470000000001</c:v>
                </c:pt>
                <c:pt idx="9">
                  <c:v>0.66891590000000001</c:v>
                </c:pt>
                <c:pt idx="10">
                  <c:v>0.58822839999999998</c:v>
                </c:pt>
                <c:pt idx="11">
                  <c:v>0.51653139999999997</c:v>
                </c:pt>
                <c:pt idx="12">
                  <c:v>0.45309700000000003</c:v>
                </c:pt>
                <c:pt idx="13">
                  <c:v>0.39714080000000002</c:v>
                </c:pt>
                <c:pt idx="14">
                  <c:v>0.34788629999999998</c:v>
                </c:pt>
                <c:pt idx="15">
                  <c:v>0.30459819999999999</c:v>
                </c:pt>
                <c:pt idx="16">
                  <c:v>0.2665981</c:v>
                </c:pt>
                <c:pt idx="17">
                  <c:v>0.23326939999999999</c:v>
                </c:pt>
                <c:pt idx="18">
                  <c:v>0.20405789999999999</c:v>
                </c:pt>
                <c:pt idx="19">
                  <c:v>0.17846890000000001</c:v>
                </c:pt>
              </c:numCache>
            </c:numRef>
          </c:yVal>
          <c:smooth val="1"/>
          <c:extLst>
            <c:ext xmlns:c16="http://schemas.microsoft.com/office/drawing/2014/chart" uri="{C3380CC4-5D6E-409C-BE32-E72D297353CC}">
              <c16:uniqueId val="{00000001-4789-4F0A-BEBA-8700D7097025}"/>
            </c:ext>
          </c:extLst>
        </c:ser>
        <c:ser>
          <c:idx val="2"/>
          <c:order val="2"/>
          <c:spPr>
            <a:ln w="28575" cmpd="sng">
              <a:solidFill>
                <a:schemeClr val="tx1"/>
              </a:solidFill>
            </a:ln>
          </c:spPr>
          <c:marker>
            <c:symbol val="none"/>
          </c:marker>
          <c:xVal>
            <c:numRef>
              <c:f>[New_models_graphs_table.xlsx]causes.site!$E$88:$E$107</c:f>
              <c:numCache>
                <c:formatCode>General</c:formatCode>
                <c:ptCount val="20"/>
                <c:pt idx="0">
                  <c:v>0</c:v>
                </c:pt>
                <c:pt idx="1">
                  <c:v>1.3157890000000001</c:v>
                </c:pt>
                <c:pt idx="2">
                  <c:v>2.6315789999999981</c:v>
                </c:pt>
                <c:pt idx="3">
                  <c:v>3.947368</c:v>
                </c:pt>
                <c:pt idx="4">
                  <c:v>5.26315799999999</c:v>
                </c:pt>
                <c:pt idx="5">
                  <c:v>6.5789470000000003</c:v>
                </c:pt>
                <c:pt idx="6">
                  <c:v>7.8947369999999841</c:v>
                </c:pt>
                <c:pt idx="7">
                  <c:v>9.2105259999999998</c:v>
                </c:pt>
                <c:pt idx="8">
                  <c:v>10.526316</c:v>
                </c:pt>
                <c:pt idx="9">
                  <c:v>11.842105</c:v>
                </c:pt>
                <c:pt idx="10">
                  <c:v>13.157895</c:v>
                </c:pt>
                <c:pt idx="11">
                  <c:v>14.473684</c:v>
                </c:pt>
                <c:pt idx="12">
                  <c:v>15.789474</c:v>
                </c:pt>
                <c:pt idx="13">
                  <c:v>17.105263000000001</c:v>
                </c:pt>
                <c:pt idx="14">
                  <c:v>18.421053000000001</c:v>
                </c:pt>
                <c:pt idx="15">
                  <c:v>19.736841999999999</c:v>
                </c:pt>
                <c:pt idx="16">
                  <c:v>21.052631999999999</c:v>
                </c:pt>
                <c:pt idx="17">
                  <c:v>22.368421000000001</c:v>
                </c:pt>
                <c:pt idx="18">
                  <c:v>23.684211000000001</c:v>
                </c:pt>
                <c:pt idx="19">
                  <c:v>25</c:v>
                </c:pt>
              </c:numCache>
            </c:numRef>
          </c:xVal>
          <c:yVal>
            <c:numRef>
              <c:f>[New_models_graphs_table.xlsx]causes.site!$H$88:$H$107</c:f>
              <c:numCache>
                <c:formatCode>General</c:formatCode>
                <c:ptCount val="20"/>
                <c:pt idx="0">
                  <c:v>2.0847658999999998</c:v>
                </c:pt>
                <c:pt idx="1">
                  <c:v>1.9053473000000001</c:v>
                </c:pt>
                <c:pt idx="2">
                  <c:v>1.7413698</c:v>
                </c:pt>
                <c:pt idx="3">
                  <c:v>1.5915045000000001</c:v>
                </c:pt>
                <c:pt idx="4">
                  <c:v>1.4545368000000001</c:v>
                </c:pt>
                <c:pt idx="5">
                  <c:v>1.3293568</c:v>
                </c:pt>
                <c:pt idx="6">
                  <c:v>1.2149501</c:v>
                </c:pt>
                <c:pt idx="7">
                  <c:v>1.1103893</c:v>
                </c:pt>
                <c:pt idx="8">
                  <c:v>1.0148273000000001</c:v>
                </c:pt>
                <c:pt idx="9">
                  <c:v>0.92748949999999997</c:v>
                </c:pt>
                <c:pt idx="10">
                  <c:v>0.84766810000000004</c:v>
                </c:pt>
                <c:pt idx="11">
                  <c:v>0.77471630000000002</c:v>
                </c:pt>
                <c:pt idx="12">
                  <c:v>0.70804290000000003</c:v>
                </c:pt>
                <c:pt idx="13">
                  <c:v>0.64710749999999995</c:v>
                </c:pt>
                <c:pt idx="14">
                  <c:v>0.59141630000000001</c:v>
                </c:pt>
                <c:pt idx="15">
                  <c:v>0.54051800000000005</c:v>
                </c:pt>
                <c:pt idx="16">
                  <c:v>0.49399999999999999</c:v>
                </c:pt>
                <c:pt idx="17">
                  <c:v>0.45148549999999998</c:v>
                </c:pt>
                <c:pt idx="18">
                  <c:v>0.41262989999999999</c:v>
                </c:pt>
                <c:pt idx="19">
                  <c:v>0.37711820000000001</c:v>
                </c:pt>
              </c:numCache>
            </c:numRef>
          </c:yVal>
          <c:smooth val="1"/>
          <c:extLst>
            <c:ext xmlns:c16="http://schemas.microsoft.com/office/drawing/2014/chart" uri="{C3380CC4-5D6E-409C-BE32-E72D297353CC}">
              <c16:uniqueId val="{00000002-4789-4F0A-BEBA-8700D7097025}"/>
            </c:ext>
          </c:extLst>
        </c:ser>
        <c:dLbls>
          <c:showLegendKey val="0"/>
          <c:showVal val="0"/>
          <c:showCatName val="0"/>
          <c:showSerName val="0"/>
          <c:showPercent val="0"/>
          <c:showBubbleSize val="0"/>
        </c:dLbls>
        <c:axId val="288310496"/>
        <c:axId val="288310888"/>
      </c:scatterChart>
      <c:valAx>
        <c:axId val="288310496"/>
        <c:scaling>
          <c:orientation val="minMax"/>
          <c:max val="25"/>
          <c:min val="0"/>
        </c:scaling>
        <c:delete val="0"/>
        <c:axPos val="b"/>
        <c:title>
          <c:tx>
            <c:rich>
              <a:bodyPr/>
              <a:lstStyle/>
              <a:p>
                <a:pPr>
                  <a:defRPr/>
                </a:pPr>
                <a:r>
                  <a:rPr lang="en-US"/>
                  <a:t>Percent</a:t>
                </a:r>
                <a:r>
                  <a:rPr lang="en-US" baseline="0"/>
                  <a:t> exotic vegetation cover</a:t>
                </a:r>
                <a:endParaRPr lang="en-US"/>
              </a:p>
            </c:rich>
          </c:tx>
          <c:overlay val="0"/>
        </c:title>
        <c:numFmt formatCode="General" sourceLinked="1"/>
        <c:majorTickMark val="out"/>
        <c:minorTickMark val="none"/>
        <c:tickLblPos val="nextTo"/>
        <c:crossAx val="288310888"/>
        <c:crosses val="autoZero"/>
        <c:crossBetween val="midCat"/>
      </c:valAx>
      <c:valAx>
        <c:axId val="288310888"/>
        <c:scaling>
          <c:orientation val="minMax"/>
        </c:scaling>
        <c:delete val="0"/>
        <c:axPos val="l"/>
        <c:title>
          <c:tx>
            <c:rich>
              <a:bodyPr rot="-5400000" vert="horz"/>
              <a:lstStyle/>
              <a:p>
                <a:pPr>
                  <a:defRPr/>
                </a:pPr>
                <a:r>
                  <a:rPr lang="en-US"/>
                  <a:t>Baird's</a:t>
                </a:r>
                <a:r>
                  <a:rPr lang="en-US" baseline="0"/>
                  <a:t> sparrows per site</a:t>
                </a:r>
                <a:endParaRPr lang="en-US"/>
              </a:p>
            </c:rich>
          </c:tx>
          <c:overlay val="0"/>
        </c:title>
        <c:numFmt formatCode="General" sourceLinked="1"/>
        <c:majorTickMark val="out"/>
        <c:minorTickMark val="none"/>
        <c:tickLblPos val="nextTo"/>
        <c:crossAx val="288310496"/>
        <c:crosses val="autoZero"/>
        <c:crossBetween val="midCat"/>
      </c:valAx>
    </c:plotArea>
    <c:plotVisOnly val="1"/>
    <c:dispBlanksAs val="gap"/>
    <c:showDLblsOverMax val="0"/>
  </c:chart>
  <c:spPr>
    <a:ln>
      <a:solidFill>
        <a:srgbClr val="FFFFFF"/>
      </a:solid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74159858410183"/>
          <c:y val="6.0109289617486336E-2"/>
          <c:w val="0.80885396632310314"/>
          <c:h val="0.76024095348737142"/>
        </c:manualLayout>
      </c:layout>
      <c:scatterChart>
        <c:scatterStyle val="smoothMarker"/>
        <c:varyColors val="0"/>
        <c:ser>
          <c:idx val="0"/>
          <c:order val="0"/>
          <c:tx>
            <c:strRef>
              <c:f>Infra.bin!$S$11</c:f>
              <c:strCache>
                <c:ptCount val="1"/>
                <c:pt idx="0">
                  <c:v>Control sites</c:v>
                </c:pt>
              </c:strCache>
            </c:strRef>
          </c:tx>
          <c:spPr>
            <a:ln w="28575" cmpd="sng">
              <a:solidFill>
                <a:schemeClr val="tx1">
                  <a:lumMod val="65000"/>
                  <a:lumOff val="35000"/>
                </a:schemeClr>
              </a:solidFill>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Infra.bin!$J$2:$J$21</c:f>
              <c:numCache>
                <c:formatCode>General</c:formatCode>
                <c:ptCount val="20"/>
                <c:pt idx="0">
                  <c:v>0.72558800000000001</c:v>
                </c:pt>
                <c:pt idx="1">
                  <c:v>0.71270809999999996</c:v>
                </c:pt>
                <c:pt idx="2">
                  <c:v>0.70005680000000003</c:v>
                </c:pt>
                <c:pt idx="3">
                  <c:v>0.68763010000000002</c:v>
                </c:pt>
                <c:pt idx="4">
                  <c:v>0.67542400000000002</c:v>
                </c:pt>
                <c:pt idx="5">
                  <c:v>0.66343450000000004</c:v>
                </c:pt>
                <c:pt idx="6">
                  <c:v>0.65165790000000001</c:v>
                </c:pt>
                <c:pt idx="7">
                  <c:v>0.6400903</c:v>
                </c:pt>
                <c:pt idx="8">
                  <c:v>0.62872810000000001</c:v>
                </c:pt>
                <c:pt idx="9">
                  <c:v>0.61756750000000005</c:v>
                </c:pt>
                <c:pt idx="10">
                  <c:v>0.60660510000000001</c:v>
                </c:pt>
                <c:pt idx="11">
                  <c:v>0.59583719999999996</c:v>
                </c:pt>
                <c:pt idx="12">
                  <c:v>0.58526049999999996</c:v>
                </c:pt>
                <c:pt idx="13">
                  <c:v>0.57487149999999998</c:v>
                </c:pt>
                <c:pt idx="14">
                  <c:v>0.56466700000000003</c:v>
                </c:pt>
                <c:pt idx="15">
                  <c:v>0.55464360000000001</c:v>
                </c:pt>
                <c:pt idx="16">
                  <c:v>0.54479809999999995</c:v>
                </c:pt>
                <c:pt idx="17">
                  <c:v>0.53512740000000003</c:v>
                </c:pt>
                <c:pt idx="18">
                  <c:v>0.52562830000000005</c:v>
                </c:pt>
                <c:pt idx="19">
                  <c:v>0.51629789999999998</c:v>
                </c:pt>
              </c:numCache>
            </c:numRef>
          </c:yVal>
          <c:smooth val="1"/>
          <c:extLst>
            <c:ext xmlns:c16="http://schemas.microsoft.com/office/drawing/2014/chart" uri="{C3380CC4-5D6E-409C-BE32-E72D297353CC}">
              <c16:uniqueId val="{00000000-EBE9-4C88-BF72-D5FAC198997A}"/>
            </c:ext>
          </c:extLst>
        </c:ser>
        <c:ser>
          <c:idx val="1"/>
          <c:order val="1"/>
          <c:tx>
            <c:strRef>
              <c:f>Infra.bin!$S$12</c:f>
              <c:strCache>
                <c:ptCount val="1"/>
                <c:pt idx="0">
                  <c:v>Well sites</c:v>
                </c:pt>
              </c:strCache>
            </c:strRef>
          </c:tx>
          <c:spPr>
            <a:ln w="28575" cmpd="sng">
              <a:solidFill>
                <a:schemeClr val="bg1">
                  <a:lumMod val="65000"/>
                </a:schemeClr>
              </a:solidFill>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Infra.bin!$J$22:$J$41</c:f>
              <c:numCache>
                <c:formatCode>General</c:formatCode>
                <c:ptCount val="20"/>
                <c:pt idx="0">
                  <c:v>0.2140649</c:v>
                </c:pt>
                <c:pt idx="1">
                  <c:v>0.21712229999999999</c:v>
                </c:pt>
                <c:pt idx="2">
                  <c:v>0.22022340000000001</c:v>
                </c:pt>
                <c:pt idx="3">
                  <c:v>0.2233687</c:v>
                </c:pt>
                <c:pt idx="4">
                  <c:v>0.22655900000000001</c:v>
                </c:pt>
                <c:pt idx="5">
                  <c:v>0.22979479999999999</c:v>
                </c:pt>
                <c:pt idx="6">
                  <c:v>0.2330769</c:v>
                </c:pt>
                <c:pt idx="7">
                  <c:v>0.2364058</c:v>
                </c:pt>
                <c:pt idx="8">
                  <c:v>0.2397823</c:v>
                </c:pt>
                <c:pt idx="9">
                  <c:v>0.24320700000000001</c:v>
                </c:pt>
                <c:pt idx="10">
                  <c:v>0.2466806</c:v>
                </c:pt>
                <c:pt idx="11">
                  <c:v>0.25020379999999998</c:v>
                </c:pt>
                <c:pt idx="12">
                  <c:v>0.25377739999999999</c:v>
                </c:pt>
                <c:pt idx="13">
                  <c:v>0.25740200000000002</c:v>
                </c:pt>
                <c:pt idx="14">
                  <c:v>0.26107829999999999</c:v>
                </c:pt>
                <c:pt idx="15">
                  <c:v>0.26480720000000002</c:v>
                </c:pt>
                <c:pt idx="16">
                  <c:v>0.26858929999999998</c:v>
                </c:pt>
                <c:pt idx="17">
                  <c:v>0.27242539999999998</c:v>
                </c:pt>
                <c:pt idx="18">
                  <c:v>0.27631640000000002</c:v>
                </c:pt>
                <c:pt idx="19">
                  <c:v>0.28026279999999998</c:v>
                </c:pt>
              </c:numCache>
            </c:numRef>
          </c:yVal>
          <c:smooth val="1"/>
          <c:extLst>
            <c:ext xmlns:c16="http://schemas.microsoft.com/office/drawing/2014/chart" uri="{C3380CC4-5D6E-409C-BE32-E72D297353CC}">
              <c16:uniqueId val="{00000001-EBE9-4C88-BF72-D5FAC198997A}"/>
            </c:ext>
          </c:extLst>
        </c:ser>
        <c:ser>
          <c:idx val="2"/>
          <c:order val="2"/>
          <c:spPr>
            <a:ln w="19050" cmpd="sng">
              <a:solidFill>
                <a:schemeClr val="tx1">
                  <a:lumMod val="65000"/>
                  <a:lumOff val="35000"/>
                </a:schemeClr>
              </a:solidFill>
              <a:prstDash val="dash"/>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Infra.bin!$I$2:$I$21</c:f>
              <c:numCache>
                <c:formatCode>General</c:formatCode>
                <c:ptCount val="20"/>
                <c:pt idx="0">
                  <c:v>0.54394480000000001</c:v>
                </c:pt>
                <c:pt idx="1">
                  <c:v>0.53730460000000002</c:v>
                </c:pt>
                <c:pt idx="2">
                  <c:v>0.53048010000000001</c:v>
                </c:pt>
                <c:pt idx="3">
                  <c:v>0.52346550000000003</c:v>
                </c:pt>
                <c:pt idx="4">
                  <c:v>0.51625679999999996</c:v>
                </c:pt>
                <c:pt idx="5">
                  <c:v>0.50885170000000002</c:v>
                </c:pt>
                <c:pt idx="6">
                  <c:v>0.50124999999999997</c:v>
                </c:pt>
                <c:pt idx="7">
                  <c:v>0.4934538</c:v>
                </c:pt>
                <c:pt idx="8">
                  <c:v>0.48546820000000002</c:v>
                </c:pt>
                <c:pt idx="9">
                  <c:v>0.47730040000000001</c:v>
                </c:pt>
                <c:pt idx="10">
                  <c:v>0.46896090000000001</c:v>
                </c:pt>
                <c:pt idx="11">
                  <c:v>0.4604626</c:v>
                </c:pt>
                <c:pt idx="12">
                  <c:v>0.45182060000000002</c:v>
                </c:pt>
                <c:pt idx="13">
                  <c:v>0.44305260000000002</c:v>
                </c:pt>
                <c:pt idx="14">
                  <c:v>0.4341776</c:v>
                </c:pt>
                <c:pt idx="15">
                  <c:v>0.42521609999999999</c:v>
                </c:pt>
                <c:pt idx="16">
                  <c:v>0.41618949999999999</c:v>
                </c:pt>
                <c:pt idx="17">
                  <c:v>0.40711930000000002</c:v>
                </c:pt>
                <c:pt idx="18">
                  <c:v>0.39802700000000002</c:v>
                </c:pt>
                <c:pt idx="19">
                  <c:v>0.3889338</c:v>
                </c:pt>
              </c:numCache>
            </c:numRef>
          </c:yVal>
          <c:smooth val="1"/>
          <c:extLst>
            <c:ext xmlns:c16="http://schemas.microsoft.com/office/drawing/2014/chart" uri="{C3380CC4-5D6E-409C-BE32-E72D297353CC}">
              <c16:uniqueId val="{00000002-EBE9-4C88-BF72-D5FAC198997A}"/>
            </c:ext>
          </c:extLst>
        </c:ser>
        <c:ser>
          <c:idx val="3"/>
          <c:order val="3"/>
          <c:spPr>
            <a:ln w="19050" cmpd="sng">
              <a:solidFill>
                <a:schemeClr val="bg1">
                  <a:lumMod val="65000"/>
                </a:schemeClr>
              </a:solidFill>
              <a:prstDash val="dash"/>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Infra.bin!$I$22:$I$41</c:f>
              <c:numCache>
                <c:formatCode>General</c:formatCode>
                <c:ptCount val="20"/>
                <c:pt idx="0">
                  <c:v>0.16409869999999999</c:v>
                </c:pt>
                <c:pt idx="1">
                  <c:v>0.16798080000000001</c:v>
                </c:pt>
                <c:pt idx="2">
                  <c:v>0.17186270000000001</c:v>
                </c:pt>
                <c:pt idx="3">
                  <c:v>0.17573</c:v>
                </c:pt>
                <c:pt idx="4">
                  <c:v>0.17956649999999999</c:v>
                </c:pt>
                <c:pt idx="5">
                  <c:v>0.18335470000000001</c:v>
                </c:pt>
                <c:pt idx="6">
                  <c:v>0.18707579999999999</c:v>
                </c:pt>
                <c:pt idx="7">
                  <c:v>0.1907102</c:v>
                </c:pt>
                <c:pt idx="8">
                  <c:v>0.19423789999999999</c:v>
                </c:pt>
                <c:pt idx="9">
                  <c:v>0.1976397</c:v>
                </c:pt>
                <c:pt idx="10">
                  <c:v>0.20089770000000001</c:v>
                </c:pt>
                <c:pt idx="11">
                  <c:v>0.20399639999999999</c:v>
                </c:pt>
                <c:pt idx="12">
                  <c:v>0.2069232</c:v>
                </c:pt>
                <c:pt idx="13">
                  <c:v>0.2096692</c:v>
                </c:pt>
                <c:pt idx="14">
                  <c:v>0.21222930000000001</c:v>
                </c:pt>
                <c:pt idx="15">
                  <c:v>0.2146026</c:v>
                </c:pt>
                <c:pt idx="16">
                  <c:v>0.2167914</c:v>
                </c:pt>
                <c:pt idx="17">
                  <c:v>0.2188013</c:v>
                </c:pt>
                <c:pt idx="18">
                  <c:v>0.22064049999999999</c:v>
                </c:pt>
                <c:pt idx="19">
                  <c:v>0.2223185</c:v>
                </c:pt>
              </c:numCache>
            </c:numRef>
          </c:yVal>
          <c:smooth val="1"/>
          <c:extLst>
            <c:ext xmlns:c16="http://schemas.microsoft.com/office/drawing/2014/chart" uri="{C3380CC4-5D6E-409C-BE32-E72D297353CC}">
              <c16:uniqueId val="{00000003-EBE9-4C88-BF72-D5FAC198997A}"/>
            </c:ext>
          </c:extLst>
        </c:ser>
        <c:ser>
          <c:idx val="4"/>
          <c:order val="4"/>
          <c:spPr>
            <a:ln w="19050" cmpd="sng">
              <a:solidFill>
                <a:schemeClr val="bg1">
                  <a:lumMod val="65000"/>
                </a:schemeClr>
              </a:solidFill>
              <a:prstDash val="dash"/>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Infra.bin!$H$22:$H$41</c:f>
              <c:numCache>
                <c:formatCode>General</c:formatCode>
                <c:ptCount val="20"/>
                <c:pt idx="0">
                  <c:v>0.27924539999999998</c:v>
                </c:pt>
                <c:pt idx="1">
                  <c:v>0.2806399</c:v>
                </c:pt>
                <c:pt idx="2">
                  <c:v>0.28219240000000001</c:v>
                </c:pt>
                <c:pt idx="3">
                  <c:v>0.28392200000000001</c:v>
                </c:pt>
                <c:pt idx="4">
                  <c:v>0.28584939999999998</c:v>
                </c:pt>
                <c:pt idx="5">
                  <c:v>0.28799730000000001</c:v>
                </c:pt>
                <c:pt idx="6">
                  <c:v>0.29038940000000002</c:v>
                </c:pt>
                <c:pt idx="7">
                  <c:v>0.29305049999999999</c:v>
                </c:pt>
                <c:pt idx="8">
                  <c:v>0.29600589999999999</c:v>
                </c:pt>
                <c:pt idx="9">
                  <c:v>0.2992802</c:v>
                </c:pt>
                <c:pt idx="10">
                  <c:v>0.30289709999999997</c:v>
                </c:pt>
                <c:pt idx="11">
                  <c:v>0.30687779999999998</c:v>
                </c:pt>
                <c:pt idx="12">
                  <c:v>0.31124089999999999</c:v>
                </c:pt>
                <c:pt idx="13">
                  <c:v>0.31600149999999999</c:v>
                </c:pt>
                <c:pt idx="14">
                  <c:v>0.32117089999999998</c:v>
                </c:pt>
                <c:pt idx="15">
                  <c:v>0.32675680000000001</c:v>
                </c:pt>
                <c:pt idx="16">
                  <c:v>0.33276329999999998</c:v>
                </c:pt>
                <c:pt idx="17">
                  <c:v>0.33919179999999999</c:v>
                </c:pt>
                <c:pt idx="18">
                  <c:v>0.3460414</c:v>
                </c:pt>
                <c:pt idx="19">
                  <c:v>0.3533096</c:v>
                </c:pt>
              </c:numCache>
            </c:numRef>
          </c:yVal>
          <c:smooth val="1"/>
          <c:extLst>
            <c:ext xmlns:c16="http://schemas.microsoft.com/office/drawing/2014/chart" uri="{C3380CC4-5D6E-409C-BE32-E72D297353CC}">
              <c16:uniqueId val="{00000004-EBE9-4C88-BF72-D5FAC198997A}"/>
            </c:ext>
          </c:extLst>
        </c:ser>
        <c:ser>
          <c:idx val="5"/>
          <c:order val="5"/>
          <c:spPr>
            <a:ln w="19050" cmpd="sng">
              <a:solidFill>
                <a:schemeClr val="tx1">
                  <a:lumMod val="65000"/>
                  <a:lumOff val="35000"/>
                </a:schemeClr>
              </a:solidFill>
              <a:prstDash val="dash"/>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Infra.bin!$H$2:$H$21</c:f>
              <c:numCache>
                <c:formatCode>General</c:formatCode>
                <c:ptCount val="20"/>
                <c:pt idx="0">
                  <c:v>0.96788859999999999</c:v>
                </c:pt>
                <c:pt idx="1">
                  <c:v>0.9453722</c:v>
                </c:pt>
                <c:pt idx="2">
                  <c:v>0.92384160000000004</c:v>
                </c:pt>
                <c:pt idx="3">
                  <c:v>0.90327849999999998</c:v>
                </c:pt>
                <c:pt idx="4">
                  <c:v>0.88366400000000001</c:v>
                </c:pt>
                <c:pt idx="5">
                  <c:v>0.86497769999999996</c:v>
                </c:pt>
                <c:pt idx="6">
                  <c:v>0.84719809999999995</c:v>
                </c:pt>
                <c:pt idx="7">
                  <c:v>0.83030179999999998</c:v>
                </c:pt>
                <c:pt idx="8">
                  <c:v>0.81426339999999997</c:v>
                </c:pt>
                <c:pt idx="9">
                  <c:v>0.79905570000000004</c:v>
                </c:pt>
                <c:pt idx="10">
                  <c:v>0.78464889999999998</c:v>
                </c:pt>
                <c:pt idx="11">
                  <c:v>0.77101160000000002</c:v>
                </c:pt>
                <c:pt idx="12">
                  <c:v>0.75811019999999996</c:v>
                </c:pt>
                <c:pt idx="13">
                  <c:v>0.74590979999999996</c:v>
                </c:pt>
                <c:pt idx="14">
                  <c:v>0.73437419999999998</c:v>
                </c:pt>
                <c:pt idx="15">
                  <c:v>0.72346619999999995</c:v>
                </c:pt>
                <c:pt idx="16">
                  <c:v>0.71314869999999997</c:v>
                </c:pt>
                <c:pt idx="17">
                  <c:v>0.70338429999999996</c:v>
                </c:pt>
                <c:pt idx="18">
                  <c:v>0.69413659999999999</c:v>
                </c:pt>
                <c:pt idx="19">
                  <c:v>0.68536980000000003</c:v>
                </c:pt>
              </c:numCache>
            </c:numRef>
          </c:yVal>
          <c:smooth val="1"/>
          <c:extLst>
            <c:ext xmlns:c16="http://schemas.microsoft.com/office/drawing/2014/chart" uri="{C3380CC4-5D6E-409C-BE32-E72D297353CC}">
              <c16:uniqueId val="{00000005-EBE9-4C88-BF72-D5FAC198997A}"/>
            </c:ext>
          </c:extLst>
        </c:ser>
        <c:dLbls>
          <c:showLegendKey val="0"/>
          <c:showVal val="0"/>
          <c:showCatName val="0"/>
          <c:showSerName val="0"/>
          <c:showPercent val="0"/>
          <c:showBubbleSize val="0"/>
        </c:dLbls>
        <c:axId val="188889056"/>
        <c:axId val="188866544"/>
      </c:scatterChart>
      <c:valAx>
        <c:axId val="188889056"/>
        <c:scaling>
          <c:orientation val="minMax"/>
          <c:max val="400"/>
          <c:min val="100"/>
        </c:scaling>
        <c:delete val="0"/>
        <c:axPos val="b"/>
        <c:title>
          <c:tx>
            <c:rich>
              <a:bodyPr/>
              <a:lstStyle/>
              <a:p>
                <a:pPr>
                  <a:defRPr/>
                </a:pPr>
                <a:r>
                  <a:rPr lang="en-US"/>
                  <a:t>Distance from center point (m)</a:t>
                </a:r>
              </a:p>
            </c:rich>
          </c:tx>
          <c:overlay val="0"/>
        </c:title>
        <c:numFmt formatCode="General" sourceLinked="1"/>
        <c:majorTickMark val="out"/>
        <c:minorTickMark val="none"/>
        <c:tickLblPos val="nextTo"/>
        <c:crossAx val="188866544"/>
        <c:crosses val="autoZero"/>
        <c:crossBetween val="midCat"/>
        <c:majorUnit val="100"/>
      </c:valAx>
      <c:valAx>
        <c:axId val="188866544"/>
        <c:scaling>
          <c:orientation val="minMax"/>
        </c:scaling>
        <c:delete val="0"/>
        <c:axPos val="l"/>
        <c:title>
          <c:tx>
            <c:rich>
              <a:bodyPr rot="-5400000" vert="horz"/>
              <a:lstStyle/>
              <a:p>
                <a:pPr>
                  <a:defRPr/>
                </a:pPr>
                <a:r>
                  <a:rPr lang="en-US"/>
                  <a:t>Sprague's pipits per hectare</a:t>
                </a:r>
              </a:p>
            </c:rich>
          </c:tx>
          <c:overlay val="0"/>
        </c:title>
        <c:numFmt formatCode="General" sourceLinked="1"/>
        <c:majorTickMark val="out"/>
        <c:minorTickMark val="none"/>
        <c:tickLblPos val="nextTo"/>
        <c:crossAx val="188889056"/>
        <c:crosses val="autoZero"/>
        <c:crossBetween val="midCat"/>
      </c:valAx>
    </c:plotArea>
    <c:legend>
      <c:legendPos val="b"/>
      <c:legendEntry>
        <c:idx val="2"/>
        <c:delete val="1"/>
      </c:legendEntry>
      <c:legendEntry>
        <c:idx val="3"/>
        <c:delete val="1"/>
      </c:legendEntry>
      <c:legendEntry>
        <c:idx val="4"/>
        <c:delete val="1"/>
      </c:legendEntry>
      <c:legendEntry>
        <c:idx val="5"/>
        <c:delete val="1"/>
      </c:legendEntry>
      <c:layout>
        <c:manualLayout>
          <c:xMode val="edge"/>
          <c:yMode val="edge"/>
          <c:x val="0.26352582753878101"/>
          <c:y val="8.4138376145604807E-2"/>
          <c:w val="0.47851527953577827"/>
          <c:h val="9.6189492706854271E-2"/>
        </c:manualLayout>
      </c:layout>
      <c:overlay val="0"/>
    </c:legend>
    <c:plotVisOnly val="1"/>
    <c:dispBlanksAs val="gap"/>
    <c:showDLblsOverMax val="0"/>
  </c:chart>
  <c:spPr>
    <a:ln>
      <a:solidFill>
        <a:srgbClr val="FFFFFF"/>
      </a:solidFill>
    </a:ln>
  </c:sp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857317309020584"/>
          <c:y val="6.4083891639965043E-2"/>
          <c:w val="0.80724431551319242"/>
          <c:h val="0.75021319247415663"/>
        </c:manualLayout>
      </c:layout>
      <c:scatterChart>
        <c:scatterStyle val="smoothMarker"/>
        <c:varyColors val="0"/>
        <c:ser>
          <c:idx val="0"/>
          <c:order val="0"/>
          <c:tx>
            <c:strRef>
              <c:f>Infra.bin!$S$11</c:f>
              <c:strCache>
                <c:ptCount val="1"/>
                <c:pt idx="0">
                  <c:v>Control sites</c:v>
                </c:pt>
              </c:strCache>
            </c:strRef>
          </c:tx>
          <c:spPr>
            <a:ln w="28575" cmpd="sng">
              <a:solidFill>
                <a:schemeClr val="tx1">
                  <a:lumMod val="65000"/>
                  <a:lumOff val="35000"/>
                </a:schemeClr>
              </a:solidFill>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Infra.bin!$E$45:$E$64</c:f>
              <c:numCache>
                <c:formatCode>General</c:formatCode>
                <c:ptCount val="20"/>
                <c:pt idx="0">
                  <c:v>0.46704236999999998</c:v>
                </c:pt>
                <c:pt idx="1">
                  <c:v>0.45644230000000002</c:v>
                </c:pt>
                <c:pt idx="2">
                  <c:v>0.44608281999999999</c:v>
                </c:pt>
                <c:pt idx="3">
                  <c:v>0.43595845999999999</c:v>
                </c:pt>
                <c:pt idx="4">
                  <c:v>0.42606388000000001</c:v>
                </c:pt>
                <c:pt idx="5">
                  <c:v>0.41639387</c:v>
                </c:pt>
                <c:pt idx="6">
                  <c:v>0.40694332999999999</c:v>
                </c:pt>
                <c:pt idx="7">
                  <c:v>0.39770728</c:v>
                </c:pt>
                <c:pt idx="8">
                  <c:v>0.38868086000000002</c:v>
                </c:pt>
                <c:pt idx="9">
                  <c:v>0.37985930000000001</c:v>
                </c:pt>
                <c:pt idx="10">
                  <c:v>0.37123795999999998</c:v>
                </c:pt>
                <c:pt idx="11">
                  <c:v>0.36281227999999999</c:v>
                </c:pt>
                <c:pt idx="12">
                  <c:v>0.35457783999999998</c:v>
                </c:pt>
                <c:pt idx="13">
                  <c:v>0.34653029000000002</c:v>
                </c:pt>
                <c:pt idx="14">
                  <c:v>0.33866538000000002</c:v>
                </c:pt>
                <c:pt idx="15">
                  <c:v>0.33097897999999998</c:v>
                </c:pt>
                <c:pt idx="16">
                  <c:v>0.32346703999999998</c:v>
                </c:pt>
                <c:pt idx="17">
                  <c:v>0.31612558000000002</c:v>
                </c:pt>
                <c:pt idx="18">
                  <c:v>0.30895074</c:v>
                </c:pt>
                <c:pt idx="19">
                  <c:v>0.30193874999999998</c:v>
                </c:pt>
              </c:numCache>
            </c:numRef>
          </c:yVal>
          <c:smooth val="1"/>
          <c:extLst>
            <c:ext xmlns:c16="http://schemas.microsoft.com/office/drawing/2014/chart" uri="{C3380CC4-5D6E-409C-BE32-E72D297353CC}">
              <c16:uniqueId val="{00000000-D92A-4116-85DE-F89C7AC72A45}"/>
            </c:ext>
          </c:extLst>
        </c:ser>
        <c:ser>
          <c:idx val="1"/>
          <c:order val="1"/>
          <c:tx>
            <c:strRef>
              <c:f>Infra.bin!$S$12</c:f>
              <c:strCache>
                <c:ptCount val="1"/>
                <c:pt idx="0">
                  <c:v>Well sites</c:v>
                </c:pt>
              </c:strCache>
            </c:strRef>
          </c:tx>
          <c:spPr>
            <a:ln w="28575" cmpd="sng">
              <a:solidFill>
                <a:schemeClr val="bg1">
                  <a:lumMod val="65000"/>
                </a:schemeClr>
              </a:solidFill>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Infra.bin!$I$45:$I$64</c:f>
              <c:numCache>
                <c:formatCode>General</c:formatCode>
                <c:ptCount val="20"/>
                <c:pt idx="0">
                  <c:v>8.4022650000000004E-2</c:v>
                </c:pt>
                <c:pt idx="1">
                  <c:v>8.7213609999999997E-2</c:v>
                </c:pt>
                <c:pt idx="2">
                  <c:v>9.0525750000000002E-2</c:v>
                </c:pt>
                <c:pt idx="3">
                  <c:v>9.3963669999999999E-2</c:v>
                </c:pt>
                <c:pt idx="4">
                  <c:v>9.7532160000000007E-2</c:v>
                </c:pt>
                <c:pt idx="5">
                  <c:v>0.10123618</c:v>
                </c:pt>
                <c:pt idx="6">
                  <c:v>0.10508085</c:v>
                </c:pt>
                <c:pt idx="7">
                  <c:v>0.10907155</c:v>
                </c:pt>
                <c:pt idx="8">
                  <c:v>0.11321378999999999</c:v>
                </c:pt>
                <c:pt idx="9">
                  <c:v>0.11751335</c:v>
                </c:pt>
                <c:pt idx="10">
                  <c:v>0.12197619</c:v>
                </c:pt>
                <c:pt idx="11">
                  <c:v>0.12660852</c:v>
                </c:pt>
                <c:pt idx="12">
                  <c:v>0.13141678000000001</c:v>
                </c:pt>
                <c:pt idx="13">
                  <c:v>0.13640763</c:v>
                </c:pt>
                <c:pt idx="14">
                  <c:v>0.14158803</c:v>
                </c:pt>
                <c:pt idx="15">
                  <c:v>0.14696517000000001</c:v>
                </c:pt>
                <c:pt idx="16">
                  <c:v>0.15254651</c:v>
                </c:pt>
                <c:pt idx="17">
                  <c:v>0.15833981999999999</c:v>
                </c:pt>
                <c:pt idx="18">
                  <c:v>0.16435315</c:v>
                </c:pt>
                <c:pt idx="19">
                  <c:v>0.17059484</c:v>
                </c:pt>
              </c:numCache>
            </c:numRef>
          </c:yVal>
          <c:smooth val="1"/>
          <c:extLst>
            <c:ext xmlns:c16="http://schemas.microsoft.com/office/drawing/2014/chart" uri="{C3380CC4-5D6E-409C-BE32-E72D297353CC}">
              <c16:uniqueId val="{00000001-D92A-4116-85DE-F89C7AC72A45}"/>
            </c:ext>
          </c:extLst>
        </c:ser>
        <c:ser>
          <c:idx val="2"/>
          <c:order val="2"/>
          <c:spPr>
            <a:ln w="19050" cmpd="sng">
              <a:solidFill>
                <a:schemeClr val="tx1">
                  <a:lumMod val="65000"/>
                  <a:lumOff val="35000"/>
                </a:schemeClr>
              </a:solidFill>
              <a:prstDash val="dash"/>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Infra.bin!$D$45:$D$64</c:f>
              <c:numCache>
                <c:formatCode>General</c:formatCode>
                <c:ptCount val="20"/>
                <c:pt idx="0">
                  <c:v>0.33589437</c:v>
                </c:pt>
                <c:pt idx="1">
                  <c:v>0.33076377000000001</c:v>
                </c:pt>
                <c:pt idx="2">
                  <c:v>0.32549239000000002</c:v>
                </c:pt>
                <c:pt idx="3">
                  <c:v>0.3200751</c:v>
                </c:pt>
                <c:pt idx="4">
                  <c:v>0.31450824999999999</c:v>
                </c:pt>
                <c:pt idx="5">
                  <c:v>0.30879008000000002</c:v>
                </c:pt>
                <c:pt idx="6">
                  <c:v>0.30292103999999997</c:v>
                </c:pt>
                <c:pt idx="7">
                  <c:v>0.29690411</c:v>
                </c:pt>
                <c:pt idx="8">
                  <c:v>0.29074503000000002</c:v>
                </c:pt>
                <c:pt idx="9">
                  <c:v>0.28445241999999998</c:v>
                </c:pt>
                <c:pt idx="10">
                  <c:v>0.27803772999999998</c:v>
                </c:pt>
                <c:pt idx="11">
                  <c:v>0.27151512</c:v>
                </c:pt>
                <c:pt idx="12">
                  <c:v>0.26490107000000002</c:v>
                </c:pt>
                <c:pt idx="13">
                  <c:v>0.25821399</c:v>
                </c:pt>
                <c:pt idx="14">
                  <c:v>0.25147367999999998</c:v>
                </c:pt>
                <c:pt idx="15">
                  <c:v>0.24470077000000001</c:v>
                </c:pt>
                <c:pt idx="16">
                  <c:v>0.23791612000000001</c:v>
                </c:pt>
                <c:pt idx="17">
                  <c:v>0.23114027000000001</c:v>
                </c:pt>
                <c:pt idx="18">
                  <c:v>0.22439302</c:v>
                </c:pt>
                <c:pt idx="19">
                  <c:v>0.21769301999999999</c:v>
                </c:pt>
              </c:numCache>
            </c:numRef>
          </c:yVal>
          <c:smooth val="1"/>
          <c:extLst>
            <c:ext xmlns:c16="http://schemas.microsoft.com/office/drawing/2014/chart" uri="{C3380CC4-5D6E-409C-BE32-E72D297353CC}">
              <c16:uniqueId val="{00000002-D92A-4116-85DE-F89C7AC72A45}"/>
            </c:ext>
          </c:extLst>
        </c:ser>
        <c:ser>
          <c:idx val="3"/>
          <c:order val="3"/>
          <c:spPr>
            <a:ln w="19050" cmpd="sng">
              <a:solidFill>
                <a:schemeClr val="bg1">
                  <a:lumMod val="65000"/>
                </a:schemeClr>
              </a:solidFill>
              <a:prstDash val="dash"/>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Infra.bin!$H$45:$H$64</c:f>
              <c:numCache>
                <c:formatCode>General</c:formatCode>
                <c:ptCount val="20"/>
                <c:pt idx="0">
                  <c:v>5.8350359999999997E-2</c:v>
                </c:pt>
                <c:pt idx="1">
                  <c:v>6.1490799999999998E-2</c:v>
                </c:pt>
                <c:pt idx="2">
                  <c:v>6.4758200000000002E-2</c:v>
                </c:pt>
                <c:pt idx="3">
                  <c:v>6.8148979999999998E-2</c:v>
                </c:pt>
                <c:pt idx="4">
                  <c:v>7.1657390000000001E-2</c:v>
                </c:pt>
                <c:pt idx="5">
                  <c:v>7.5275229999999999E-2</c:v>
                </c:pt>
                <c:pt idx="6">
                  <c:v>7.8991610000000004E-2</c:v>
                </c:pt>
                <c:pt idx="7">
                  <c:v>8.2792840000000006E-2</c:v>
                </c:pt>
                <c:pt idx="8">
                  <c:v>8.6662450000000002E-2</c:v>
                </c:pt>
                <c:pt idx="9">
                  <c:v>9.0581599999999998E-2</c:v>
                </c:pt>
                <c:pt idx="10">
                  <c:v>9.4529710000000003E-2</c:v>
                </c:pt>
                <c:pt idx="11">
                  <c:v>9.8485470000000006E-2</c:v>
                </c:pt>
                <c:pt idx="12">
                  <c:v>0.10242808</c:v>
                </c:pt>
                <c:pt idx="13">
                  <c:v>0.10633859</c:v>
                </c:pt>
                <c:pt idx="14">
                  <c:v>0.1102011</c:v>
                </c:pt>
                <c:pt idx="15">
                  <c:v>0.11400367</c:v>
                </c:pt>
                <c:pt idx="16">
                  <c:v>0.11773867</c:v>
                </c:pt>
                <c:pt idx="17">
                  <c:v>0.12140275</c:v>
                </c:pt>
                <c:pt idx="18">
                  <c:v>0.1249963</c:v>
                </c:pt>
                <c:pt idx="19">
                  <c:v>0.12852276000000001</c:v>
                </c:pt>
              </c:numCache>
            </c:numRef>
          </c:yVal>
          <c:smooth val="1"/>
          <c:extLst>
            <c:ext xmlns:c16="http://schemas.microsoft.com/office/drawing/2014/chart" uri="{C3380CC4-5D6E-409C-BE32-E72D297353CC}">
              <c16:uniqueId val="{00000003-D92A-4116-85DE-F89C7AC72A45}"/>
            </c:ext>
          </c:extLst>
        </c:ser>
        <c:ser>
          <c:idx val="4"/>
          <c:order val="4"/>
          <c:spPr>
            <a:ln w="19050" cmpd="sng">
              <a:solidFill>
                <a:schemeClr val="bg1">
                  <a:lumMod val="65000"/>
                </a:schemeClr>
              </a:solidFill>
              <a:prstDash val="dash"/>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Infra.bin!$G$45:$G$64</c:f>
              <c:numCache>
                <c:formatCode>General</c:formatCode>
                <c:ptCount val="20"/>
                <c:pt idx="0">
                  <c:v>0.1209899</c:v>
                </c:pt>
                <c:pt idx="1">
                  <c:v>0.1236968</c:v>
                </c:pt>
                <c:pt idx="2">
                  <c:v>0.1265463</c:v>
                </c:pt>
                <c:pt idx="3">
                  <c:v>0.1295569</c:v>
                </c:pt>
                <c:pt idx="4">
                  <c:v>0.13275010000000001</c:v>
                </c:pt>
                <c:pt idx="5">
                  <c:v>0.13615050000000001</c:v>
                </c:pt>
                <c:pt idx="6">
                  <c:v>0.13978679999999999</c:v>
                </c:pt>
                <c:pt idx="7">
                  <c:v>0.14369119999999999</c:v>
                </c:pt>
                <c:pt idx="8">
                  <c:v>0.1478998</c:v>
                </c:pt>
                <c:pt idx="9">
                  <c:v>0.15245249999999999</c:v>
                </c:pt>
                <c:pt idx="10">
                  <c:v>0.1573917</c:v>
                </c:pt>
                <c:pt idx="11">
                  <c:v>0.1627623</c:v>
                </c:pt>
                <c:pt idx="12">
                  <c:v>0.1686097</c:v>
                </c:pt>
                <c:pt idx="13">
                  <c:v>0.1749792</c:v>
                </c:pt>
                <c:pt idx="14">
                  <c:v>0.1819144</c:v>
                </c:pt>
                <c:pt idx="15">
                  <c:v>0.18945670000000001</c:v>
                </c:pt>
                <c:pt idx="16">
                  <c:v>0.19764480000000001</c:v>
                </c:pt>
                <c:pt idx="17">
                  <c:v>0.20651510000000001</c:v>
                </c:pt>
                <c:pt idx="18">
                  <c:v>0.21610199999999999</c:v>
                </c:pt>
                <c:pt idx="19">
                  <c:v>0.22643930000000001</c:v>
                </c:pt>
              </c:numCache>
            </c:numRef>
          </c:yVal>
          <c:smooth val="1"/>
          <c:extLst>
            <c:ext xmlns:c16="http://schemas.microsoft.com/office/drawing/2014/chart" uri="{C3380CC4-5D6E-409C-BE32-E72D297353CC}">
              <c16:uniqueId val="{00000004-D92A-4116-85DE-F89C7AC72A45}"/>
            </c:ext>
          </c:extLst>
        </c:ser>
        <c:ser>
          <c:idx val="5"/>
          <c:order val="5"/>
          <c:spPr>
            <a:ln w="19050" cmpd="sng">
              <a:solidFill>
                <a:schemeClr val="tx1">
                  <a:lumMod val="65000"/>
                  <a:lumOff val="35000"/>
                </a:schemeClr>
              </a:solidFill>
              <a:prstDash val="dash"/>
            </a:ln>
          </c:spPr>
          <c:marker>
            <c:symbol val="none"/>
          </c:marker>
          <c:xVal>
            <c:numRef>
              <c:f>Infra.bin!$B$2:$B$21</c:f>
              <c:numCache>
                <c:formatCode>General</c:formatCode>
                <c:ptCount val="20"/>
                <c:pt idx="0">
                  <c:v>100</c:v>
                </c:pt>
                <c:pt idx="1">
                  <c:v>107.590039741846</c:v>
                </c:pt>
                <c:pt idx="2">
                  <c:v>115.75616767408201</c:v>
                </c:pt>
                <c:pt idx="3">
                  <c:v>124.54210680418292</c:v>
                </c:pt>
                <c:pt idx="4">
                  <c:v>133.99490354590191</c:v>
                </c:pt>
                <c:pt idx="5">
                  <c:v>144.16516997708428</c:v>
                </c:pt>
                <c:pt idx="6">
                  <c:v>155.10736522331868</c:v>
                </c:pt>
                <c:pt idx="7">
                  <c:v>166.88007588629904</c:v>
                </c:pt>
                <c:pt idx="8">
                  <c:v>179.54634176275556</c:v>
                </c:pt>
                <c:pt idx="9">
                  <c:v>193.1739804575796</c:v>
                </c:pt>
                <c:pt idx="10">
                  <c:v>207.83596442357566</c:v>
                </c:pt>
                <c:pt idx="11">
                  <c:v>223.61079672117427</c:v>
                </c:pt>
                <c:pt idx="12">
                  <c:v>240.58294746519971</c:v>
                </c:pt>
                <c:pt idx="13">
                  <c:v>258.84328878991323</c:v>
                </c:pt>
                <c:pt idx="14">
                  <c:v>278.48960006306521</c:v>
                </c:pt>
                <c:pt idx="15">
                  <c:v>299.62707138476026</c:v>
                </c:pt>
                <c:pt idx="16">
                  <c:v>322.36888840388218</c:v>
                </c:pt>
                <c:pt idx="17">
                  <c:v>346.83681514908454</c:v>
                </c:pt>
                <c:pt idx="18">
                  <c:v>373.16187098987228</c:v>
                </c:pt>
                <c:pt idx="19">
                  <c:v>401.4850052994201</c:v>
                </c:pt>
              </c:numCache>
            </c:numRef>
          </c:xVal>
          <c:yVal>
            <c:numRef>
              <c:f>Infra.bin!$C$45:$C$64</c:f>
              <c:numCache>
                <c:formatCode>General</c:formatCode>
                <c:ptCount val="20"/>
                <c:pt idx="0">
                  <c:v>0.64939630000000004</c:v>
                </c:pt>
                <c:pt idx="1">
                  <c:v>0.62987420000000005</c:v>
                </c:pt>
                <c:pt idx="2">
                  <c:v>0.61135030000000001</c:v>
                </c:pt>
                <c:pt idx="3">
                  <c:v>0.59379740000000003</c:v>
                </c:pt>
                <c:pt idx="4">
                  <c:v>0.57718809999999998</c:v>
                </c:pt>
                <c:pt idx="5">
                  <c:v>0.56149420000000005</c:v>
                </c:pt>
                <c:pt idx="6">
                  <c:v>0.54668660000000002</c:v>
                </c:pt>
                <c:pt idx="7">
                  <c:v>0.53273459999999995</c:v>
                </c:pt>
                <c:pt idx="8">
                  <c:v>0.51960580000000001</c:v>
                </c:pt>
                <c:pt idx="9">
                  <c:v>0.5072662</c:v>
                </c:pt>
                <c:pt idx="10">
                  <c:v>0.4956796</c:v>
                </c:pt>
                <c:pt idx="11">
                  <c:v>0.48480820000000002</c:v>
                </c:pt>
                <c:pt idx="12">
                  <c:v>0.4746128</c:v>
                </c:pt>
                <c:pt idx="13">
                  <c:v>0.4650532</c:v>
                </c:pt>
                <c:pt idx="14">
                  <c:v>0.45608850000000001</c:v>
                </c:pt>
                <c:pt idx="15">
                  <c:v>0.44767770000000001</c:v>
                </c:pt>
                <c:pt idx="16">
                  <c:v>0.43978070000000002</c:v>
                </c:pt>
                <c:pt idx="17">
                  <c:v>0.43235820000000003</c:v>
                </c:pt>
                <c:pt idx="18">
                  <c:v>0.42537219999999998</c:v>
                </c:pt>
                <c:pt idx="19">
                  <c:v>0.41878700000000002</c:v>
                </c:pt>
              </c:numCache>
            </c:numRef>
          </c:yVal>
          <c:smooth val="1"/>
          <c:extLst>
            <c:ext xmlns:c16="http://schemas.microsoft.com/office/drawing/2014/chart" uri="{C3380CC4-5D6E-409C-BE32-E72D297353CC}">
              <c16:uniqueId val="{00000005-D92A-4116-85DE-F89C7AC72A45}"/>
            </c:ext>
          </c:extLst>
        </c:ser>
        <c:dLbls>
          <c:showLegendKey val="0"/>
          <c:showVal val="0"/>
          <c:showCatName val="0"/>
          <c:showSerName val="0"/>
          <c:showPercent val="0"/>
          <c:showBubbleSize val="0"/>
        </c:dLbls>
        <c:axId val="188977864"/>
        <c:axId val="189004568"/>
      </c:scatterChart>
      <c:valAx>
        <c:axId val="188977864"/>
        <c:scaling>
          <c:orientation val="minMax"/>
          <c:max val="400"/>
          <c:min val="100"/>
        </c:scaling>
        <c:delete val="0"/>
        <c:axPos val="b"/>
        <c:title>
          <c:tx>
            <c:rich>
              <a:bodyPr/>
              <a:lstStyle/>
              <a:p>
                <a:pPr>
                  <a:defRPr/>
                </a:pPr>
                <a:r>
                  <a:rPr lang="en-US"/>
                  <a:t>Distance from center point (m)</a:t>
                </a:r>
              </a:p>
            </c:rich>
          </c:tx>
          <c:overlay val="0"/>
        </c:title>
        <c:numFmt formatCode="General" sourceLinked="1"/>
        <c:majorTickMark val="out"/>
        <c:minorTickMark val="none"/>
        <c:tickLblPos val="nextTo"/>
        <c:crossAx val="189004568"/>
        <c:crosses val="autoZero"/>
        <c:crossBetween val="midCat"/>
        <c:majorUnit val="100"/>
      </c:valAx>
      <c:valAx>
        <c:axId val="189004568"/>
        <c:scaling>
          <c:orientation val="minMax"/>
        </c:scaling>
        <c:delete val="0"/>
        <c:axPos val="l"/>
        <c:title>
          <c:tx>
            <c:rich>
              <a:bodyPr rot="-5400000" vert="horz"/>
              <a:lstStyle/>
              <a:p>
                <a:pPr>
                  <a:defRPr/>
                </a:pPr>
                <a:r>
                  <a:rPr lang="en-US"/>
                  <a:t>Baird's sparrows per hectare</a:t>
                </a:r>
              </a:p>
            </c:rich>
          </c:tx>
          <c:overlay val="0"/>
        </c:title>
        <c:numFmt formatCode="General" sourceLinked="1"/>
        <c:majorTickMark val="out"/>
        <c:minorTickMark val="none"/>
        <c:tickLblPos val="nextTo"/>
        <c:crossAx val="188977864"/>
        <c:crosses val="autoZero"/>
        <c:crossBetween val="midCat"/>
      </c:valAx>
    </c:plotArea>
    <c:legend>
      <c:legendPos val="b"/>
      <c:legendEntry>
        <c:idx val="2"/>
        <c:delete val="1"/>
      </c:legendEntry>
      <c:legendEntry>
        <c:idx val="3"/>
        <c:delete val="1"/>
      </c:legendEntry>
      <c:legendEntry>
        <c:idx val="4"/>
        <c:delete val="1"/>
      </c:legendEntry>
      <c:legendEntry>
        <c:idx val="5"/>
        <c:delete val="1"/>
      </c:legendEntry>
      <c:layout>
        <c:manualLayout>
          <c:xMode val="edge"/>
          <c:yMode val="edge"/>
          <c:x val="0.27837657134963395"/>
          <c:y val="7.6011202066097697E-2"/>
          <c:w val="0.4825448818897638"/>
          <c:h val="0.10254982327616854"/>
        </c:manualLayout>
      </c:layout>
      <c:overlay val="0"/>
    </c:legend>
    <c:plotVisOnly val="1"/>
    <c:dispBlanksAs val="gap"/>
    <c:showDLblsOverMax val="0"/>
  </c:chart>
  <c:spPr>
    <a:solidFill>
      <a:schemeClr val="lt1"/>
    </a:solidFill>
    <a:ln w="25400" cap="flat" cmpd="sng" algn="ctr">
      <a:noFill/>
      <a:prstDash val="solid"/>
    </a:ln>
    <a:effectLst/>
  </c:spPr>
  <c:txPr>
    <a:bodyPr/>
    <a:lstStyle/>
    <a:p>
      <a:pPr>
        <a:defRPr>
          <a:solidFill>
            <a:schemeClr val="dk1"/>
          </a:solidFill>
          <a:latin typeface="+mn-lt"/>
          <a:ea typeface="+mn-ea"/>
          <a:cs typeface="+mn-cs"/>
        </a:defRPr>
      </a:pPr>
      <a:endParaRPr lang="en-US"/>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1465619849844"/>
          <c:y val="2.7777777777777801E-2"/>
          <c:w val="0.68165056766160004"/>
          <c:h val="0.814355943843734"/>
        </c:manualLayout>
      </c:layout>
      <c:barChart>
        <c:barDir val="col"/>
        <c:grouping val="clustered"/>
        <c:varyColors val="0"/>
        <c:ser>
          <c:idx val="0"/>
          <c:order val="0"/>
          <c:tx>
            <c:v>Control</c:v>
          </c:tx>
          <c:spPr>
            <a:solidFill>
              <a:schemeClr val="tx1">
                <a:lumMod val="65000"/>
                <a:lumOff val="35000"/>
              </a:schemeClr>
            </a:solidFill>
            <a:ln>
              <a:solidFill>
                <a:schemeClr val="tx1">
                  <a:lumMod val="65000"/>
                  <a:lumOff val="35000"/>
                </a:schemeClr>
              </a:solidFill>
            </a:ln>
          </c:spPr>
          <c:invertIfNegative val="0"/>
          <c:errBars>
            <c:errBarType val="both"/>
            <c:errValType val="cust"/>
            <c:noEndCap val="0"/>
            <c:plus>
              <c:numRef>
                <c:f>(SPvPJ.site!$F$2,SPvPJ.site!$F$31,SPvPJ.site!$F$53)</c:f>
                <c:numCache>
                  <c:formatCode>General</c:formatCode>
                  <c:ptCount val="3"/>
                  <c:pt idx="0">
                    <c:v>1.2136149000000001</c:v>
                  </c:pt>
                  <c:pt idx="1">
                    <c:v>0.80281270000000005</c:v>
                  </c:pt>
                  <c:pt idx="2">
                    <c:v>0.41038350000000001</c:v>
                  </c:pt>
                </c:numCache>
              </c:numRef>
            </c:plus>
            <c:minus>
              <c:numRef>
                <c:f>(SPvPJ.site!$F$2,SPvPJ.site!$F$31,SPvPJ.site!$F$53)</c:f>
                <c:numCache>
                  <c:formatCode>General</c:formatCode>
                  <c:ptCount val="3"/>
                  <c:pt idx="0">
                    <c:v>1.2136149000000001</c:v>
                  </c:pt>
                  <c:pt idx="1">
                    <c:v>0.80281270000000005</c:v>
                  </c:pt>
                  <c:pt idx="2">
                    <c:v>0.41038350000000001</c:v>
                  </c:pt>
                </c:numCache>
              </c:numRef>
            </c:minus>
          </c:errBars>
          <c:cat>
            <c:strRef>
              <c:f>(SPvPJ.site!$A$1,SPvPJ.site!$A$30,SPvPJ.site!$A$52)</c:f>
              <c:strCache>
                <c:ptCount val="3"/>
                <c:pt idx="0">
                  <c:v>Sprague's pipit</c:v>
                </c:pt>
                <c:pt idx="1">
                  <c:v>Baird's sparrow</c:v>
                </c:pt>
                <c:pt idx="2">
                  <c:v>Western meadowlark</c:v>
                </c:pt>
              </c:strCache>
            </c:strRef>
          </c:cat>
          <c:val>
            <c:numRef>
              <c:f>(SPvPJ.site!$I$2,SPvPJ.site!$I$31,SPvPJ.site!$I$53)</c:f>
              <c:numCache>
                <c:formatCode>General</c:formatCode>
                <c:ptCount val="3"/>
                <c:pt idx="0">
                  <c:v>4.8902279999999996</c:v>
                </c:pt>
                <c:pt idx="1">
                  <c:v>3.0417450000000001</c:v>
                </c:pt>
                <c:pt idx="2">
                  <c:v>1.436035</c:v>
                </c:pt>
              </c:numCache>
            </c:numRef>
          </c:val>
          <c:extLst>
            <c:ext xmlns:c16="http://schemas.microsoft.com/office/drawing/2014/chart" uri="{C3380CC4-5D6E-409C-BE32-E72D297353CC}">
              <c16:uniqueId val="{00000000-9DEB-437A-837F-7463ED21B49E}"/>
            </c:ext>
          </c:extLst>
        </c:ser>
        <c:ser>
          <c:idx val="1"/>
          <c:order val="1"/>
          <c:tx>
            <c:v>Pumpjack</c:v>
          </c:tx>
          <c:spPr>
            <a:solidFill>
              <a:schemeClr val="bg1">
                <a:lumMod val="65000"/>
              </a:schemeClr>
            </a:solidFill>
          </c:spPr>
          <c:invertIfNegative val="0"/>
          <c:errBars>
            <c:errBarType val="both"/>
            <c:errValType val="cust"/>
            <c:noEndCap val="0"/>
            <c:plus>
              <c:numRef>
                <c:f>(SPvPJ.site!$F$3,SPvPJ.site!$F$32,SPvPJ.site!$F$54)</c:f>
                <c:numCache>
                  <c:formatCode>General</c:formatCode>
                  <c:ptCount val="3"/>
                  <c:pt idx="0">
                    <c:v>0.71325859999999996</c:v>
                  </c:pt>
                  <c:pt idx="1">
                    <c:v>0.39528760000000002</c:v>
                  </c:pt>
                  <c:pt idx="2">
                    <c:v>0.405279</c:v>
                  </c:pt>
                </c:numCache>
              </c:numRef>
            </c:plus>
            <c:minus>
              <c:numRef>
                <c:f>(SPvPJ.site!$F$3,SPvPJ.site!$F$32,SPvPJ.site!$F$54)</c:f>
                <c:numCache>
                  <c:formatCode>General</c:formatCode>
                  <c:ptCount val="3"/>
                  <c:pt idx="0">
                    <c:v>0.71325859999999996</c:v>
                  </c:pt>
                  <c:pt idx="1">
                    <c:v>0.39528760000000002</c:v>
                  </c:pt>
                  <c:pt idx="2">
                    <c:v>0.405279</c:v>
                  </c:pt>
                </c:numCache>
              </c:numRef>
            </c:minus>
          </c:errBars>
          <c:cat>
            <c:strRef>
              <c:f>(SPvPJ.site!$A$1,SPvPJ.site!$A$30,SPvPJ.site!$A$52)</c:f>
              <c:strCache>
                <c:ptCount val="3"/>
                <c:pt idx="0">
                  <c:v>Sprague's pipit</c:v>
                </c:pt>
                <c:pt idx="1">
                  <c:v>Baird's sparrow</c:v>
                </c:pt>
                <c:pt idx="2">
                  <c:v>Western meadowlark</c:v>
                </c:pt>
              </c:strCache>
            </c:strRef>
          </c:cat>
          <c:val>
            <c:numRef>
              <c:f>(SPvPJ.site!$I$3,SPvPJ.site!$I$32,SPvPJ.site!$I$54)</c:f>
              <c:numCache>
                <c:formatCode>General</c:formatCode>
                <c:ptCount val="3"/>
                <c:pt idx="0">
                  <c:v>2.6332520000000001</c:v>
                </c:pt>
                <c:pt idx="1">
                  <c:v>1.2002189999999999</c:v>
                </c:pt>
                <c:pt idx="2">
                  <c:v>1.3805879999999999</c:v>
                </c:pt>
              </c:numCache>
            </c:numRef>
          </c:val>
          <c:extLst>
            <c:ext xmlns:c16="http://schemas.microsoft.com/office/drawing/2014/chart" uri="{C3380CC4-5D6E-409C-BE32-E72D297353CC}">
              <c16:uniqueId val="{00000001-9DEB-437A-837F-7463ED21B49E}"/>
            </c:ext>
          </c:extLst>
        </c:ser>
        <c:ser>
          <c:idx val="2"/>
          <c:order val="2"/>
          <c:tx>
            <c:v>Screwpump</c:v>
          </c:tx>
          <c:spPr>
            <a:solidFill>
              <a:srgbClr val="D9D9D9"/>
            </a:solidFill>
          </c:spPr>
          <c:invertIfNegative val="0"/>
          <c:errBars>
            <c:errBarType val="both"/>
            <c:errValType val="cust"/>
            <c:noEndCap val="0"/>
            <c:plus>
              <c:numRef>
                <c:f>(SPvPJ.site!$F$4,SPvPJ.site!$F$33,SPvPJ.site!$F$55)</c:f>
                <c:numCache>
                  <c:formatCode>General</c:formatCode>
                  <c:ptCount val="3"/>
                  <c:pt idx="0">
                    <c:v>1.0374730000000001</c:v>
                  </c:pt>
                  <c:pt idx="1">
                    <c:v>0.83400180000000002</c:v>
                  </c:pt>
                  <c:pt idx="2">
                    <c:v>0.9847861</c:v>
                  </c:pt>
                </c:numCache>
              </c:numRef>
            </c:plus>
            <c:minus>
              <c:numRef>
                <c:f>(SPvPJ.site!$F$4,SPvPJ.site!$F$33,SPvPJ.site!$F$55)</c:f>
                <c:numCache>
                  <c:formatCode>General</c:formatCode>
                  <c:ptCount val="3"/>
                  <c:pt idx="0">
                    <c:v>1.0374730000000001</c:v>
                  </c:pt>
                  <c:pt idx="1">
                    <c:v>0.83400180000000002</c:v>
                  </c:pt>
                  <c:pt idx="2">
                    <c:v>0.9847861</c:v>
                  </c:pt>
                </c:numCache>
              </c:numRef>
            </c:minus>
          </c:errBars>
          <c:cat>
            <c:strRef>
              <c:f>(SPvPJ.site!$A$1,SPvPJ.site!$A$30,SPvPJ.site!$A$52)</c:f>
              <c:strCache>
                <c:ptCount val="3"/>
                <c:pt idx="0">
                  <c:v>Sprague's pipit</c:v>
                </c:pt>
                <c:pt idx="1">
                  <c:v>Baird's sparrow</c:v>
                </c:pt>
                <c:pt idx="2">
                  <c:v>Western meadowlark</c:v>
                </c:pt>
              </c:strCache>
            </c:strRef>
          </c:cat>
          <c:val>
            <c:numRef>
              <c:f>(SPvPJ.site!$I$4,SPvPJ.site!$I$33,SPvPJ.site!$I$55)</c:f>
              <c:numCache>
                <c:formatCode>General</c:formatCode>
                <c:ptCount val="3"/>
                <c:pt idx="0">
                  <c:v>2.2193960000000001</c:v>
                </c:pt>
                <c:pt idx="1">
                  <c:v>1.6873720000000001</c:v>
                </c:pt>
                <c:pt idx="2">
                  <c:v>2.3836870000000001</c:v>
                </c:pt>
              </c:numCache>
            </c:numRef>
          </c:val>
          <c:extLst>
            <c:ext xmlns:c16="http://schemas.microsoft.com/office/drawing/2014/chart" uri="{C3380CC4-5D6E-409C-BE32-E72D297353CC}">
              <c16:uniqueId val="{00000002-9DEB-437A-837F-7463ED21B49E}"/>
            </c:ext>
          </c:extLst>
        </c:ser>
        <c:dLbls>
          <c:showLegendKey val="0"/>
          <c:showVal val="0"/>
          <c:showCatName val="0"/>
          <c:showSerName val="0"/>
          <c:showPercent val="0"/>
          <c:showBubbleSize val="0"/>
        </c:dLbls>
        <c:gapWidth val="150"/>
        <c:axId val="188866928"/>
        <c:axId val="287907352"/>
      </c:barChart>
      <c:catAx>
        <c:axId val="188866928"/>
        <c:scaling>
          <c:orientation val="minMax"/>
        </c:scaling>
        <c:delete val="0"/>
        <c:axPos val="b"/>
        <c:numFmt formatCode="General" sourceLinked="0"/>
        <c:majorTickMark val="out"/>
        <c:minorTickMark val="none"/>
        <c:tickLblPos val="nextTo"/>
        <c:crossAx val="287907352"/>
        <c:crosses val="autoZero"/>
        <c:auto val="1"/>
        <c:lblAlgn val="ctr"/>
        <c:lblOffset val="0"/>
        <c:noMultiLvlLbl val="0"/>
      </c:catAx>
      <c:valAx>
        <c:axId val="287907352"/>
        <c:scaling>
          <c:orientation val="minMax"/>
        </c:scaling>
        <c:delete val="0"/>
        <c:axPos val="l"/>
        <c:title>
          <c:tx>
            <c:rich>
              <a:bodyPr rot="-5400000" vert="horz"/>
              <a:lstStyle/>
              <a:p>
                <a:pPr>
                  <a:defRPr/>
                </a:pPr>
                <a:r>
                  <a:rPr lang="en-US"/>
                  <a:t>Birds per site</a:t>
                </a:r>
              </a:p>
            </c:rich>
          </c:tx>
          <c:overlay val="0"/>
        </c:title>
        <c:numFmt formatCode="General" sourceLinked="1"/>
        <c:majorTickMark val="out"/>
        <c:minorTickMark val="none"/>
        <c:tickLblPos val="nextTo"/>
        <c:crossAx val="188866928"/>
        <c:crosses val="autoZero"/>
        <c:crossBetween val="between"/>
      </c:valAx>
    </c:plotArea>
    <c:legend>
      <c:legendPos val="b"/>
      <c:layout>
        <c:manualLayout>
          <c:xMode val="edge"/>
          <c:yMode val="edge"/>
          <c:x val="0.19405672038088262"/>
          <c:y val="5.8443085080896316E-2"/>
          <c:w val="0.54793307086614196"/>
          <c:h val="7.1410455031863398E-2"/>
        </c:manualLayout>
      </c:layout>
      <c:overlay val="0"/>
    </c:legend>
    <c:plotVisOnly val="1"/>
    <c:dispBlanksAs val="gap"/>
    <c:showDLblsOverMax val="0"/>
  </c:chart>
  <c:spPr>
    <a:ln>
      <a:solidFill>
        <a:srgbClr val="FFFFFF"/>
      </a:solidFill>
    </a:ln>
  </c:sp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7265657777908"/>
          <c:y val="4.8997916113061403E-2"/>
          <c:w val="0.59029320219730896"/>
          <c:h val="0.78232285795536705"/>
        </c:manualLayout>
      </c:layout>
      <c:barChart>
        <c:barDir val="col"/>
        <c:grouping val="clustered"/>
        <c:varyColors val="0"/>
        <c:ser>
          <c:idx val="0"/>
          <c:order val="0"/>
          <c:tx>
            <c:v>Control</c:v>
          </c:tx>
          <c:spPr>
            <a:solidFill>
              <a:srgbClr val="595959"/>
            </a:solidFill>
            <a:ln>
              <a:solidFill>
                <a:srgbClr val="595959"/>
              </a:solidFill>
            </a:ln>
          </c:spPr>
          <c:invertIfNegative val="0"/>
          <c:errBars>
            <c:errBarType val="both"/>
            <c:errValType val="cust"/>
            <c:noEndCap val="0"/>
            <c:plus>
              <c:numRef>
                <c:f>(Power.site!$F$2,Power.site!$F$23,Power.site!$F$47,Power.site!$F$69)</c:f>
                <c:numCache>
                  <c:formatCode>General</c:formatCode>
                  <c:ptCount val="4"/>
                  <c:pt idx="0">
                    <c:v>1.3902559999999999</c:v>
                  </c:pt>
                  <c:pt idx="1">
                    <c:v>0.8431786</c:v>
                  </c:pt>
                  <c:pt idx="2">
                    <c:v>0.38038670000000002</c:v>
                  </c:pt>
                  <c:pt idx="3">
                    <c:v>2.1542150000000002</c:v>
                  </c:pt>
                </c:numCache>
              </c:numRef>
            </c:plus>
            <c:minus>
              <c:numRef>
                <c:f>(Power.site!$F$2,Power.site!$F$23,Power.site!$F$47,Power.site!$F$69)</c:f>
                <c:numCache>
                  <c:formatCode>General</c:formatCode>
                  <c:ptCount val="4"/>
                  <c:pt idx="0">
                    <c:v>1.3902559999999999</c:v>
                  </c:pt>
                  <c:pt idx="1">
                    <c:v>0.8431786</c:v>
                  </c:pt>
                  <c:pt idx="2">
                    <c:v>0.38038670000000002</c:v>
                  </c:pt>
                  <c:pt idx="3">
                    <c:v>2.1542150000000002</c:v>
                  </c:pt>
                </c:numCache>
              </c:numRef>
            </c:minus>
          </c:errBars>
          <c:cat>
            <c:strRef>
              <c:f>(Power.site!$A$1,Power.site!$A$22,Power.site!$A$46,Power.site!$A$68)</c:f>
              <c:strCache>
                <c:ptCount val="4"/>
                <c:pt idx="0">
                  <c:v>Sprague's pipit</c:v>
                </c:pt>
                <c:pt idx="1">
                  <c:v>Baird's sparrow</c:v>
                </c:pt>
                <c:pt idx="2">
                  <c:v>Western meadowlark</c:v>
                </c:pt>
                <c:pt idx="3">
                  <c:v>Savannah sparrow</c:v>
                </c:pt>
              </c:strCache>
            </c:strRef>
          </c:cat>
          <c:val>
            <c:numRef>
              <c:f>(Power.site!$I$2,Power.site!$I$23,Power.site!$I$47,Power.site!$I$69)</c:f>
              <c:numCache>
                <c:formatCode>General</c:formatCode>
                <c:ptCount val="4"/>
                <c:pt idx="0">
                  <c:v>4.8265940000000001</c:v>
                </c:pt>
                <c:pt idx="1">
                  <c:v>3.0221353</c:v>
                </c:pt>
                <c:pt idx="2">
                  <c:v>1.460008</c:v>
                </c:pt>
                <c:pt idx="3">
                  <c:v>12.103490000000001</c:v>
                </c:pt>
              </c:numCache>
            </c:numRef>
          </c:val>
          <c:extLst>
            <c:ext xmlns:c16="http://schemas.microsoft.com/office/drawing/2014/chart" uri="{C3380CC4-5D6E-409C-BE32-E72D297353CC}">
              <c16:uniqueId val="{00000000-F423-425D-8119-EBB42546282B}"/>
            </c:ext>
          </c:extLst>
        </c:ser>
        <c:ser>
          <c:idx val="1"/>
          <c:order val="1"/>
          <c:tx>
            <c:v>Grid-powered</c:v>
          </c:tx>
          <c:spPr>
            <a:solidFill>
              <a:schemeClr val="bg1">
                <a:lumMod val="65000"/>
              </a:schemeClr>
            </a:solidFill>
          </c:spPr>
          <c:invertIfNegative val="0"/>
          <c:errBars>
            <c:errBarType val="both"/>
            <c:errValType val="cust"/>
            <c:noEndCap val="0"/>
            <c:plus>
              <c:numRef>
                <c:f>(Power.site!$F$3,Power.site!$F$24,Power.site!$F$48,Power.site!$F$70)</c:f>
                <c:numCache>
                  <c:formatCode>General</c:formatCode>
                  <c:ptCount val="4"/>
                  <c:pt idx="0">
                    <c:v>0.56723570000000001</c:v>
                  </c:pt>
                  <c:pt idx="1">
                    <c:v>0.35497849999999997</c:v>
                  </c:pt>
                  <c:pt idx="2">
                    <c:v>0.63033070000000002</c:v>
                  </c:pt>
                  <c:pt idx="3">
                    <c:v>2.84049</c:v>
                  </c:pt>
                </c:numCache>
              </c:numRef>
            </c:plus>
            <c:minus>
              <c:numRef>
                <c:f>(Power.site!$F$3,Power.site!$F$24,Power.site!$F$48,Power.site!$F$70)</c:f>
                <c:numCache>
                  <c:formatCode>General</c:formatCode>
                  <c:ptCount val="4"/>
                  <c:pt idx="0">
                    <c:v>0.56723570000000001</c:v>
                  </c:pt>
                  <c:pt idx="1">
                    <c:v>0.35497849999999997</c:v>
                  </c:pt>
                  <c:pt idx="2">
                    <c:v>0.63033070000000002</c:v>
                  </c:pt>
                  <c:pt idx="3">
                    <c:v>2.84049</c:v>
                  </c:pt>
                </c:numCache>
              </c:numRef>
            </c:minus>
          </c:errBars>
          <c:val>
            <c:numRef>
              <c:f>(Power.site!$I$3,Power.site!$I$24,Power.site!$I$48,Power.site!$I$70)</c:f>
              <c:numCache>
                <c:formatCode>General</c:formatCode>
                <c:ptCount val="4"/>
                <c:pt idx="0">
                  <c:v>1.1150150000000001</c:v>
                </c:pt>
                <c:pt idx="1">
                  <c:v>0.59283470000000005</c:v>
                </c:pt>
                <c:pt idx="2">
                  <c:v>1.9648909999999999</c:v>
                </c:pt>
                <c:pt idx="3">
                  <c:v>16.90625</c:v>
                </c:pt>
              </c:numCache>
            </c:numRef>
          </c:val>
          <c:extLst>
            <c:ext xmlns:c16="http://schemas.microsoft.com/office/drawing/2014/chart" uri="{C3380CC4-5D6E-409C-BE32-E72D297353CC}">
              <c16:uniqueId val="{00000001-F423-425D-8119-EBB42546282B}"/>
            </c:ext>
          </c:extLst>
        </c:ser>
        <c:ser>
          <c:idx val="2"/>
          <c:order val="2"/>
          <c:tx>
            <c:v>Generator-powered</c:v>
          </c:tx>
          <c:spPr>
            <a:solidFill>
              <a:schemeClr val="bg1">
                <a:lumMod val="85000"/>
              </a:schemeClr>
            </a:solidFill>
          </c:spPr>
          <c:invertIfNegative val="0"/>
          <c:errBars>
            <c:errBarType val="both"/>
            <c:errValType val="cust"/>
            <c:noEndCap val="0"/>
            <c:plus>
              <c:numRef>
                <c:f>(Power.site!$F$4,Power.site!$F$25,Power.site!$F$49,Power.site!$F$71)</c:f>
                <c:numCache>
                  <c:formatCode>General</c:formatCode>
                  <c:ptCount val="4"/>
                  <c:pt idx="0">
                    <c:v>1.160785</c:v>
                  </c:pt>
                  <c:pt idx="1">
                    <c:v>0.86807570000000001</c:v>
                  </c:pt>
                  <c:pt idx="2">
                    <c:v>0.87970459999999995</c:v>
                  </c:pt>
                  <c:pt idx="3">
                    <c:v>3.3448799999999999</c:v>
                  </c:pt>
                </c:numCache>
              </c:numRef>
            </c:plus>
            <c:minus>
              <c:numRef>
                <c:f>(Power.site!$F$4,Power.site!$F$25,Power.site!$F$49,Power.site!$F$71)</c:f>
                <c:numCache>
                  <c:formatCode>General</c:formatCode>
                  <c:ptCount val="4"/>
                  <c:pt idx="0">
                    <c:v>1.160785</c:v>
                  </c:pt>
                  <c:pt idx="1">
                    <c:v>0.86807570000000001</c:v>
                  </c:pt>
                  <c:pt idx="2">
                    <c:v>0.87970459999999995</c:v>
                  </c:pt>
                  <c:pt idx="3">
                    <c:v>3.3448799999999999</c:v>
                  </c:pt>
                </c:numCache>
              </c:numRef>
            </c:minus>
          </c:errBars>
          <c:val>
            <c:numRef>
              <c:f>(Power.site!$I$4,Power.site!$I$25,Power.site!$I$49,Power.site!$I$71)</c:f>
              <c:numCache>
                <c:formatCode>General</c:formatCode>
                <c:ptCount val="4"/>
                <c:pt idx="0">
                  <c:v>2.1727919999999998</c:v>
                </c:pt>
                <c:pt idx="1">
                  <c:v>1.6738521</c:v>
                </c:pt>
                <c:pt idx="2">
                  <c:v>2.4092660000000001</c:v>
                </c:pt>
                <c:pt idx="3">
                  <c:v>11.579969999999999</c:v>
                </c:pt>
              </c:numCache>
            </c:numRef>
          </c:val>
          <c:extLst>
            <c:ext xmlns:c16="http://schemas.microsoft.com/office/drawing/2014/chart" uri="{C3380CC4-5D6E-409C-BE32-E72D297353CC}">
              <c16:uniqueId val="{00000002-F423-425D-8119-EBB42546282B}"/>
            </c:ext>
          </c:extLst>
        </c:ser>
        <c:dLbls>
          <c:showLegendKey val="0"/>
          <c:showVal val="0"/>
          <c:showCatName val="0"/>
          <c:showSerName val="0"/>
          <c:showPercent val="0"/>
          <c:showBubbleSize val="0"/>
        </c:dLbls>
        <c:gapWidth val="150"/>
        <c:axId val="189162168"/>
        <c:axId val="187410688"/>
      </c:barChart>
      <c:catAx>
        <c:axId val="189162168"/>
        <c:scaling>
          <c:orientation val="minMax"/>
        </c:scaling>
        <c:delete val="0"/>
        <c:axPos val="b"/>
        <c:numFmt formatCode="General" sourceLinked="0"/>
        <c:majorTickMark val="out"/>
        <c:minorTickMark val="none"/>
        <c:tickLblPos val="nextTo"/>
        <c:crossAx val="187410688"/>
        <c:crosses val="autoZero"/>
        <c:auto val="1"/>
        <c:lblAlgn val="ctr"/>
        <c:lblOffset val="100"/>
        <c:noMultiLvlLbl val="0"/>
      </c:catAx>
      <c:valAx>
        <c:axId val="187410688"/>
        <c:scaling>
          <c:orientation val="minMax"/>
        </c:scaling>
        <c:delete val="0"/>
        <c:axPos val="l"/>
        <c:title>
          <c:tx>
            <c:rich>
              <a:bodyPr rot="-5400000" vert="horz"/>
              <a:lstStyle/>
              <a:p>
                <a:pPr>
                  <a:defRPr/>
                </a:pPr>
                <a:r>
                  <a:rPr lang="en-US"/>
                  <a:t>Birds per site</a:t>
                </a:r>
              </a:p>
            </c:rich>
          </c:tx>
          <c:overlay val="0"/>
        </c:title>
        <c:numFmt formatCode="General" sourceLinked="1"/>
        <c:majorTickMark val="out"/>
        <c:minorTickMark val="none"/>
        <c:tickLblPos val="nextTo"/>
        <c:crossAx val="189162168"/>
        <c:crosses val="autoZero"/>
        <c:crossBetween val="between"/>
      </c:valAx>
    </c:plotArea>
    <c:legend>
      <c:legendPos val="b"/>
      <c:layout>
        <c:manualLayout>
          <c:xMode val="edge"/>
          <c:yMode val="edge"/>
          <c:x val="0.10596102996419128"/>
          <c:y val="6.9919768021892467E-2"/>
          <c:w val="0.61955234220257804"/>
          <c:h val="6.9479680936863297E-2"/>
        </c:manualLayout>
      </c:layout>
      <c:overlay val="0"/>
    </c:legend>
    <c:plotVisOnly val="1"/>
    <c:dispBlanksAs val="gap"/>
    <c:showDLblsOverMax val="0"/>
  </c:chart>
  <c:spPr>
    <a:ln>
      <a:solidFill>
        <a:srgbClr val="FFFFFF"/>
      </a:solidFill>
    </a:ln>
  </c:sp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1906675355396399"/>
          <c:y val="0.13949433304272013"/>
          <c:w val="0.696909376991109"/>
          <c:h val="0.67873741152887712"/>
        </c:manualLayout>
      </c:layout>
      <c:scatterChart>
        <c:scatterStyle val="smoothMarker"/>
        <c:varyColors val="0"/>
        <c:ser>
          <c:idx val="0"/>
          <c:order val="0"/>
          <c:tx>
            <c:v>Pumpjack</c:v>
          </c:tx>
          <c:spPr>
            <a:ln w="28575">
              <a:solidFill>
                <a:schemeClr val="bg1">
                  <a:lumMod val="65000"/>
                </a:schemeClr>
              </a:solidFill>
            </a:ln>
          </c:spPr>
          <c:marker>
            <c:symbol val="none"/>
          </c:marker>
          <c:xVal>
            <c:numRef>
              <c:f>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155.10736522331871</c:v>
                </c:pt>
                <c:pt idx="7">
                  <c:v>166.88007588629901</c:v>
                </c:pt>
                <c:pt idx="8">
                  <c:v>179.54634176275559</c:v>
                </c:pt>
                <c:pt idx="9">
                  <c:v>193.1739804575796</c:v>
                </c:pt>
                <c:pt idx="10">
                  <c:v>207.83596442357569</c:v>
                </c:pt>
                <c:pt idx="11">
                  <c:v>223.6107967211743</c:v>
                </c:pt>
                <c:pt idx="12">
                  <c:v>240.58294746519971</c:v>
                </c:pt>
                <c:pt idx="13">
                  <c:v>258.84328878991317</c:v>
                </c:pt>
                <c:pt idx="14">
                  <c:v>278.48960006306521</c:v>
                </c:pt>
                <c:pt idx="15">
                  <c:v>299.62707138476031</c:v>
                </c:pt>
                <c:pt idx="16">
                  <c:v>322.36888840388218</c:v>
                </c:pt>
                <c:pt idx="17">
                  <c:v>346.83681514908392</c:v>
                </c:pt>
                <c:pt idx="18">
                  <c:v>373.16187098987228</c:v>
                </c:pt>
                <c:pt idx="19">
                  <c:v>401.4850052994201</c:v>
                </c:pt>
              </c:numCache>
            </c:numRef>
          </c:xVal>
          <c:yVal>
            <c:numRef>
              <c:f>SPvPJ.bin!$J$2:$J$21</c:f>
              <c:numCache>
                <c:formatCode>General</c:formatCode>
                <c:ptCount val="20"/>
                <c:pt idx="0">
                  <c:v>0.25750410000000001</c:v>
                </c:pt>
                <c:pt idx="1">
                  <c:v>0.2631135</c:v>
                </c:pt>
                <c:pt idx="2">
                  <c:v>0.2688451</c:v>
                </c:pt>
                <c:pt idx="3">
                  <c:v>0.27470149999999999</c:v>
                </c:pt>
                <c:pt idx="4">
                  <c:v>0.28068549999999998</c:v>
                </c:pt>
                <c:pt idx="5">
                  <c:v>0.2867999</c:v>
                </c:pt>
                <c:pt idx="6">
                  <c:v>0.29304750000000002</c:v>
                </c:pt>
                <c:pt idx="7">
                  <c:v>0.29943110000000001</c:v>
                </c:pt>
                <c:pt idx="8">
                  <c:v>0.3059539</c:v>
                </c:pt>
                <c:pt idx="9">
                  <c:v>0.31261870000000003</c:v>
                </c:pt>
                <c:pt idx="10">
                  <c:v>0.31942870000000001</c:v>
                </c:pt>
                <c:pt idx="11">
                  <c:v>0.32638699999999998</c:v>
                </c:pt>
                <c:pt idx="12">
                  <c:v>0.33349689999999999</c:v>
                </c:pt>
                <c:pt idx="13">
                  <c:v>0.3407617</c:v>
                </c:pt>
                <c:pt idx="14">
                  <c:v>0.34818480000000002</c:v>
                </c:pt>
                <c:pt idx="15">
                  <c:v>0.35576960000000002</c:v>
                </c:pt>
                <c:pt idx="16">
                  <c:v>0.3635195</c:v>
                </c:pt>
                <c:pt idx="17">
                  <c:v>0.3714383</c:v>
                </c:pt>
                <c:pt idx="18">
                  <c:v>0.37952960000000002</c:v>
                </c:pt>
                <c:pt idx="19">
                  <c:v>0.38779720000000001</c:v>
                </c:pt>
              </c:numCache>
            </c:numRef>
          </c:yVal>
          <c:smooth val="1"/>
          <c:extLst>
            <c:ext xmlns:c16="http://schemas.microsoft.com/office/drawing/2014/chart" uri="{C3380CC4-5D6E-409C-BE32-E72D297353CC}">
              <c16:uniqueId val="{00000000-0AB0-42EF-A757-856BA254FF8D}"/>
            </c:ext>
          </c:extLst>
        </c:ser>
        <c:ser>
          <c:idx val="1"/>
          <c:order val="1"/>
          <c:tx>
            <c:v>Screwpump</c:v>
          </c:tx>
          <c:spPr>
            <a:ln w="28575">
              <a:solidFill>
                <a:schemeClr val="bg1">
                  <a:lumMod val="85000"/>
                </a:schemeClr>
              </a:solidFill>
            </a:ln>
          </c:spPr>
          <c:marker>
            <c:symbol val="none"/>
          </c:marker>
          <c:xVal>
            <c:numRef>
              <c:f>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155.10736522331871</c:v>
                </c:pt>
                <c:pt idx="7">
                  <c:v>166.88007588629901</c:v>
                </c:pt>
                <c:pt idx="8">
                  <c:v>179.54634176275559</c:v>
                </c:pt>
                <c:pt idx="9">
                  <c:v>193.1739804575796</c:v>
                </c:pt>
                <c:pt idx="10">
                  <c:v>207.83596442357569</c:v>
                </c:pt>
                <c:pt idx="11">
                  <c:v>223.6107967211743</c:v>
                </c:pt>
                <c:pt idx="12">
                  <c:v>240.58294746519971</c:v>
                </c:pt>
                <c:pt idx="13">
                  <c:v>258.84328878991317</c:v>
                </c:pt>
                <c:pt idx="14">
                  <c:v>278.48960006306521</c:v>
                </c:pt>
                <c:pt idx="15">
                  <c:v>299.62707138476031</c:v>
                </c:pt>
                <c:pt idx="16">
                  <c:v>322.36888840388218</c:v>
                </c:pt>
                <c:pt idx="17">
                  <c:v>346.83681514908392</c:v>
                </c:pt>
                <c:pt idx="18">
                  <c:v>373.16187098987228</c:v>
                </c:pt>
                <c:pt idx="19">
                  <c:v>401.4850052994201</c:v>
                </c:pt>
              </c:numCache>
            </c:numRef>
          </c:xVal>
          <c:yVal>
            <c:numRef>
              <c:f>SPvPJ.bin!$J$22:$J$41</c:f>
              <c:numCache>
                <c:formatCode>General</c:formatCode>
                <c:ptCount val="20"/>
                <c:pt idx="0">
                  <c:v>0.24566470000000001</c:v>
                </c:pt>
                <c:pt idx="1">
                  <c:v>0.24836130000000001</c:v>
                </c:pt>
                <c:pt idx="2">
                  <c:v>0.25108750000000002</c:v>
                </c:pt>
                <c:pt idx="3">
                  <c:v>0.2538436</c:v>
                </c:pt>
                <c:pt idx="4">
                  <c:v>0.25663000000000002</c:v>
                </c:pt>
                <c:pt idx="5">
                  <c:v>0.25944689999999998</c:v>
                </c:pt>
                <c:pt idx="6">
                  <c:v>0.26229479999999999</c:v>
                </c:pt>
                <c:pt idx="7">
                  <c:v>0.26517390000000002</c:v>
                </c:pt>
                <c:pt idx="8">
                  <c:v>0.26808460000000001</c:v>
                </c:pt>
                <c:pt idx="9">
                  <c:v>0.27102730000000003</c:v>
                </c:pt>
                <c:pt idx="10">
                  <c:v>0.27400229999999998</c:v>
                </c:pt>
                <c:pt idx="11">
                  <c:v>0.27700989999999998</c:v>
                </c:pt>
                <c:pt idx="12">
                  <c:v>0.28005059999999998</c:v>
                </c:pt>
                <c:pt idx="13">
                  <c:v>0.2831246</c:v>
                </c:pt>
                <c:pt idx="14">
                  <c:v>0.2862324</c:v>
                </c:pt>
                <c:pt idx="15">
                  <c:v>0.28937429999999997</c:v>
                </c:pt>
                <c:pt idx="16">
                  <c:v>0.2925507</c:v>
                </c:pt>
                <c:pt idx="17">
                  <c:v>0.29576190000000002</c:v>
                </c:pt>
                <c:pt idx="18">
                  <c:v>0.29900840000000001</c:v>
                </c:pt>
                <c:pt idx="19">
                  <c:v>0.30229050000000002</c:v>
                </c:pt>
              </c:numCache>
            </c:numRef>
          </c:yVal>
          <c:smooth val="1"/>
          <c:extLst>
            <c:ext xmlns:c16="http://schemas.microsoft.com/office/drawing/2014/chart" uri="{C3380CC4-5D6E-409C-BE32-E72D297353CC}">
              <c16:uniqueId val="{00000001-0AB0-42EF-A757-856BA254FF8D}"/>
            </c:ext>
          </c:extLst>
        </c:ser>
        <c:ser>
          <c:idx val="2"/>
          <c:order val="2"/>
          <c:spPr>
            <a:ln w="19050" cmpd="sng">
              <a:solidFill>
                <a:schemeClr val="bg1">
                  <a:lumMod val="85000"/>
                </a:schemeClr>
              </a:solidFill>
              <a:prstDash val="dash"/>
            </a:ln>
          </c:spPr>
          <c:marker>
            <c:symbol val="none"/>
          </c:marker>
          <c:xVal>
            <c:numRef>
              <c:f>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155.10736522331871</c:v>
                </c:pt>
                <c:pt idx="7">
                  <c:v>166.88007588629901</c:v>
                </c:pt>
                <c:pt idx="8">
                  <c:v>179.54634176275559</c:v>
                </c:pt>
                <c:pt idx="9">
                  <c:v>193.1739804575796</c:v>
                </c:pt>
                <c:pt idx="10">
                  <c:v>207.83596442357569</c:v>
                </c:pt>
                <c:pt idx="11">
                  <c:v>223.6107967211743</c:v>
                </c:pt>
                <c:pt idx="12">
                  <c:v>240.58294746519971</c:v>
                </c:pt>
                <c:pt idx="13">
                  <c:v>258.84328878991317</c:v>
                </c:pt>
                <c:pt idx="14">
                  <c:v>278.48960006306521</c:v>
                </c:pt>
                <c:pt idx="15">
                  <c:v>299.62707138476031</c:v>
                </c:pt>
                <c:pt idx="16">
                  <c:v>322.36888840388218</c:v>
                </c:pt>
                <c:pt idx="17">
                  <c:v>346.83681514908392</c:v>
                </c:pt>
                <c:pt idx="18">
                  <c:v>373.16187098987228</c:v>
                </c:pt>
                <c:pt idx="19">
                  <c:v>401.4850052994201</c:v>
                </c:pt>
              </c:numCache>
            </c:numRef>
          </c:xVal>
          <c:yVal>
            <c:numRef>
              <c:f>SPvPJ.bin!$I$22:$I$41</c:f>
              <c:numCache>
                <c:formatCode>General</c:formatCode>
                <c:ptCount val="20"/>
                <c:pt idx="0">
                  <c:v>0.1452734</c:v>
                </c:pt>
                <c:pt idx="1">
                  <c:v>0.1499839</c:v>
                </c:pt>
                <c:pt idx="2">
                  <c:v>0.15467110000000001</c:v>
                </c:pt>
                <c:pt idx="3">
                  <c:v>0.1593001</c:v>
                </c:pt>
                <c:pt idx="4">
                  <c:v>0.16383120000000001</c:v>
                </c:pt>
                <c:pt idx="5">
                  <c:v>0.16821939999999999</c:v>
                </c:pt>
                <c:pt idx="6">
                  <c:v>0.17241580000000001</c:v>
                </c:pt>
                <c:pt idx="7">
                  <c:v>0.17636830000000001</c:v>
                </c:pt>
                <c:pt idx="8">
                  <c:v>0.1800242</c:v>
                </c:pt>
                <c:pt idx="9">
                  <c:v>0.18333240000000001</c:v>
                </c:pt>
                <c:pt idx="10">
                  <c:v>0.18624669999999999</c:v>
                </c:pt>
                <c:pt idx="11">
                  <c:v>0.18872929999999999</c:v>
                </c:pt>
                <c:pt idx="12">
                  <c:v>0.1907528</c:v>
                </c:pt>
                <c:pt idx="13">
                  <c:v>0.1923029</c:v>
                </c:pt>
                <c:pt idx="14">
                  <c:v>0.19337840000000001</c:v>
                </c:pt>
                <c:pt idx="15">
                  <c:v>0.19399089999999999</c:v>
                </c:pt>
                <c:pt idx="16">
                  <c:v>0.19416249999999999</c:v>
                </c:pt>
                <c:pt idx="17">
                  <c:v>0.1939236</c:v>
                </c:pt>
                <c:pt idx="18">
                  <c:v>0.1933098</c:v>
                </c:pt>
                <c:pt idx="19">
                  <c:v>0.19235949999999999</c:v>
                </c:pt>
              </c:numCache>
            </c:numRef>
          </c:yVal>
          <c:smooth val="1"/>
          <c:extLst>
            <c:ext xmlns:c16="http://schemas.microsoft.com/office/drawing/2014/chart" uri="{C3380CC4-5D6E-409C-BE32-E72D297353CC}">
              <c16:uniqueId val="{00000002-0AB0-42EF-A757-856BA254FF8D}"/>
            </c:ext>
          </c:extLst>
        </c:ser>
        <c:ser>
          <c:idx val="3"/>
          <c:order val="3"/>
          <c:spPr>
            <a:ln w="19050" cmpd="sng">
              <a:solidFill>
                <a:schemeClr val="bg1">
                  <a:lumMod val="85000"/>
                </a:schemeClr>
              </a:solidFill>
              <a:prstDash val="dash"/>
            </a:ln>
          </c:spPr>
          <c:marker>
            <c:symbol val="none"/>
          </c:marker>
          <c:xVal>
            <c:numRef>
              <c:f>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155.10736522331871</c:v>
                </c:pt>
                <c:pt idx="7">
                  <c:v>166.88007588629901</c:v>
                </c:pt>
                <c:pt idx="8">
                  <c:v>179.54634176275559</c:v>
                </c:pt>
                <c:pt idx="9">
                  <c:v>193.1739804575796</c:v>
                </c:pt>
                <c:pt idx="10">
                  <c:v>207.83596442357569</c:v>
                </c:pt>
                <c:pt idx="11">
                  <c:v>223.6107967211743</c:v>
                </c:pt>
                <c:pt idx="12">
                  <c:v>240.58294746519971</c:v>
                </c:pt>
                <c:pt idx="13">
                  <c:v>258.84328878991317</c:v>
                </c:pt>
                <c:pt idx="14">
                  <c:v>278.48960006306521</c:v>
                </c:pt>
                <c:pt idx="15">
                  <c:v>299.62707138476031</c:v>
                </c:pt>
                <c:pt idx="16">
                  <c:v>322.36888840388218</c:v>
                </c:pt>
                <c:pt idx="17">
                  <c:v>346.83681514908392</c:v>
                </c:pt>
                <c:pt idx="18">
                  <c:v>373.16187098987228</c:v>
                </c:pt>
                <c:pt idx="19">
                  <c:v>401.4850052994201</c:v>
                </c:pt>
              </c:numCache>
            </c:numRef>
          </c:xVal>
          <c:yVal>
            <c:numRef>
              <c:f>SPvPJ.bin!$H$22:$H$41</c:f>
              <c:numCache>
                <c:formatCode>General</c:formatCode>
                <c:ptCount val="20"/>
                <c:pt idx="0">
                  <c:v>0.41543160000000001</c:v>
                </c:pt>
                <c:pt idx="1">
                  <c:v>0.41126629999999997</c:v>
                </c:pt>
                <c:pt idx="2">
                  <c:v>0.40760639999999998</c:v>
                </c:pt>
                <c:pt idx="3">
                  <c:v>0.40449790000000002</c:v>
                </c:pt>
                <c:pt idx="4">
                  <c:v>0.40199259999999998</c:v>
                </c:pt>
                <c:pt idx="5">
                  <c:v>0.40014810000000001</c:v>
                </c:pt>
                <c:pt idx="6">
                  <c:v>0.39902700000000002</c:v>
                </c:pt>
                <c:pt idx="7">
                  <c:v>0.39869520000000003</c:v>
                </c:pt>
                <c:pt idx="8">
                  <c:v>0.39922059999999998</c:v>
                </c:pt>
                <c:pt idx="9">
                  <c:v>0.40067009999999997</c:v>
                </c:pt>
                <c:pt idx="10">
                  <c:v>0.40310649999999998</c:v>
                </c:pt>
                <c:pt idx="11">
                  <c:v>0.40658509999999998</c:v>
                </c:pt>
                <c:pt idx="12">
                  <c:v>0.41115180000000001</c:v>
                </c:pt>
                <c:pt idx="13">
                  <c:v>0.41684019999999999</c:v>
                </c:pt>
                <c:pt idx="14">
                  <c:v>0.42367189999999999</c:v>
                </c:pt>
                <c:pt idx="15">
                  <c:v>0.4316567</c:v>
                </c:pt>
                <c:pt idx="16">
                  <c:v>0.4407951</c:v>
                </c:pt>
                <c:pt idx="17">
                  <c:v>0.45108029999999999</c:v>
                </c:pt>
                <c:pt idx="18">
                  <c:v>0.4625013</c:v>
                </c:pt>
                <c:pt idx="19">
                  <c:v>0.47504570000000002</c:v>
                </c:pt>
              </c:numCache>
            </c:numRef>
          </c:yVal>
          <c:smooth val="1"/>
          <c:extLst>
            <c:ext xmlns:c16="http://schemas.microsoft.com/office/drawing/2014/chart" uri="{C3380CC4-5D6E-409C-BE32-E72D297353CC}">
              <c16:uniqueId val="{00000003-0AB0-42EF-A757-856BA254FF8D}"/>
            </c:ext>
          </c:extLst>
        </c:ser>
        <c:ser>
          <c:idx val="4"/>
          <c:order val="4"/>
          <c:spPr>
            <a:ln w="19050" cmpd="sng">
              <a:solidFill>
                <a:schemeClr val="bg1">
                  <a:lumMod val="65000"/>
                </a:schemeClr>
              </a:solidFill>
              <a:prstDash val="dash"/>
            </a:ln>
          </c:spPr>
          <c:marker>
            <c:symbol val="none"/>
          </c:marker>
          <c:xVal>
            <c:numRef>
              <c:f>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155.10736522331871</c:v>
                </c:pt>
                <c:pt idx="7">
                  <c:v>166.88007588629901</c:v>
                </c:pt>
                <c:pt idx="8">
                  <c:v>179.54634176275559</c:v>
                </c:pt>
                <c:pt idx="9">
                  <c:v>193.1739804575796</c:v>
                </c:pt>
                <c:pt idx="10">
                  <c:v>207.83596442357569</c:v>
                </c:pt>
                <c:pt idx="11">
                  <c:v>223.6107967211743</c:v>
                </c:pt>
                <c:pt idx="12">
                  <c:v>240.58294746519971</c:v>
                </c:pt>
                <c:pt idx="13">
                  <c:v>258.84328878991317</c:v>
                </c:pt>
                <c:pt idx="14">
                  <c:v>278.48960006306521</c:v>
                </c:pt>
                <c:pt idx="15">
                  <c:v>299.62707138476031</c:v>
                </c:pt>
                <c:pt idx="16">
                  <c:v>322.36888840388218</c:v>
                </c:pt>
                <c:pt idx="17">
                  <c:v>346.83681514908392</c:v>
                </c:pt>
                <c:pt idx="18">
                  <c:v>373.16187098987228</c:v>
                </c:pt>
                <c:pt idx="19">
                  <c:v>401.4850052994201</c:v>
                </c:pt>
              </c:numCache>
            </c:numRef>
          </c:xVal>
          <c:yVal>
            <c:numRef>
              <c:f>SPvPJ.bin!$H$2:$H$21</c:f>
              <c:numCache>
                <c:formatCode>General</c:formatCode>
                <c:ptCount val="20"/>
                <c:pt idx="0">
                  <c:v>0.35812549999999999</c:v>
                </c:pt>
                <c:pt idx="1">
                  <c:v>0.36128329999999997</c:v>
                </c:pt>
                <c:pt idx="2">
                  <c:v>0.36470710000000001</c:v>
                </c:pt>
                <c:pt idx="3">
                  <c:v>0.36843379999999998</c:v>
                </c:pt>
                <c:pt idx="4">
                  <c:v>0.37250499999999998</c:v>
                </c:pt>
                <c:pt idx="5">
                  <c:v>0.3769672</c:v>
                </c:pt>
                <c:pt idx="6">
                  <c:v>0.38187159999999998</c:v>
                </c:pt>
                <c:pt idx="7">
                  <c:v>0.3872737</c:v>
                </c:pt>
                <c:pt idx="8">
                  <c:v>0.39323229999999998</c:v>
                </c:pt>
                <c:pt idx="9">
                  <c:v>0.399808</c:v>
                </c:pt>
                <c:pt idx="10">
                  <c:v>0.40706160000000002</c:v>
                </c:pt>
                <c:pt idx="11">
                  <c:v>0.41505160000000002</c:v>
                </c:pt>
                <c:pt idx="12">
                  <c:v>0.4238323</c:v>
                </c:pt>
                <c:pt idx="13">
                  <c:v>0.433452</c:v>
                </c:pt>
                <c:pt idx="14">
                  <c:v>0.44395180000000001</c:v>
                </c:pt>
                <c:pt idx="15">
                  <c:v>0.45536510000000002</c:v>
                </c:pt>
                <c:pt idx="16">
                  <c:v>0.46771780000000002</c:v>
                </c:pt>
                <c:pt idx="17">
                  <c:v>0.48102980000000001</c:v>
                </c:pt>
                <c:pt idx="18">
                  <c:v>0.49531649999999999</c:v>
                </c:pt>
                <c:pt idx="19">
                  <c:v>0.51058979999999998</c:v>
                </c:pt>
              </c:numCache>
            </c:numRef>
          </c:yVal>
          <c:smooth val="1"/>
          <c:extLst>
            <c:ext xmlns:c16="http://schemas.microsoft.com/office/drawing/2014/chart" uri="{C3380CC4-5D6E-409C-BE32-E72D297353CC}">
              <c16:uniqueId val="{00000004-0AB0-42EF-A757-856BA254FF8D}"/>
            </c:ext>
          </c:extLst>
        </c:ser>
        <c:ser>
          <c:idx val="5"/>
          <c:order val="5"/>
          <c:spPr>
            <a:ln w="19050" cmpd="sng">
              <a:solidFill>
                <a:schemeClr val="bg1">
                  <a:lumMod val="65000"/>
                </a:schemeClr>
              </a:solidFill>
              <a:prstDash val="dash"/>
            </a:ln>
          </c:spPr>
          <c:marker>
            <c:symbol val="none"/>
          </c:marker>
          <c:xVal>
            <c:numRef>
              <c:f>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155.10736522331871</c:v>
                </c:pt>
                <c:pt idx="7">
                  <c:v>166.88007588629901</c:v>
                </c:pt>
                <c:pt idx="8">
                  <c:v>179.54634176275559</c:v>
                </c:pt>
                <c:pt idx="9">
                  <c:v>193.1739804575796</c:v>
                </c:pt>
                <c:pt idx="10">
                  <c:v>207.83596442357569</c:v>
                </c:pt>
                <c:pt idx="11">
                  <c:v>223.6107967211743</c:v>
                </c:pt>
                <c:pt idx="12">
                  <c:v>240.58294746519971</c:v>
                </c:pt>
                <c:pt idx="13">
                  <c:v>258.84328878991317</c:v>
                </c:pt>
                <c:pt idx="14">
                  <c:v>278.48960006306521</c:v>
                </c:pt>
                <c:pt idx="15">
                  <c:v>299.62707138476031</c:v>
                </c:pt>
                <c:pt idx="16">
                  <c:v>322.36888840388218</c:v>
                </c:pt>
                <c:pt idx="17">
                  <c:v>346.83681514908392</c:v>
                </c:pt>
                <c:pt idx="18">
                  <c:v>373.16187098987228</c:v>
                </c:pt>
                <c:pt idx="19">
                  <c:v>401.4850052994201</c:v>
                </c:pt>
              </c:numCache>
            </c:numRef>
          </c:xVal>
          <c:yVal>
            <c:numRef>
              <c:f>SPvPJ.bin!$I$2:$I$21</c:f>
              <c:numCache>
                <c:formatCode>General</c:formatCode>
                <c:ptCount val="20"/>
                <c:pt idx="0">
                  <c:v>0.18515400000000001</c:v>
                </c:pt>
                <c:pt idx="1">
                  <c:v>0.19161890000000001</c:v>
                </c:pt>
                <c:pt idx="2">
                  <c:v>0.1981801</c:v>
                </c:pt>
                <c:pt idx="3">
                  <c:v>0.20481540000000001</c:v>
                </c:pt>
                <c:pt idx="4">
                  <c:v>0.21149879999999999</c:v>
                </c:pt>
                <c:pt idx="5">
                  <c:v>0.2181999</c:v>
                </c:pt>
                <c:pt idx="6">
                  <c:v>0.2248841</c:v>
                </c:pt>
                <c:pt idx="7">
                  <c:v>0.23151330000000001</c:v>
                </c:pt>
                <c:pt idx="8">
                  <c:v>0.23804700000000001</c:v>
                </c:pt>
                <c:pt idx="9">
                  <c:v>0.24444340000000001</c:v>
                </c:pt>
                <c:pt idx="10">
                  <c:v>0.25066149999999998</c:v>
                </c:pt>
                <c:pt idx="11">
                  <c:v>0.25666319999999998</c:v>
                </c:pt>
                <c:pt idx="12">
                  <c:v>0.26241560000000003</c:v>
                </c:pt>
                <c:pt idx="13">
                  <c:v>0.26789249999999998</c:v>
                </c:pt>
                <c:pt idx="14">
                  <c:v>0.27307609999999999</c:v>
                </c:pt>
                <c:pt idx="15">
                  <c:v>0.27795710000000001</c:v>
                </c:pt>
                <c:pt idx="16">
                  <c:v>0.28253460000000002</c:v>
                </c:pt>
                <c:pt idx="17">
                  <c:v>0.28681469999999998</c:v>
                </c:pt>
                <c:pt idx="18">
                  <c:v>0.2908095</c:v>
                </c:pt>
                <c:pt idx="19">
                  <c:v>0.2945352</c:v>
                </c:pt>
              </c:numCache>
            </c:numRef>
          </c:yVal>
          <c:smooth val="1"/>
          <c:extLst>
            <c:ext xmlns:c16="http://schemas.microsoft.com/office/drawing/2014/chart" uri="{C3380CC4-5D6E-409C-BE32-E72D297353CC}">
              <c16:uniqueId val="{00000005-0AB0-42EF-A757-856BA254FF8D}"/>
            </c:ext>
          </c:extLst>
        </c:ser>
        <c:ser>
          <c:idx val="6"/>
          <c:order val="6"/>
          <c:tx>
            <c:v>Control</c:v>
          </c:tx>
          <c:spPr>
            <a:ln w="28575">
              <a:solidFill>
                <a:schemeClr val="tx1">
                  <a:lumMod val="65000"/>
                  <a:lumOff val="35000"/>
                </a:schemeClr>
              </a:solidFill>
              <a:prstDash val="solid"/>
            </a:ln>
          </c:spPr>
          <c:marker>
            <c:symbol val="none"/>
          </c:marker>
          <c:xVal>
            <c:numRef>
              <c:f>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155.10736522331871</c:v>
                </c:pt>
                <c:pt idx="7">
                  <c:v>166.88007588629901</c:v>
                </c:pt>
                <c:pt idx="8">
                  <c:v>179.54634176275559</c:v>
                </c:pt>
                <c:pt idx="9">
                  <c:v>193.1739804575796</c:v>
                </c:pt>
                <c:pt idx="10">
                  <c:v>207.83596442357569</c:v>
                </c:pt>
                <c:pt idx="11">
                  <c:v>223.6107967211743</c:v>
                </c:pt>
                <c:pt idx="12">
                  <c:v>240.58294746519971</c:v>
                </c:pt>
                <c:pt idx="13">
                  <c:v>258.84328878991317</c:v>
                </c:pt>
                <c:pt idx="14">
                  <c:v>278.48960006306521</c:v>
                </c:pt>
                <c:pt idx="15">
                  <c:v>299.62707138476031</c:v>
                </c:pt>
                <c:pt idx="16">
                  <c:v>322.36888840388218</c:v>
                </c:pt>
                <c:pt idx="17">
                  <c:v>346.83681514908392</c:v>
                </c:pt>
                <c:pt idx="18">
                  <c:v>373.16187098987228</c:v>
                </c:pt>
                <c:pt idx="19">
                  <c:v>401.4850052994201</c:v>
                </c:pt>
              </c:numCache>
            </c:numRef>
          </c:xVal>
          <c:yVal>
            <c:numRef>
              <c:f>SPvPJ.bin!$J$42:$J$61</c:f>
              <c:numCache>
                <c:formatCode>General</c:formatCode>
                <c:ptCount val="20"/>
                <c:pt idx="0">
                  <c:v>0.73641849999999998</c:v>
                </c:pt>
                <c:pt idx="1">
                  <c:v>0.72334529999999997</c:v>
                </c:pt>
                <c:pt idx="2">
                  <c:v>0.71050420000000003</c:v>
                </c:pt>
                <c:pt idx="3">
                  <c:v>0.69789109999999999</c:v>
                </c:pt>
                <c:pt idx="4">
                  <c:v>0.6855019</c:v>
                </c:pt>
                <c:pt idx="5">
                  <c:v>0.67333259999999995</c:v>
                </c:pt>
                <c:pt idx="6">
                  <c:v>0.6613793</c:v>
                </c:pt>
                <c:pt idx="7">
                  <c:v>0.6496383</c:v>
                </c:pt>
                <c:pt idx="8">
                  <c:v>0.63810560000000005</c:v>
                </c:pt>
                <c:pt idx="9">
                  <c:v>0.62677780000000005</c:v>
                </c:pt>
                <c:pt idx="10">
                  <c:v>0.61565099999999995</c:v>
                </c:pt>
                <c:pt idx="11">
                  <c:v>0.60472170000000003</c:v>
                </c:pt>
                <c:pt idx="12">
                  <c:v>0.59398649999999997</c:v>
                </c:pt>
                <c:pt idx="13">
                  <c:v>0.58344180000000001</c:v>
                </c:pt>
                <c:pt idx="14">
                  <c:v>0.57308429999999999</c:v>
                </c:pt>
                <c:pt idx="15">
                  <c:v>0.56291069999999999</c:v>
                </c:pt>
                <c:pt idx="16">
                  <c:v>0.55291769999999996</c:v>
                </c:pt>
                <c:pt idx="17">
                  <c:v>0.54310210000000003</c:v>
                </c:pt>
                <c:pt idx="18">
                  <c:v>0.53346070000000001</c:v>
                </c:pt>
                <c:pt idx="19">
                  <c:v>0.52399059999999997</c:v>
                </c:pt>
              </c:numCache>
            </c:numRef>
          </c:yVal>
          <c:smooth val="1"/>
          <c:extLst>
            <c:ext xmlns:c16="http://schemas.microsoft.com/office/drawing/2014/chart" uri="{C3380CC4-5D6E-409C-BE32-E72D297353CC}">
              <c16:uniqueId val="{00000006-0AB0-42EF-A757-856BA254FF8D}"/>
            </c:ext>
          </c:extLst>
        </c:ser>
        <c:ser>
          <c:idx val="7"/>
          <c:order val="7"/>
          <c:spPr>
            <a:ln w="19050">
              <a:solidFill>
                <a:schemeClr val="tx1">
                  <a:lumMod val="75000"/>
                  <a:lumOff val="25000"/>
                </a:schemeClr>
              </a:solidFill>
              <a:prstDash val="dash"/>
            </a:ln>
          </c:spPr>
          <c:marker>
            <c:symbol val="none"/>
          </c:marker>
          <c:xVal>
            <c:numRef>
              <c:f>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155.10736522331871</c:v>
                </c:pt>
                <c:pt idx="7">
                  <c:v>166.88007588629901</c:v>
                </c:pt>
                <c:pt idx="8">
                  <c:v>179.54634176275559</c:v>
                </c:pt>
                <c:pt idx="9">
                  <c:v>193.1739804575796</c:v>
                </c:pt>
                <c:pt idx="10">
                  <c:v>207.83596442357569</c:v>
                </c:pt>
                <c:pt idx="11">
                  <c:v>223.6107967211743</c:v>
                </c:pt>
                <c:pt idx="12">
                  <c:v>240.58294746519971</c:v>
                </c:pt>
                <c:pt idx="13">
                  <c:v>258.84328878991317</c:v>
                </c:pt>
                <c:pt idx="14">
                  <c:v>278.48960006306521</c:v>
                </c:pt>
                <c:pt idx="15">
                  <c:v>299.62707138476031</c:v>
                </c:pt>
                <c:pt idx="16">
                  <c:v>322.36888840388218</c:v>
                </c:pt>
                <c:pt idx="17">
                  <c:v>346.83681514908392</c:v>
                </c:pt>
                <c:pt idx="18">
                  <c:v>373.16187098987228</c:v>
                </c:pt>
                <c:pt idx="19">
                  <c:v>401.4850052994201</c:v>
                </c:pt>
              </c:numCache>
            </c:numRef>
          </c:xVal>
          <c:yVal>
            <c:numRef>
              <c:f>SPvPJ.bin!$I$42:$I$61</c:f>
              <c:numCache>
                <c:formatCode>General</c:formatCode>
                <c:ptCount val="20"/>
                <c:pt idx="0">
                  <c:v>0.56961890000000004</c:v>
                </c:pt>
                <c:pt idx="1">
                  <c:v>0.56306670000000003</c:v>
                </c:pt>
                <c:pt idx="2">
                  <c:v>0.55629289999999998</c:v>
                </c:pt>
                <c:pt idx="3">
                  <c:v>0.54928619999999995</c:v>
                </c:pt>
                <c:pt idx="4">
                  <c:v>0.54203659999999998</c:v>
                </c:pt>
                <c:pt idx="5">
                  <c:v>0.53453660000000003</c:v>
                </c:pt>
                <c:pt idx="6">
                  <c:v>0.52678130000000001</c:v>
                </c:pt>
                <c:pt idx="7">
                  <c:v>0.51876949999999999</c:v>
                </c:pt>
                <c:pt idx="8">
                  <c:v>0.51050359999999995</c:v>
                </c:pt>
                <c:pt idx="9">
                  <c:v>0.50199059999999995</c:v>
                </c:pt>
                <c:pt idx="10">
                  <c:v>0.49324180000000001</c:v>
                </c:pt>
                <c:pt idx="11">
                  <c:v>0.48427290000000001</c:v>
                </c:pt>
                <c:pt idx="12">
                  <c:v>0.47510380000000002</c:v>
                </c:pt>
                <c:pt idx="13">
                  <c:v>0.4657578</c:v>
                </c:pt>
                <c:pt idx="14">
                  <c:v>0.45626109999999998</c:v>
                </c:pt>
                <c:pt idx="15">
                  <c:v>0.44664209999999999</c:v>
                </c:pt>
                <c:pt idx="16">
                  <c:v>0.43693009999999999</c:v>
                </c:pt>
                <c:pt idx="17">
                  <c:v>0.4271549</c:v>
                </c:pt>
                <c:pt idx="18">
                  <c:v>0.41734559999999998</c:v>
                </c:pt>
                <c:pt idx="19">
                  <c:v>0.40753060000000002</c:v>
                </c:pt>
              </c:numCache>
            </c:numRef>
          </c:yVal>
          <c:smooth val="1"/>
          <c:extLst>
            <c:ext xmlns:c16="http://schemas.microsoft.com/office/drawing/2014/chart" uri="{C3380CC4-5D6E-409C-BE32-E72D297353CC}">
              <c16:uniqueId val="{00000007-0AB0-42EF-A757-856BA254FF8D}"/>
            </c:ext>
          </c:extLst>
        </c:ser>
        <c:ser>
          <c:idx val="8"/>
          <c:order val="8"/>
          <c:spPr>
            <a:ln w="19050">
              <a:solidFill>
                <a:schemeClr val="tx1">
                  <a:lumMod val="75000"/>
                  <a:lumOff val="25000"/>
                </a:schemeClr>
              </a:solidFill>
              <a:prstDash val="dash"/>
            </a:ln>
          </c:spPr>
          <c:marker>
            <c:symbol val="none"/>
          </c:marker>
          <c:xVal>
            <c:numRef>
              <c:f>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155.10736522331871</c:v>
                </c:pt>
                <c:pt idx="7">
                  <c:v>166.88007588629901</c:v>
                </c:pt>
                <c:pt idx="8">
                  <c:v>179.54634176275559</c:v>
                </c:pt>
                <c:pt idx="9">
                  <c:v>193.1739804575796</c:v>
                </c:pt>
                <c:pt idx="10">
                  <c:v>207.83596442357569</c:v>
                </c:pt>
                <c:pt idx="11">
                  <c:v>223.6107967211743</c:v>
                </c:pt>
                <c:pt idx="12">
                  <c:v>240.58294746519971</c:v>
                </c:pt>
                <c:pt idx="13">
                  <c:v>258.84328878991317</c:v>
                </c:pt>
                <c:pt idx="14">
                  <c:v>278.48960006306521</c:v>
                </c:pt>
                <c:pt idx="15">
                  <c:v>299.62707138476031</c:v>
                </c:pt>
                <c:pt idx="16">
                  <c:v>322.36888840388218</c:v>
                </c:pt>
                <c:pt idx="17">
                  <c:v>346.83681514908392</c:v>
                </c:pt>
                <c:pt idx="18">
                  <c:v>373.16187098987228</c:v>
                </c:pt>
                <c:pt idx="19">
                  <c:v>401.4850052994201</c:v>
                </c:pt>
              </c:numCache>
            </c:numRef>
          </c:xVal>
          <c:yVal>
            <c:numRef>
              <c:f>SPvPJ.bin!$H$42:$H$61</c:f>
              <c:numCache>
                <c:formatCode>General</c:formatCode>
                <c:ptCount val="20"/>
                <c:pt idx="0">
                  <c:v>0.95206139999999995</c:v>
                </c:pt>
                <c:pt idx="1">
                  <c:v>0.92924779999999996</c:v>
                </c:pt>
                <c:pt idx="2">
                  <c:v>0.90746479999999996</c:v>
                </c:pt>
                <c:pt idx="3">
                  <c:v>0.88669980000000004</c:v>
                </c:pt>
                <c:pt idx="4">
                  <c:v>0.86693920000000002</c:v>
                </c:pt>
                <c:pt idx="5">
                  <c:v>0.84816780000000003</c:v>
                </c:pt>
                <c:pt idx="6">
                  <c:v>0.83036849999999995</c:v>
                </c:pt>
                <c:pt idx="7">
                  <c:v>0.81352100000000005</c:v>
                </c:pt>
                <c:pt idx="8">
                  <c:v>0.79760220000000004</c:v>
                </c:pt>
                <c:pt idx="9">
                  <c:v>0.78258510000000003</c:v>
                </c:pt>
                <c:pt idx="10">
                  <c:v>0.76843879999999998</c:v>
                </c:pt>
                <c:pt idx="11">
                  <c:v>0.75512860000000004</c:v>
                </c:pt>
                <c:pt idx="12">
                  <c:v>0.74261650000000001</c:v>
                </c:pt>
                <c:pt idx="13">
                  <c:v>0.73086119999999999</c:v>
                </c:pt>
                <c:pt idx="14">
                  <c:v>0.7198194</c:v>
                </c:pt>
                <c:pt idx="15">
                  <c:v>0.70944600000000002</c:v>
                </c:pt>
                <c:pt idx="16">
                  <c:v>0.69969539999999997</c:v>
                </c:pt>
                <c:pt idx="17">
                  <c:v>0.69052210000000003</c:v>
                </c:pt>
                <c:pt idx="18">
                  <c:v>0.68188179999999998</c:v>
                </c:pt>
                <c:pt idx="19">
                  <c:v>0.67373130000000003</c:v>
                </c:pt>
              </c:numCache>
            </c:numRef>
          </c:yVal>
          <c:smooth val="1"/>
          <c:extLst>
            <c:ext xmlns:c16="http://schemas.microsoft.com/office/drawing/2014/chart" uri="{C3380CC4-5D6E-409C-BE32-E72D297353CC}">
              <c16:uniqueId val="{00000008-0AB0-42EF-A757-856BA254FF8D}"/>
            </c:ext>
          </c:extLst>
        </c:ser>
        <c:dLbls>
          <c:showLegendKey val="0"/>
          <c:showVal val="0"/>
          <c:showCatName val="0"/>
          <c:showSerName val="0"/>
          <c:showPercent val="0"/>
          <c:showBubbleSize val="0"/>
        </c:dLbls>
        <c:axId val="287637600"/>
        <c:axId val="287637992"/>
      </c:scatterChart>
      <c:valAx>
        <c:axId val="287637600"/>
        <c:scaling>
          <c:orientation val="minMax"/>
          <c:max val="400"/>
          <c:min val="100"/>
        </c:scaling>
        <c:delete val="0"/>
        <c:axPos val="b"/>
        <c:title>
          <c:tx>
            <c:rich>
              <a:bodyPr/>
              <a:lstStyle/>
              <a:p>
                <a:pPr>
                  <a:defRPr/>
                </a:pPr>
                <a:r>
                  <a:rPr lang="en-US"/>
                  <a:t>Distance</a:t>
                </a:r>
                <a:r>
                  <a:rPr lang="en-US" baseline="0"/>
                  <a:t> from center point (m)</a:t>
                </a:r>
                <a:endParaRPr lang="en-US"/>
              </a:p>
            </c:rich>
          </c:tx>
          <c:overlay val="0"/>
        </c:title>
        <c:numFmt formatCode="General" sourceLinked="1"/>
        <c:majorTickMark val="out"/>
        <c:minorTickMark val="none"/>
        <c:tickLblPos val="nextTo"/>
        <c:crossAx val="287637992"/>
        <c:crosses val="autoZero"/>
        <c:crossBetween val="midCat"/>
        <c:majorUnit val="100"/>
      </c:valAx>
      <c:valAx>
        <c:axId val="287637992"/>
        <c:scaling>
          <c:orientation val="minMax"/>
        </c:scaling>
        <c:delete val="0"/>
        <c:axPos val="l"/>
        <c:title>
          <c:tx>
            <c:rich>
              <a:bodyPr rot="-5400000" vert="horz"/>
              <a:lstStyle/>
              <a:p>
                <a:pPr>
                  <a:defRPr/>
                </a:pPr>
                <a:r>
                  <a:rPr lang="en-US"/>
                  <a:t>Sprague's pipits per hectare</a:t>
                </a:r>
              </a:p>
            </c:rich>
          </c:tx>
          <c:overlay val="0"/>
        </c:title>
        <c:numFmt formatCode="General" sourceLinked="1"/>
        <c:majorTickMark val="out"/>
        <c:minorTickMark val="none"/>
        <c:tickLblPos val="nextTo"/>
        <c:crossAx val="287637600"/>
        <c:crosses val="autoZero"/>
        <c:crossBetween val="midCat"/>
      </c:valAx>
    </c:plotArea>
    <c:legend>
      <c:legendPos val="r"/>
      <c:legendEntry>
        <c:idx val="2"/>
        <c:delete val="1"/>
      </c:legendEntry>
      <c:legendEntry>
        <c:idx val="3"/>
        <c:delete val="1"/>
      </c:legendEntry>
      <c:legendEntry>
        <c:idx val="4"/>
        <c:delete val="1"/>
      </c:legendEntry>
      <c:legendEntry>
        <c:idx val="5"/>
        <c:delete val="1"/>
      </c:legendEntry>
      <c:legendEntry>
        <c:idx val="7"/>
        <c:delete val="1"/>
      </c:legendEntry>
      <c:legendEntry>
        <c:idx val="8"/>
        <c:delete val="1"/>
      </c:legendEntry>
      <c:layout>
        <c:manualLayout>
          <c:xMode val="edge"/>
          <c:yMode val="edge"/>
          <c:x val="0.61086069972097012"/>
          <c:y val="9.6605317534959392E-2"/>
          <c:w val="0.34621163339772482"/>
          <c:h val="0.18487667245604761"/>
        </c:manualLayout>
      </c:layout>
      <c:overlay val="0"/>
    </c:legend>
    <c:plotVisOnly val="1"/>
    <c:dispBlanksAs val="gap"/>
    <c:showDLblsOverMax val="0"/>
  </c:chart>
  <c:spPr>
    <a:ln>
      <a:solidFill>
        <a:srgbClr val="FFFFFF"/>
      </a:solidFill>
    </a:ln>
  </c:sp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13754894623883"/>
          <c:y val="6.42898889538282E-2"/>
          <c:w val="0.71572842743000897"/>
          <c:h val="0.75293262217149814"/>
        </c:manualLayout>
      </c:layout>
      <c:scatterChart>
        <c:scatterStyle val="smoothMarker"/>
        <c:varyColors val="0"/>
        <c:ser>
          <c:idx val="0"/>
          <c:order val="0"/>
          <c:tx>
            <c:v>Pumpjack</c:v>
          </c:tx>
          <c:spPr>
            <a:ln w="28575">
              <a:solidFill>
                <a:schemeClr val="bg1">
                  <a:lumMod val="65000"/>
                </a:schemeClr>
              </a:solidFill>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[New_models_graphs_table.xlsx]SPvPJ.bin!$I$65:$I$84</c:f>
              <c:numCache>
                <c:formatCode>General</c:formatCode>
                <c:ptCount val="20"/>
                <c:pt idx="0">
                  <c:v>9.2932749999999995E-2</c:v>
                </c:pt>
                <c:pt idx="1">
                  <c:v>9.6771579999999996E-2</c:v>
                </c:pt>
                <c:pt idx="2">
                  <c:v>0.10076897999999999</c:v>
                </c:pt>
                <c:pt idx="3">
                  <c:v>0.1049315</c:v>
                </c:pt>
                <c:pt idx="4">
                  <c:v>0.10926597</c:v>
                </c:pt>
                <c:pt idx="5">
                  <c:v>0.11377949</c:v>
                </c:pt>
                <c:pt idx="6">
                  <c:v>0.11847944000000001</c:v>
                </c:pt>
                <c:pt idx="7">
                  <c:v>0.12337354</c:v>
                </c:pt>
                <c:pt idx="8">
                  <c:v>0.1284698</c:v>
                </c:pt>
                <c:pt idx="9">
                  <c:v>0.13377658000000001</c:v>
                </c:pt>
                <c:pt idx="10">
                  <c:v>0.13930256999999999</c:v>
                </c:pt>
                <c:pt idx="11">
                  <c:v>0.14505682</c:v>
                </c:pt>
                <c:pt idx="12">
                  <c:v>0.15104877</c:v>
                </c:pt>
                <c:pt idx="13">
                  <c:v>0.15728823</c:v>
                </c:pt>
                <c:pt idx="14">
                  <c:v>0.16378541999999999</c:v>
                </c:pt>
                <c:pt idx="15">
                  <c:v>0.17055100000000001</c:v>
                </c:pt>
                <c:pt idx="16">
                  <c:v>0.17759605000000001</c:v>
                </c:pt>
                <c:pt idx="17">
                  <c:v>0.18493212000000001</c:v>
                </c:pt>
                <c:pt idx="18">
                  <c:v>0.19257121999999999</c:v>
                </c:pt>
                <c:pt idx="19">
                  <c:v>0.20052586999999999</c:v>
                </c:pt>
              </c:numCache>
            </c:numRef>
          </c:yVal>
          <c:smooth val="1"/>
          <c:extLst>
            <c:ext xmlns:c16="http://schemas.microsoft.com/office/drawing/2014/chart" uri="{C3380CC4-5D6E-409C-BE32-E72D297353CC}">
              <c16:uniqueId val="{00000000-5265-4569-B2C2-A40359BDAD44}"/>
            </c:ext>
          </c:extLst>
        </c:ser>
        <c:ser>
          <c:idx val="1"/>
          <c:order val="1"/>
          <c:tx>
            <c:v>Screwpump</c:v>
          </c:tx>
          <c:spPr>
            <a:ln w="28575">
              <a:solidFill>
                <a:schemeClr val="bg1">
                  <a:lumMod val="85000"/>
                </a:schemeClr>
              </a:solidFill>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[New_models_graphs_table.xlsx]SPvPJ.bin!$M$65:$M$84</c:f>
              <c:numCache>
                <c:formatCode>General</c:formatCode>
                <c:ptCount val="20"/>
                <c:pt idx="0">
                  <c:v>0.15782154000000001</c:v>
                </c:pt>
                <c:pt idx="1">
                  <c:v>0.16185886999999999</c:v>
                </c:pt>
                <c:pt idx="2">
                  <c:v>0.16599948</c:v>
                </c:pt>
                <c:pt idx="3">
                  <c:v>0.17024601</c:v>
                </c:pt>
                <c:pt idx="4">
                  <c:v>0.17460117999999999</c:v>
                </c:pt>
                <c:pt idx="5">
                  <c:v>0.17906775</c:v>
                </c:pt>
                <c:pt idx="6">
                  <c:v>0.18364859</c:v>
                </c:pt>
                <c:pt idx="7">
                  <c:v>0.18834661999999999</c:v>
                </c:pt>
                <c:pt idx="8">
                  <c:v>0.19316483000000001</c:v>
                </c:pt>
                <c:pt idx="9">
                  <c:v>0.19810630000000001</c:v>
                </c:pt>
                <c:pt idx="10">
                  <c:v>0.20317416999999999</c:v>
                </c:pt>
                <c:pt idx="11">
                  <c:v>0.20837169</c:v>
                </c:pt>
                <c:pt idx="12">
                  <c:v>0.21370217999999999</c:v>
                </c:pt>
                <c:pt idx="13">
                  <c:v>0.21916901999999999</c:v>
                </c:pt>
                <c:pt idx="14">
                  <c:v>0.22477572000000001</c:v>
                </c:pt>
                <c:pt idx="15">
                  <c:v>0.23052584000000001</c:v>
                </c:pt>
                <c:pt idx="16">
                  <c:v>0.23642305999999999</c:v>
                </c:pt>
                <c:pt idx="17">
                  <c:v>0.24247114</c:v>
                </c:pt>
                <c:pt idx="18">
                  <c:v>0.24867394000000001</c:v>
                </c:pt>
                <c:pt idx="19">
                  <c:v>0.25503542000000001</c:v>
                </c:pt>
              </c:numCache>
            </c:numRef>
          </c:yVal>
          <c:smooth val="1"/>
          <c:extLst>
            <c:ext xmlns:c16="http://schemas.microsoft.com/office/drawing/2014/chart" uri="{C3380CC4-5D6E-409C-BE32-E72D297353CC}">
              <c16:uniqueId val="{00000001-5265-4569-B2C2-A40359BDAD44}"/>
            </c:ext>
          </c:extLst>
        </c:ser>
        <c:ser>
          <c:idx val="2"/>
          <c:order val="2"/>
          <c:spPr>
            <a:ln w="19050" cmpd="sng">
              <a:solidFill>
                <a:schemeClr val="bg1">
                  <a:lumMod val="8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[New_models_graphs_table.xlsx]SPvPJ.bin!$L$65:$L$84</c:f>
              <c:numCache>
                <c:formatCode>General</c:formatCode>
                <c:ptCount val="20"/>
                <c:pt idx="0">
                  <c:v>8.6027210000000007E-2</c:v>
                </c:pt>
                <c:pt idx="1">
                  <c:v>9.0705499999999994E-2</c:v>
                </c:pt>
                <c:pt idx="2">
                  <c:v>9.5525410000000005E-2</c:v>
                </c:pt>
                <c:pt idx="3">
                  <c:v>0.10046491</c:v>
                </c:pt>
                <c:pt idx="4">
                  <c:v>0.10549498</c:v>
                </c:pt>
                <c:pt idx="5">
                  <c:v>0.11057868</c:v>
                </c:pt>
                <c:pt idx="6">
                  <c:v>0.11567065</c:v>
                </c:pt>
                <c:pt idx="7">
                  <c:v>0.12071709999999999</c:v>
                </c:pt>
                <c:pt idx="8">
                  <c:v>0.12565672</c:v>
                </c:pt>
                <c:pt idx="9">
                  <c:v>0.13042285000000001</c:v>
                </c:pt>
                <c:pt idx="10">
                  <c:v>0.13494696</c:v>
                </c:pt>
                <c:pt idx="11">
                  <c:v>0.13916328</c:v>
                </c:pt>
                <c:pt idx="12">
                  <c:v>0.14301407999999999</c:v>
                </c:pt>
                <c:pt idx="13">
                  <c:v>0.14645449999999999</c:v>
                </c:pt>
                <c:pt idx="14">
                  <c:v>0.14945591</c:v>
                </c:pt>
                <c:pt idx="15">
                  <c:v>0.15200722</c:v>
                </c:pt>
                <c:pt idx="16">
                  <c:v>0.15411370999999999</c:v>
                </c:pt>
                <c:pt idx="17">
                  <c:v>0.15579423000000001</c:v>
                </c:pt>
                <c:pt idx="18">
                  <c:v>0.15707742</c:v>
                </c:pt>
                <c:pt idx="19">
                  <c:v>0.15799779999999999</c:v>
                </c:pt>
              </c:numCache>
            </c:numRef>
          </c:yVal>
          <c:smooth val="1"/>
          <c:extLst>
            <c:ext xmlns:c16="http://schemas.microsoft.com/office/drawing/2014/chart" uri="{C3380CC4-5D6E-409C-BE32-E72D297353CC}">
              <c16:uniqueId val="{00000002-5265-4569-B2C2-A40359BDAD44}"/>
            </c:ext>
          </c:extLst>
        </c:ser>
        <c:ser>
          <c:idx val="3"/>
          <c:order val="3"/>
          <c:spPr>
            <a:ln w="19050" cmpd="sng">
              <a:solidFill>
                <a:schemeClr val="bg1">
                  <a:lumMod val="8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[New_models_graphs_table.xlsx]SPvPJ.bin!$K$65:$K$84</c:f>
              <c:numCache>
                <c:formatCode>General</c:formatCode>
                <c:ptCount val="20"/>
                <c:pt idx="0">
                  <c:v>0.28953210000000001</c:v>
                </c:pt>
                <c:pt idx="1">
                  <c:v>0.28882809999999998</c:v>
                </c:pt>
                <c:pt idx="2">
                  <c:v>0.2884659</c:v>
                </c:pt>
                <c:pt idx="3">
                  <c:v>0.28849580000000002</c:v>
                </c:pt>
                <c:pt idx="4">
                  <c:v>0.28897650000000003</c:v>
                </c:pt>
                <c:pt idx="5">
                  <c:v>0.28997689999999998</c:v>
                </c:pt>
                <c:pt idx="6">
                  <c:v>0.29157620000000001</c:v>
                </c:pt>
                <c:pt idx="7">
                  <c:v>0.29386430000000002</c:v>
                </c:pt>
                <c:pt idx="8">
                  <c:v>0.29694120000000002</c:v>
                </c:pt>
                <c:pt idx="9">
                  <c:v>0.30091430000000002</c:v>
                </c:pt>
                <c:pt idx="10">
                  <c:v>0.3058961</c:v>
                </c:pt>
                <c:pt idx="11">
                  <c:v>0.31199870000000002</c:v>
                </c:pt>
                <c:pt idx="12">
                  <c:v>0.31932949999999999</c:v>
                </c:pt>
                <c:pt idx="13">
                  <c:v>0.32798620000000001</c:v>
                </c:pt>
                <c:pt idx="14">
                  <c:v>0.33805370000000001</c:v>
                </c:pt>
                <c:pt idx="15">
                  <c:v>0.34960289999999999</c:v>
                </c:pt>
                <c:pt idx="16">
                  <c:v>0.36269240000000003</c:v>
                </c:pt>
                <c:pt idx="17">
                  <c:v>0.37737120000000002</c:v>
                </c:pt>
                <c:pt idx="18">
                  <c:v>0.39368310000000001</c:v>
                </c:pt>
                <c:pt idx="19">
                  <c:v>0.4116707</c:v>
                </c:pt>
              </c:numCache>
            </c:numRef>
          </c:yVal>
          <c:smooth val="1"/>
          <c:extLst>
            <c:ext xmlns:c16="http://schemas.microsoft.com/office/drawing/2014/chart" uri="{C3380CC4-5D6E-409C-BE32-E72D297353CC}">
              <c16:uniqueId val="{00000003-5265-4569-B2C2-A40359BDAD44}"/>
            </c:ext>
          </c:extLst>
        </c:ser>
        <c:ser>
          <c:idx val="4"/>
          <c:order val="4"/>
          <c:spPr>
            <a:ln w="19050" cmpd="sng">
              <a:solidFill>
                <a:schemeClr val="bg1">
                  <a:lumMod val="6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[New_models_graphs_table.xlsx]SPvPJ.bin!$G$65:$G$84</c:f>
              <c:numCache>
                <c:formatCode>General</c:formatCode>
                <c:ptCount val="20"/>
                <c:pt idx="0">
                  <c:v>0.14849000000000001</c:v>
                </c:pt>
                <c:pt idx="1">
                  <c:v>0.1511305</c:v>
                </c:pt>
                <c:pt idx="2">
                  <c:v>0.1539384</c:v>
                </c:pt>
                <c:pt idx="3">
                  <c:v>0.15694130000000001</c:v>
                </c:pt>
                <c:pt idx="4">
                  <c:v>0.16017290000000001</c:v>
                </c:pt>
                <c:pt idx="5">
                  <c:v>0.1636735</c:v>
                </c:pt>
                <c:pt idx="6">
                  <c:v>0.1674919</c:v>
                </c:pt>
                <c:pt idx="7">
                  <c:v>0.17168549999999999</c:v>
                </c:pt>
                <c:pt idx="8">
                  <c:v>0.17632200000000001</c:v>
                </c:pt>
                <c:pt idx="9">
                  <c:v>0.18147869999999999</c:v>
                </c:pt>
                <c:pt idx="10">
                  <c:v>0.18724189999999999</c:v>
                </c:pt>
                <c:pt idx="11">
                  <c:v>0.1937044</c:v>
                </c:pt>
                <c:pt idx="12">
                  <c:v>0.20096259999999999</c:v>
                </c:pt>
                <c:pt idx="13">
                  <c:v>0.20911160000000001</c:v>
                </c:pt>
                <c:pt idx="14">
                  <c:v>0.21824180000000001</c:v>
                </c:pt>
                <c:pt idx="15">
                  <c:v>0.22843620000000001</c:v>
                </c:pt>
                <c:pt idx="16">
                  <c:v>0.23976919999999999</c:v>
                </c:pt>
                <c:pt idx="17">
                  <c:v>0.25230809999999998</c:v>
                </c:pt>
                <c:pt idx="18">
                  <c:v>0.26611560000000001</c:v>
                </c:pt>
                <c:pt idx="19">
                  <c:v>0.28125299999999998</c:v>
                </c:pt>
              </c:numCache>
            </c:numRef>
          </c:yVal>
          <c:smooth val="1"/>
          <c:extLst>
            <c:ext xmlns:c16="http://schemas.microsoft.com/office/drawing/2014/chart" uri="{C3380CC4-5D6E-409C-BE32-E72D297353CC}">
              <c16:uniqueId val="{00000004-5265-4569-B2C2-A40359BDAD44}"/>
            </c:ext>
          </c:extLst>
        </c:ser>
        <c:ser>
          <c:idx val="5"/>
          <c:order val="5"/>
          <c:spPr>
            <a:ln w="19050" cmpd="sng">
              <a:solidFill>
                <a:schemeClr val="bg1">
                  <a:lumMod val="6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[New_models_graphs_table.xlsx]SPvPJ.bin!$H$65:$H$84</c:f>
              <c:numCache>
                <c:formatCode>General</c:formatCode>
                <c:ptCount val="20"/>
                <c:pt idx="0">
                  <c:v>5.8162140000000001E-2</c:v>
                </c:pt>
                <c:pt idx="1">
                  <c:v>6.1964569999999997E-2</c:v>
                </c:pt>
                <c:pt idx="2">
                  <c:v>6.5963980000000005E-2</c:v>
                </c:pt>
                <c:pt idx="3">
                  <c:v>7.0157570000000002E-2</c:v>
                </c:pt>
                <c:pt idx="4">
                  <c:v>7.4538549999999995E-2</c:v>
                </c:pt>
                <c:pt idx="5">
                  <c:v>7.9095079999999998E-2</c:v>
                </c:pt>
                <c:pt idx="6">
                  <c:v>8.3809309999999998E-2</c:v>
                </c:pt>
                <c:pt idx="7">
                  <c:v>8.8656460000000006E-2</c:v>
                </c:pt>
                <c:pt idx="8">
                  <c:v>9.360425E-2</c:v>
                </c:pt>
                <c:pt idx="9">
                  <c:v>9.8613069999999997E-2</c:v>
                </c:pt>
                <c:pt idx="10">
                  <c:v>0.10363711</c:v>
                </c:pt>
                <c:pt idx="11">
                  <c:v>0.10862674999999999</c:v>
                </c:pt>
                <c:pt idx="12">
                  <c:v>0.11353224000000001</c:v>
                </c:pt>
                <c:pt idx="13">
                  <c:v>0.11830807</c:v>
                </c:pt>
                <c:pt idx="14">
                  <c:v>0.12291715</c:v>
                </c:pt>
                <c:pt idx="15">
                  <c:v>0.12733377000000001</c:v>
                </c:pt>
                <c:pt idx="16">
                  <c:v>0.13154467</c:v>
                </c:pt>
                <c:pt idx="17">
                  <c:v>0.13554814000000001</c:v>
                </c:pt>
                <c:pt idx="18">
                  <c:v>0.13935177000000001</c:v>
                </c:pt>
                <c:pt idx="19">
                  <c:v>0.14296959000000001</c:v>
                </c:pt>
              </c:numCache>
            </c:numRef>
          </c:yVal>
          <c:smooth val="1"/>
          <c:extLst>
            <c:ext xmlns:c16="http://schemas.microsoft.com/office/drawing/2014/chart" uri="{C3380CC4-5D6E-409C-BE32-E72D297353CC}">
              <c16:uniqueId val="{00000005-5265-4569-B2C2-A40359BDAD44}"/>
            </c:ext>
          </c:extLst>
        </c:ser>
        <c:ser>
          <c:idx val="6"/>
          <c:order val="6"/>
          <c:tx>
            <c:v>Control</c:v>
          </c:tx>
          <c:spPr>
            <a:ln w="28575">
              <a:solidFill>
                <a:schemeClr val="tx1">
                  <a:lumMod val="65000"/>
                  <a:lumOff val="35000"/>
                </a:schemeClr>
              </a:solidFill>
              <a:prstDash val="solid"/>
            </a:ln>
          </c:spPr>
          <c:marker>
            <c:symbol val="none"/>
          </c:marker>
          <c:xVal>
            <c:numRef>
              <c:f>[New_models_graphs_table.xlsx]SPvPJ.bin!$B$42:$B$61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[New_models_graphs_table.xlsx]SPvPJ.bin!$E$65:$E$84</c:f>
              <c:numCache>
                <c:formatCode>General</c:formatCode>
                <c:ptCount val="20"/>
                <c:pt idx="0">
                  <c:v>0.48126173999999999</c:v>
                </c:pt>
                <c:pt idx="1">
                  <c:v>0.47033833000000003</c:v>
                </c:pt>
                <c:pt idx="2">
                  <c:v>0.45966285000000001</c:v>
                </c:pt>
                <c:pt idx="3">
                  <c:v>0.44922968000000002</c:v>
                </c:pt>
                <c:pt idx="4">
                  <c:v>0.43903331000000001</c:v>
                </c:pt>
                <c:pt idx="5">
                  <c:v>0.42906838000000003</c:v>
                </c:pt>
                <c:pt idx="6">
                  <c:v>0.41932962000000001</c:v>
                </c:pt>
                <c:pt idx="7">
                  <c:v>0.40981191</c:v>
                </c:pt>
                <c:pt idx="8">
                  <c:v>0.40051023000000002</c:v>
                </c:pt>
                <c:pt idx="9">
                  <c:v>0.39141967</c:v>
                </c:pt>
                <c:pt idx="10">
                  <c:v>0.38253544</c:v>
                </c:pt>
                <c:pt idx="11">
                  <c:v>0.37385287</c:v>
                </c:pt>
                <c:pt idx="12">
                  <c:v>0.36536735999999997</c:v>
                </c:pt>
                <c:pt idx="13">
                  <c:v>0.35707445999999998</c:v>
                </c:pt>
                <c:pt idx="14">
                  <c:v>0.34896978000000001</c:v>
                </c:pt>
                <c:pt idx="15">
                  <c:v>0.34104906000000001</c:v>
                </c:pt>
                <c:pt idx="16">
                  <c:v>0.33330810999999999</c:v>
                </c:pt>
                <c:pt idx="17">
                  <c:v>0.32574287000000002</c:v>
                </c:pt>
                <c:pt idx="18">
                  <c:v>0.31834933999999998</c:v>
                </c:pt>
                <c:pt idx="19">
                  <c:v>0.31112362999999998</c:v>
                </c:pt>
              </c:numCache>
            </c:numRef>
          </c:yVal>
          <c:smooth val="1"/>
          <c:extLst>
            <c:ext xmlns:c16="http://schemas.microsoft.com/office/drawing/2014/chart" uri="{C3380CC4-5D6E-409C-BE32-E72D297353CC}">
              <c16:uniqueId val="{00000006-5265-4569-B2C2-A40359BDAD44}"/>
            </c:ext>
          </c:extLst>
        </c:ser>
        <c:ser>
          <c:idx val="7"/>
          <c:order val="7"/>
          <c:spPr>
            <a:ln w="19050">
              <a:solidFill>
                <a:schemeClr val="tx1">
                  <a:lumMod val="65000"/>
                  <a:lumOff val="35000"/>
                </a:schemeClr>
              </a:solidFill>
              <a:prstDash val="dash"/>
            </a:ln>
          </c:spPr>
          <c:marker>
            <c:symbol val="none"/>
          </c:marker>
          <c:xVal>
            <c:numRef>
              <c:f>[New_models_graphs_table.xlsx]SPvPJ.bin!$B$42:$B$61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[New_models_graphs_table.xlsx]SPvPJ.bin!$D$65:$D$84</c:f>
              <c:numCache>
                <c:formatCode>General</c:formatCode>
                <c:ptCount val="20"/>
                <c:pt idx="0">
                  <c:v>0.36262914000000002</c:v>
                </c:pt>
                <c:pt idx="1">
                  <c:v>0.35756507999999998</c:v>
                </c:pt>
                <c:pt idx="2">
                  <c:v>0.35231771000000001</c:v>
                </c:pt>
                <c:pt idx="3">
                  <c:v>0.34687351</c:v>
                </c:pt>
                <c:pt idx="4">
                  <c:v>0.34122037999999999</c:v>
                </c:pt>
                <c:pt idx="5">
                  <c:v>0.33534846000000001</c:v>
                </c:pt>
                <c:pt idx="6">
                  <c:v>0.32925111000000001</c:v>
                </c:pt>
                <c:pt idx="7">
                  <c:v>0.32292579999999999</c:v>
                </c:pt>
                <c:pt idx="8">
                  <c:v>0.31637503</c:v>
                </c:pt>
                <c:pt idx="9">
                  <c:v>0.30960686999999998</c:v>
                </c:pt>
                <c:pt idx="10">
                  <c:v>0.30263525000000002</c:v>
                </c:pt>
                <c:pt idx="11">
                  <c:v>0.29547982</c:v>
                </c:pt>
                <c:pt idx="12">
                  <c:v>0.28816526999999997</c:v>
                </c:pt>
                <c:pt idx="13">
                  <c:v>0.28072037999999999</c:v>
                </c:pt>
                <c:pt idx="14">
                  <c:v>0.27317673999999997</c:v>
                </c:pt>
                <c:pt idx="15">
                  <c:v>0.26556737000000002</c:v>
                </c:pt>
                <c:pt idx="16">
                  <c:v>0.25792537999999998</c:v>
                </c:pt>
                <c:pt idx="17">
                  <c:v>0.25028283000000001</c:v>
                </c:pt>
                <c:pt idx="18">
                  <c:v>0.24266979</c:v>
                </c:pt>
                <c:pt idx="19">
                  <c:v>0.23511373999999999</c:v>
                </c:pt>
              </c:numCache>
            </c:numRef>
          </c:yVal>
          <c:smooth val="1"/>
          <c:extLst>
            <c:ext xmlns:c16="http://schemas.microsoft.com/office/drawing/2014/chart" uri="{C3380CC4-5D6E-409C-BE32-E72D297353CC}">
              <c16:uniqueId val="{00000007-5265-4569-B2C2-A40359BDAD44}"/>
            </c:ext>
          </c:extLst>
        </c:ser>
        <c:ser>
          <c:idx val="8"/>
          <c:order val="8"/>
          <c:spPr>
            <a:ln w="19050">
              <a:solidFill>
                <a:schemeClr val="tx1">
                  <a:lumMod val="65000"/>
                  <a:lumOff val="35000"/>
                </a:schemeClr>
              </a:solidFill>
              <a:prstDash val="dash"/>
            </a:ln>
          </c:spPr>
          <c:marker>
            <c:symbol val="none"/>
          </c:marker>
          <c:xVal>
            <c:numRef>
              <c:f>[New_models_graphs_table.xlsx]SPvPJ.bin!$B$42:$B$61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[New_models_graphs_table.xlsx]SPvPJ.bin!$C$65:$C$84</c:f>
              <c:numCache>
                <c:formatCode>General</c:formatCode>
                <c:ptCount val="20"/>
                <c:pt idx="0">
                  <c:v>0.63870450000000001</c:v>
                </c:pt>
                <c:pt idx="1">
                  <c:v>0.61867939999999999</c:v>
                </c:pt>
                <c:pt idx="2">
                  <c:v>0.59971419999999998</c:v>
                </c:pt>
                <c:pt idx="3">
                  <c:v>0.58178929999999995</c:v>
                </c:pt>
                <c:pt idx="4">
                  <c:v>0.56488490000000002</c:v>
                </c:pt>
                <c:pt idx="5">
                  <c:v>0.54898020000000003</c:v>
                </c:pt>
                <c:pt idx="6">
                  <c:v>0.53405239999999998</c:v>
                </c:pt>
                <c:pt idx="7">
                  <c:v>0.52007550000000002</c:v>
                </c:pt>
                <c:pt idx="8">
                  <c:v>0.50701989999999997</c:v>
                </c:pt>
                <c:pt idx="9">
                  <c:v>0.49485129999999999</c:v>
                </c:pt>
                <c:pt idx="10">
                  <c:v>0.48353049999999997</c:v>
                </c:pt>
                <c:pt idx="11">
                  <c:v>0.47301359999999998</c:v>
                </c:pt>
                <c:pt idx="12">
                  <c:v>0.46325260000000001</c:v>
                </c:pt>
                <c:pt idx="13">
                  <c:v>0.4541963</c:v>
                </c:pt>
                <c:pt idx="14">
                  <c:v>0.44579160000000001</c:v>
                </c:pt>
                <c:pt idx="15">
                  <c:v>0.43798480000000001</c:v>
                </c:pt>
                <c:pt idx="16">
                  <c:v>0.43072260000000001</c:v>
                </c:pt>
                <c:pt idx="17">
                  <c:v>0.4239541</c:v>
                </c:pt>
                <c:pt idx="18">
                  <c:v>0.41763050000000002</c:v>
                </c:pt>
                <c:pt idx="19">
                  <c:v>0.41170669999999998</c:v>
                </c:pt>
              </c:numCache>
            </c:numRef>
          </c:yVal>
          <c:smooth val="1"/>
          <c:extLst>
            <c:ext xmlns:c16="http://schemas.microsoft.com/office/drawing/2014/chart" uri="{C3380CC4-5D6E-409C-BE32-E72D297353CC}">
              <c16:uniqueId val="{00000008-5265-4569-B2C2-A40359BDAD44}"/>
            </c:ext>
          </c:extLst>
        </c:ser>
        <c:dLbls>
          <c:showLegendKey val="0"/>
          <c:showVal val="0"/>
          <c:showCatName val="0"/>
          <c:showSerName val="0"/>
          <c:showPercent val="0"/>
          <c:showBubbleSize val="0"/>
        </c:dLbls>
        <c:axId val="187411472"/>
        <c:axId val="287638776"/>
      </c:scatterChart>
      <c:valAx>
        <c:axId val="187411472"/>
        <c:scaling>
          <c:orientation val="minMax"/>
          <c:max val="400"/>
          <c:min val="100"/>
        </c:scaling>
        <c:delete val="0"/>
        <c:axPos val="b"/>
        <c:title>
          <c:tx>
            <c:rich>
              <a:bodyPr/>
              <a:lstStyle/>
              <a:p>
                <a:pPr>
                  <a:defRPr/>
                </a:pPr>
                <a:r>
                  <a:rPr lang="en-US"/>
                  <a:t>Distance</a:t>
                </a:r>
                <a:r>
                  <a:rPr lang="en-US" baseline="0"/>
                  <a:t> from center point (m)</a:t>
                </a:r>
                <a:endParaRPr lang="en-US"/>
              </a:p>
            </c:rich>
          </c:tx>
          <c:overlay val="0"/>
        </c:title>
        <c:numFmt formatCode="General" sourceLinked="1"/>
        <c:majorTickMark val="out"/>
        <c:minorTickMark val="none"/>
        <c:tickLblPos val="nextTo"/>
        <c:crossAx val="287638776"/>
        <c:crosses val="autoZero"/>
        <c:crossBetween val="midCat"/>
        <c:majorUnit val="100"/>
      </c:valAx>
      <c:valAx>
        <c:axId val="287638776"/>
        <c:scaling>
          <c:orientation val="minMax"/>
        </c:scaling>
        <c:delete val="0"/>
        <c:axPos val="l"/>
        <c:title>
          <c:tx>
            <c:rich>
              <a:bodyPr rot="-5400000" vert="horz"/>
              <a:lstStyle/>
              <a:p>
                <a:pPr>
                  <a:defRPr/>
                </a:pPr>
                <a:r>
                  <a:rPr lang="en-US"/>
                  <a:t>Baird's</a:t>
                </a:r>
                <a:r>
                  <a:rPr lang="en-US" baseline="0"/>
                  <a:t> sparrows per hectare</a:t>
                </a:r>
                <a:endParaRPr lang="en-US"/>
              </a:p>
            </c:rich>
          </c:tx>
          <c:overlay val="0"/>
        </c:title>
        <c:numFmt formatCode="General" sourceLinked="1"/>
        <c:majorTickMark val="out"/>
        <c:minorTickMark val="none"/>
        <c:tickLblPos val="nextTo"/>
        <c:crossAx val="187411472"/>
        <c:crosses val="autoZero"/>
        <c:crossBetween val="midCat"/>
      </c:valAx>
    </c:plotArea>
    <c:legend>
      <c:legendPos val="r"/>
      <c:legendEntry>
        <c:idx val="2"/>
        <c:delete val="1"/>
      </c:legendEntry>
      <c:legendEntry>
        <c:idx val="3"/>
        <c:delete val="1"/>
      </c:legendEntry>
      <c:legendEntry>
        <c:idx val="4"/>
        <c:delete val="1"/>
      </c:legendEntry>
      <c:legendEntry>
        <c:idx val="5"/>
        <c:delete val="1"/>
      </c:legendEntry>
      <c:legendEntry>
        <c:idx val="7"/>
        <c:delete val="1"/>
      </c:legendEntry>
      <c:legendEntry>
        <c:idx val="8"/>
        <c:delete val="1"/>
      </c:legendEntry>
      <c:layout>
        <c:manualLayout>
          <c:xMode val="edge"/>
          <c:yMode val="edge"/>
          <c:x val="0.588727832489222"/>
          <c:y val="0.10605484659245179"/>
          <c:w val="0.34632304432394101"/>
          <c:h val="0.18005862943344825"/>
        </c:manualLayout>
      </c:layout>
      <c:overlay val="0"/>
    </c:legend>
    <c:plotVisOnly val="1"/>
    <c:dispBlanksAs val="gap"/>
    <c:showDLblsOverMax val="0"/>
  </c:chart>
  <c:spPr>
    <a:ln>
      <a:solidFill>
        <a:srgbClr val="FFFFFF"/>
      </a:solidFill>
    </a:ln>
  </c:sp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3858444343178503"/>
          <c:y val="6.99194501573107E-2"/>
          <c:w val="0.68263088917384662"/>
          <c:h val="0.75322661763087995"/>
        </c:manualLayout>
      </c:layout>
      <c:scatterChart>
        <c:scatterStyle val="smoothMarker"/>
        <c:varyColors val="0"/>
        <c:ser>
          <c:idx val="0"/>
          <c:order val="0"/>
          <c:tx>
            <c:v>Pumpjack</c:v>
          </c:tx>
          <c:spPr>
            <a:ln w="28575">
              <a:solidFill>
                <a:schemeClr val="bg1">
                  <a:lumMod val="65000"/>
                </a:schemeClr>
              </a:solidFill>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[New_models_graphs_table.xlsx]SPvPJ.bin!$I$96:$I$115</c:f>
              <c:numCache>
                <c:formatCode>General</c:formatCode>
                <c:ptCount val="20"/>
                <c:pt idx="0">
                  <c:v>0.14358889999999999</c:v>
                </c:pt>
                <c:pt idx="1">
                  <c:v>0.1438797</c:v>
                </c:pt>
                <c:pt idx="2">
                  <c:v>0.14417099999999999</c:v>
                </c:pt>
                <c:pt idx="3">
                  <c:v>0.14446300000000001</c:v>
                </c:pt>
                <c:pt idx="4">
                  <c:v>0.14475550000000001</c:v>
                </c:pt>
                <c:pt idx="5">
                  <c:v>0.1450487</c:v>
                </c:pt>
                <c:pt idx="6">
                  <c:v>0.14534240000000001</c:v>
                </c:pt>
                <c:pt idx="7">
                  <c:v>0.14563670000000001</c:v>
                </c:pt>
                <c:pt idx="8">
                  <c:v>0.14593159999999999</c:v>
                </c:pt>
                <c:pt idx="9">
                  <c:v>0.1462271</c:v>
                </c:pt>
                <c:pt idx="10">
                  <c:v>0.1465233</c:v>
                </c:pt>
                <c:pt idx="11">
                  <c:v>0.14682000000000001</c:v>
                </c:pt>
                <c:pt idx="12">
                  <c:v>0.14711730000000001</c:v>
                </c:pt>
                <c:pt idx="13">
                  <c:v>0.1474152</c:v>
                </c:pt>
                <c:pt idx="14">
                  <c:v>0.1477137</c:v>
                </c:pt>
                <c:pt idx="15">
                  <c:v>0.1480128</c:v>
                </c:pt>
                <c:pt idx="16">
                  <c:v>0.14831259999999999</c:v>
                </c:pt>
                <c:pt idx="17">
                  <c:v>0.14861289999999999</c:v>
                </c:pt>
                <c:pt idx="18">
                  <c:v>0.14891380000000001</c:v>
                </c:pt>
                <c:pt idx="19">
                  <c:v>0.1492154</c:v>
                </c:pt>
              </c:numCache>
            </c:numRef>
          </c:yVal>
          <c:smooth val="1"/>
          <c:extLst>
            <c:ext xmlns:c16="http://schemas.microsoft.com/office/drawing/2014/chart" uri="{C3380CC4-5D6E-409C-BE32-E72D297353CC}">
              <c16:uniqueId val="{00000000-1A3E-43B8-88DA-64C25DF8C684}"/>
            </c:ext>
          </c:extLst>
        </c:ser>
        <c:ser>
          <c:idx val="1"/>
          <c:order val="1"/>
          <c:tx>
            <c:v>Screwpump</c:v>
          </c:tx>
          <c:spPr>
            <a:ln w="28575">
              <a:solidFill>
                <a:schemeClr val="bg1">
                  <a:lumMod val="85000"/>
                </a:schemeClr>
              </a:solidFill>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[New_models_graphs_table.xlsx]SPvPJ.bin!$M$96:$M$115</c:f>
              <c:numCache>
                <c:formatCode>General</c:formatCode>
                <c:ptCount val="20"/>
                <c:pt idx="0">
                  <c:v>0.50539520000000004</c:v>
                </c:pt>
                <c:pt idx="1">
                  <c:v>0.4683812</c:v>
                </c:pt>
                <c:pt idx="2">
                  <c:v>0.43407800000000002</c:v>
                </c:pt>
                <c:pt idx="3">
                  <c:v>0.40228710000000001</c:v>
                </c:pt>
                <c:pt idx="4">
                  <c:v>0.3728244</c:v>
                </c:pt>
                <c:pt idx="5">
                  <c:v>0.34551959999999998</c:v>
                </c:pt>
                <c:pt idx="6">
                  <c:v>0.32021450000000001</c:v>
                </c:pt>
                <c:pt idx="7">
                  <c:v>0.29676269999999999</c:v>
                </c:pt>
                <c:pt idx="8">
                  <c:v>0.27502840000000001</c:v>
                </c:pt>
                <c:pt idx="9">
                  <c:v>0.2548859</c:v>
                </c:pt>
                <c:pt idx="10">
                  <c:v>0.2362187</c:v>
                </c:pt>
                <c:pt idx="11">
                  <c:v>0.21891849999999999</c:v>
                </c:pt>
                <c:pt idx="12">
                  <c:v>0.20288539999999999</c:v>
                </c:pt>
                <c:pt idx="13">
                  <c:v>0.18802650000000001</c:v>
                </c:pt>
                <c:pt idx="14">
                  <c:v>0.17425589999999999</c:v>
                </c:pt>
                <c:pt idx="15">
                  <c:v>0.16149369999999999</c:v>
                </c:pt>
                <c:pt idx="16">
                  <c:v>0.1496663</c:v>
                </c:pt>
                <c:pt idx="17">
                  <c:v>0.1387051</c:v>
                </c:pt>
                <c:pt idx="18">
                  <c:v>0.12854660000000001</c:v>
                </c:pt>
                <c:pt idx="19">
                  <c:v>0.1191321</c:v>
                </c:pt>
              </c:numCache>
            </c:numRef>
          </c:yVal>
          <c:smooth val="1"/>
          <c:extLst>
            <c:ext xmlns:c16="http://schemas.microsoft.com/office/drawing/2014/chart" uri="{C3380CC4-5D6E-409C-BE32-E72D297353CC}">
              <c16:uniqueId val="{00000001-1A3E-43B8-88DA-64C25DF8C684}"/>
            </c:ext>
          </c:extLst>
        </c:ser>
        <c:ser>
          <c:idx val="2"/>
          <c:order val="2"/>
          <c:spPr>
            <a:ln w="19050" cmpd="sng">
              <a:solidFill>
                <a:schemeClr val="bg1">
                  <a:lumMod val="8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[New_models_graphs_table.xlsx]SPvPJ.bin!$L$96:$L$115</c:f>
              <c:numCache>
                <c:formatCode>General</c:formatCode>
                <c:ptCount val="20"/>
                <c:pt idx="0">
                  <c:v>0.31454168999999998</c:v>
                </c:pt>
                <c:pt idx="1">
                  <c:v>0.29880732999999998</c:v>
                </c:pt>
                <c:pt idx="2">
                  <c:v>0.2832635</c:v>
                </c:pt>
                <c:pt idx="3">
                  <c:v>0.26786975000000002</c:v>
                </c:pt>
                <c:pt idx="4">
                  <c:v>0.25259488000000002</c:v>
                </c:pt>
                <c:pt idx="5">
                  <c:v>0.23742269999999999</c:v>
                </c:pt>
                <c:pt idx="6">
                  <c:v>0.22235851000000001</c:v>
                </c:pt>
                <c:pt idx="7">
                  <c:v>0.20743460999999999</c:v>
                </c:pt>
                <c:pt idx="8">
                  <c:v>0.19271252999999999</c:v>
                </c:pt>
                <c:pt idx="9">
                  <c:v>0.17828018000000001</c:v>
                </c:pt>
                <c:pt idx="10">
                  <c:v>0.16424330000000001</c:v>
                </c:pt>
                <c:pt idx="11">
                  <c:v>0.15071279000000001</c:v>
                </c:pt>
                <c:pt idx="12">
                  <c:v>0.13779162</c:v>
                </c:pt>
                <c:pt idx="13">
                  <c:v>0.12556424999999999</c:v>
                </c:pt>
                <c:pt idx="14">
                  <c:v>0.11409075</c:v>
                </c:pt>
                <c:pt idx="15">
                  <c:v>0.10340545</c:v>
                </c:pt>
                <c:pt idx="16">
                  <c:v>9.3519039999999998E-2</c:v>
                </c:pt>
                <c:pt idx="17">
                  <c:v>8.4422549999999999E-2</c:v>
                </c:pt>
                <c:pt idx="18">
                  <c:v>7.6091939999999997E-2</c:v>
                </c:pt>
                <c:pt idx="19">
                  <c:v>6.8492490000000003E-2</c:v>
                </c:pt>
              </c:numCache>
            </c:numRef>
          </c:yVal>
          <c:smooth val="1"/>
          <c:extLst>
            <c:ext xmlns:c16="http://schemas.microsoft.com/office/drawing/2014/chart" uri="{C3380CC4-5D6E-409C-BE32-E72D297353CC}">
              <c16:uniqueId val="{00000002-1A3E-43B8-88DA-64C25DF8C684}"/>
            </c:ext>
          </c:extLst>
        </c:ser>
        <c:ser>
          <c:idx val="3"/>
          <c:order val="3"/>
          <c:spPr>
            <a:ln w="19050" cmpd="sng">
              <a:solidFill>
                <a:schemeClr val="bg1">
                  <a:lumMod val="8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[New_models_graphs_table.xlsx]SPvPJ.bin!$K$96:$K$115</c:f>
              <c:numCache>
                <c:formatCode>General</c:formatCode>
                <c:ptCount val="20"/>
                <c:pt idx="0">
                  <c:v>0.81205249999999995</c:v>
                </c:pt>
                <c:pt idx="1">
                  <c:v>0.73418870000000003</c:v>
                </c:pt>
                <c:pt idx="2">
                  <c:v>0.66518880000000002</c:v>
                </c:pt>
                <c:pt idx="3">
                  <c:v>0.60415509999999994</c:v>
                </c:pt>
                <c:pt idx="4">
                  <c:v>0.55028060000000001</c:v>
                </c:pt>
                <c:pt idx="5">
                  <c:v>0.50283219999999995</c:v>
                </c:pt>
                <c:pt idx="6">
                  <c:v>0.46113510000000002</c:v>
                </c:pt>
                <c:pt idx="7">
                  <c:v>0.4245583</c:v>
                </c:pt>
                <c:pt idx="8">
                  <c:v>0.39250499999999999</c:v>
                </c:pt>
                <c:pt idx="9">
                  <c:v>0.36440869999999997</c:v>
                </c:pt>
                <c:pt idx="10">
                  <c:v>0.33973530000000002</c:v>
                </c:pt>
                <c:pt idx="11">
                  <c:v>0.31799100000000002</c:v>
                </c:pt>
                <c:pt idx="12">
                  <c:v>0.29873</c:v>
                </c:pt>
                <c:pt idx="13">
                  <c:v>0.2815608</c:v>
                </c:pt>
                <c:pt idx="14">
                  <c:v>0.26614870000000002</c:v>
                </c:pt>
                <c:pt idx="15">
                  <c:v>0.25221329999999997</c:v>
                </c:pt>
                <c:pt idx="16">
                  <c:v>0.2395234</c:v>
                </c:pt>
                <c:pt idx="17">
                  <c:v>0.2278905</c:v>
                </c:pt>
                <c:pt idx="18">
                  <c:v>0.2171614</c:v>
                </c:pt>
                <c:pt idx="19">
                  <c:v>0.20721200000000001</c:v>
                </c:pt>
              </c:numCache>
            </c:numRef>
          </c:yVal>
          <c:smooth val="1"/>
          <c:extLst>
            <c:ext xmlns:c16="http://schemas.microsoft.com/office/drawing/2014/chart" uri="{C3380CC4-5D6E-409C-BE32-E72D297353CC}">
              <c16:uniqueId val="{00000003-1A3E-43B8-88DA-64C25DF8C684}"/>
            </c:ext>
          </c:extLst>
        </c:ser>
        <c:ser>
          <c:idx val="4"/>
          <c:order val="4"/>
          <c:spPr>
            <a:ln w="19050" cmpd="sng">
              <a:solidFill>
                <a:schemeClr val="bg1">
                  <a:lumMod val="6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[New_models_graphs_table.xlsx]SPvPJ.bin!$G$96:$G$115</c:f>
              <c:numCache>
                <c:formatCode>General</c:formatCode>
                <c:ptCount val="20"/>
                <c:pt idx="0">
                  <c:v>0.21964429999999999</c:v>
                </c:pt>
                <c:pt idx="1">
                  <c:v>0.2152345</c:v>
                </c:pt>
                <c:pt idx="2">
                  <c:v>0.2111268</c:v>
                </c:pt>
                <c:pt idx="3">
                  <c:v>0.20734440000000001</c:v>
                </c:pt>
                <c:pt idx="4">
                  <c:v>0.20391529999999999</c:v>
                </c:pt>
                <c:pt idx="5">
                  <c:v>0.20087250000000001</c:v>
                </c:pt>
                <c:pt idx="6">
                  <c:v>0.19825419999999999</c:v>
                </c:pt>
                <c:pt idx="7">
                  <c:v>0.1961021</c:v>
                </c:pt>
                <c:pt idx="8">
                  <c:v>0.19445970000000001</c:v>
                </c:pt>
                <c:pt idx="9">
                  <c:v>0.1933687</c:v>
                </c:pt>
                <c:pt idx="10">
                  <c:v>0.19286500000000001</c:v>
                </c:pt>
                <c:pt idx="11">
                  <c:v>0.19297349999999999</c:v>
                </c:pt>
                <c:pt idx="12">
                  <c:v>0.19370509999999999</c:v>
                </c:pt>
                <c:pt idx="13">
                  <c:v>0.1950549</c:v>
                </c:pt>
                <c:pt idx="14">
                  <c:v>0.19700400000000001</c:v>
                </c:pt>
                <c:pt idx="15">
                  <c:v>0.19952259999999999</c:v>
                </c:pt>
                <c:pt idx="16">
                  <c:v>0.20257430000000001</c:v>
                </c:pt>
                <c:pt idx="17">
                  <c:v>0.2061212</c:v>
                </c:pt>
                <c:pt idx="18">
                  <c:v>0.21012639999999999</c:v>
                </c:pt>
                <c:pt idx="19">
                  <c:v>0.21455640000000001</c:v>
                </c:pt>
              </c:numCache>
            </c:numRef>
          </c:yVal>
          <c:smooth val="1"/>
          <c:extLst>
            <c:ext xmlns:c16="http://schemas.microsoft.com/office/drawing/2014/chart" uri="{C3380CC4-5D6E-409C-BE32-E72D297353CC}">
              <c16:uniqueId val="{00000004-1A3E-43B8-88DA-64C25DF8C684}"/>
            </c:ext>
          </c:extLst>
        </c:ser>
        <c:ser>
          <c:idx val="5"/>
          <c:order val="5"/>
          <c:spPr>
            <a:ln w="19050" cmpd="sng">
              <a:solidFill>
                <a:schemeClr val="bg1">
                  <a:lumMod val="6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[New_models_graphs_table.xlsx]SPvPJ.bin!$H$96:$H$115</c:f>
              <c:numCache>
                <c:formatCode>General</c:formatCode>
                <c:ptCount val="20"/>
                <c:pt idx="0">
                  <c:v>9.3868930000000003E-2</c:v>
                </c:pt>
                <c:pt idx="1">
                  <c:v>9.6180520000000005E-2</c:v>
                </c:pt>
                <c:pt idx="2">
                  <c:v>9.8449320000000007E-2</c:v>
                </c:pt>
                <c:pt idx="3">
                  <c:v>0.10065165</c:v>
                </c:pt>
                <c:pt idx="4">
                  <c:v>0.10275917</c:v>
                </c:pt>
                <c:pt idx="5">
                  <c:v>0.10473863</c:v>
                </c:pt>
                <c:pt idx="6">
                  <c:v>0.10655215</c:v>
                </c:pt>
                <c:pt idx="7">
                  <c:v>0.10815822</c:v>
                </c:pt>
                <c:pt idx="8">
                  <c:v>0.10951393</c:v>
                </c:pt>
                <c:pt idx="9">
                  <c:v>0.11057825</c:v>
                </c:pt>
                <c:pt idx="10">
                  <c:v>0.11131653</c:v>
                </c:pt>
                <c:pt idx="11">
                  <c:v>0.11170497</c:v>
                </c:pt>
                <c:pt idx="12">
                  <c:v>0.11173424999999999</c:v>
                </c:pt>
                <c:pt idx="13">
                  <c:v>0.11141086</c:v>
                </c:pt>
                <c:pt idx="14">
                  <c:v>0.1107558</c:v>
                </c:pt>
                <c:pt idx="15">
                  <c:v>0.10980110999999999</c:v>
                </c:pt>
                <c:pt idx="16">
                  <c:v>0.10858539</c:v>
                </c:pt>
                <c:pt idx="17">
                  <c:v>0.10714952</c:v>
                </c:pt>
                <c:pt idx="18">
                  <c:v>0.1055333</c:v>
                </c:pt>
                <c:pt idx="19">
                  <c:v>0.10377335</c:v>
                </c:pt>
              </c:numCache>
            </c:numRef>
          </c:yVal>
          <c:smooth val="1"/>
          <c:extLst>
            <c:ext xmlns:c16="http://schemas.microsoft.com/office/drawing/2014/chart" uri="{C3380CC4-5D6E-409C-BE32-E72D297353CC}">
              <c16:uniqueId val="{00000005-1A3E-43B8-88DA-64C25DF8C684}"/>
            </c:ext>
          </c:extLst>
        </c:ser>
        <c:ser>
          <c:idx val="6"/>
          <c:order val="6"/>
          <c:tx>
            <c:v>Control</c:v>
          </c:tx>
          <c:spPr>
            <a:ln w="28575">
              <a:solidFill>
                <a:schemeClr val="tx1">
                  <a:lumMod val="65000"/>
                  <a:lumOff val="35000"/>
                </a:schemeClr>
              </a:solidFill>
              <a:prstDash val="solid"/>
            </a:ln>
          </c:spPr>
          <c:marker>
            <c:symbol val="none"/>
          </c:marker>
          <c:xVal>
            <c:numRef>
              <c:f>[New_models_graphs_table.xlsx]SPvPJ.bin!$B$42:$B$61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[New_models_graphs_table.xlsx]SPvPJ.bin!$E$96:$E$115</c:f>
              <c:numCache>
                <c:formatCode>General</c:formatCode>
                <c:ptCount val="20"/>
                <c:pt idx="0">
                  <c:v>0.14790110000000001</c:v>
                </c:pt>
                <c:pt idx="1">
                  <c:v>0.1483546</c:v>
                </c:pt>
                <c:pt idx="2">
                  <c:v>0.14880950000000001</c:v>
                </c:pt>
                <c:pt idx="3">
                  <c:v>0.1492658</c:v>
                </c:pt>
                <c:pt idx="4">
                  <c:v>0.14972350000000001</c:v>
                </c:pt>
                <c:pt idx="5">
                  <c:v>0.1501826</c:v>
                </c:pt>
                <c:pt idx="6">
                  <c:v>0.1506431</c:v>
                </c:pt>
                <c:pt idx="7">
                  <c:v>0.15110499999999999</c:v>
                </c:pt>
                <c:pt idx="8">
                  <c:v>0.15156829999999999</c:v>
                </c:pt>
                <c:pt idx="9">
                  <c:v>0.1520331</c:v>
                </c:pt>
                <c:pt idx="10">
                  <c:v>0.1524992</c:v>
                </c:pt>
                <c:pt idx="11">
                  <c:v>0.15296689999999999</c:v>
                </c:pt>
                <c:pt idx="12">
                  <c:v>0.15343589999999999</c:v>
                </c:pt>
                <c:pt idx="13">
                  <c:v>0.1539064</c:v>
                </c:pt>
                <c:pt idx="14">
                  <c:v>0.1543783</c:v>
                </c:pt>
                <c:pt idx="15">
                  <c:v>0.15485170000000001</c:v>
                </c:pt>
                <c:pt idx="16">
                  <c:v>0.15532650000000001</c:v>
                </c:pt>
                <c:pt idx="17">
                  <c:v>0.15580279999999999</c:v>
                </c:pt>
                <c:pt idx="18">
                  <c:v>0.15628049999999999</c:v>
                </c:pt>
                <c:pt idx="19">
                  <c:v>0.1567597</c:v>
                </c:pt>
              </c:numCache>
            </c:numRef>
          </c:yVal>
          <c:smooth val="1"/>
          <c:extLst>
            <c:ext xmlns:c16="http://schemas.microsoft.com/office/drawing/2014/chart" uri="{C3380CC4-5D6E-409C-BE32-E72D297353CC}">
              <c16:uniqueId val="{00000006-1A3E-43B8-88DA-64C25DF8C684}"/>
            </c:ext>
          </c:extLst>
        </c:ser>
        <c:ser>
          <c:idx val="7"/>
          <c:order val="7"/>
          <c:spPr>
            <a:ln w="19050">
              <a:solidFill>
                <a:schemeClr val="bg1">
                  <a:lumMod val="50000"/>
                </a:schemeClr>
              </a:solidFill>
              <a:prstDash val="dash"/>
            </a:ln>
          </c:spPr>
          <c:marker>
            <c:symbol val="none"/>
          </c:marker>
          <c:xVal>
            <c:numRef>
              <c:f>[New_models_graphs_table.xlsx]SPvPJ.bin!$B$42:$B$61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[New_models_graphs_table.xlsx]SPvPJ.bin!$D$96:$D$115</c:f>
              <c:numCache>
                <c:formatCode>General</c:formatCode>
                <c:ptCount val="20"/>
                <c:pt idx="0">
                  <c:v>9.750093E-2</c:v>
                </c:pt>
                <c:pt idx="1">
                  <c:v>9.9956939999999994E-2</c:v>
                </c:pt>
                <c:pt idx="2">
                  <c:v>0.10237435</c:v>
                </c:pt>
                <c:pt idx="3">
                  <c:v>0.1047293</c:v>
                </c:pt>
                <c:pt idx="4">
                  <c:v>0.10699313000000001</c:v>
                </c:pt>
                <c:pt idx="5">
                  <c:v>0.10913218</c:v>
                </c:pt>
                <c:pt idx="6">
                  <c:v>0.11110792999999999</c:v>
                </c:pt>
                <c:pt idx="7">
                  <c:v>0.11287799</c:v>
                </c:pt>
                <c:pt idx="8">
                  <c:v>0.11439823</c:v>
                </c:pt>
                <c:pt idx="9">
                  <c:v>0.11562612999999999</c:v>
                </c:pt>
                <c:pt idx="10">
                  <c:v>0.11652514</c:v>
                </c:pt>
                <c:pt idx="11">
                  <c:v>0.11706937000000001</c:v>
                </c:pt>
                <c:pt idx="12">
                  <c:v>0.11724737</c:v>
                </c:pt>
                <c:pt idx="13">
                  <c:v>0.11706368</c:v>
                </c:pt>
                <c:pt idx="14">
                  <c:v>0.11653775</c:v>
                </c:pt>
                <c:pt idx="15">
                  <c:v>0.11570063</c:v>
                </c:pt>
                <c:pt idx="16">
                  <c:v>0.11459046000000001</c:v>
                </c:pt>
                <c:pt idx="17">
                  <c:v>0.11324811999999999</c:v>
                </c:pt>
                <c:pt idx="18">
                  <c:v>0.11171375</c:v>
                </c:pt>
                <c:pt idx="19">
                  <c:v>0.11002454</c:v>
                </c:pt>
              </c:numCache>
            </c:numRef>
          </c:yVal>
          <c:smooth val="1"/>
          <c:extLst>
            <c:ext xmlns:c16="http://schemas.microsoft.com/office/drawing/2014/chart" uri="{C3380CC4-5D6E-409C-BE32-E72D297353CC}">
              <c16:uniqueId val="{00000007-1A3E-43B8-88DA-64C25DF8C684}"/>
            </c:ext>
          </c:extLst>
        </c:ser>
        <c:ser>
          <c:idx val="8"/>
          <c:order val="8"/>
          <c:spPr>
            <a:ln w="19050">
              <a:solidFill>
                <a:schemeClr val="tx1">
                  <a:lumMod val="65000"/>
                  <a:lumOff val="35000"/>
                </a:schemeClr>
              </a:solidFill>
              <a:prstDash val="dash"/>
            </a:ln>
          </c:spPr>
          <c:marker>
            <c:symbol val="none"/>
          </c:marker>
          <c:xVal>
            <c:numRef>
              <c:f>[New_models_graphs_table.xlsx]SPvPJ.bin!$B$42:$B$61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[New_models_graphs_table.xlsx]SPvPJ.bin!$C$96:$C$115</c:f>
              <c:numCache>
                <c:formatCode>General</c:formatCode>
                <c:ptCount val="20"/>
                <c:pt idx="0">
                  <c:v>0.224354</c:v>
                </c:pt>
                <c:pt idx="1">
                  <c:v>0.22018560000000001</c:v>
                </c:pt>
                <c:pt idx="2">
                  <c:v>0.21630669999999999</c:v>
                </c:pt>
                <c:pt idx="3">
                  <c:v>0.2127415</c:v>
                </c:pt>
                <c:pt idx="4">
                  <c:v>0.20951919999999999</c:v>
                </c:pt>
                <c:pt idx="5">
                  <c:v>0.2066741</c:v>
                </c:pt>
                <c:pt idx="6">
                  <c:v>0.20424580000000001</c:v>
                </c:pt>
                <c:pt idx="7">
                  <c:v>0.20227780000000001</c:v>
                </c:pt>
                <c:pt idx="8">
                  <c:v>0.20081560000000001</c:v>
                </c:pt>
                <c:pt idx="9">
                  <c:v>0.19990340000000001</c:v>
                </c:pt>
                <c:pt idx="10">
                  <c:v>0.19957939999999999</c:v>
                </c:pt>
                <c:pt idx="11">
                  <c:v>0.19987170000000001</c:v>
                </c:pt>
                <c:pt idx="12">
                  <c:v>0.200794</c:v>
                </c:pt>
                <c:pt idx="13">
                  <c:v>0.2023443</c:v>
                </c:pt>
                <c:pt idx="14">
                  <c:v>0.20450589999999999</c:v>
                </c:pt>
                <c:pt idx="15">
                  <c:v>0.20725070000000001</c:v>
                </c:pt>
                <c:pt idx="16">
                  <c:v>0.21054390000000001</c:v>
                </c:pt>
                <c:pt idx="17">
                  <c:v>0.21434800000000001</c:v>
                </c:pt>
                <c:pt idx="18">
                  <c:v>0.2186266</c:v>
                </c:pt>
                <c:pt idx="19">
                  <c:v>0.22334660000000001</c:v>
                </c:pt>
              </c:numCache>
            </c:numRef>
          </c:yVal>
          <c:smooth val="1"/>
          <c:extLst>
            <c:ext xmlns:c16="http://schemas.microsoft.com/office/drawing/2014/chart" uri="{C3380CC4-5D6E-409C-BE32-E72D297353CC}">
              <c16:uniqueId val="{00000008-1A3E-43B8-88DA-64C25DF8C684}"/>
            </c:ext>
          </c:extLst>
        </c:ser>
        <c:dLbls>
          <c:showLegendKey val="0"/>
          <c:showVal val="0"/>
          <c:showCatName val="0"/>
          <c:showSerName val="0"/>
          <c:showPercent val="0"/>
          <c:showBubbleSize val="0"/>
        </c:dLbls>
        <c:axId val="287639560"/>
        <c:axId val="287639952"/>
      </c:scatterChart>
      <c:valAx>
        <c:axId val="287639560"/>
        <c:scaling>
          <c:orientation val="minMax"/>
          <c:max val="400"/>
          <c:min val="100"/>
        </c:scaling>
        <c:delete val="0"/>
        <c:axPos val="b"/>
        <c:title>
          <c:tx>
            <c:rich>
              <a:bodyPr/>
              <a:lstStyle/>
              <a:p>
                <a:pPr>
                  <a:defRPr/>
                </a:pPr>
                <a:r>
                  <a:rPr lang="en-US"/>
                  <a:t>Distance</a:t>
                </a:r>
                <a:r>
                  <a:rPr lang="en-US" baseline="0"/>
                  <a:t> from center point (m)</a:t>
                </a:r>
                <a:endParaRPr lang="en-US"/>
              </a:p>
            </c:rich>
          </c:tx>
          <c:layout>
            <c:manualLayout>
              <c:xMode val="edge"/>
              <c:yMode val="edge"/>
              <c:x val="0.25754707983171016"/>
              <c:y val="0.90730193156993078"/>
            </c:manualLayout>
          </c:layout>
          <c:overlay val="0"/>
        </c:title>
        <c:numFmt formatCode="General" sourceLinked="1"/>
        <c:majorTickMark val="out"/>
        <c:minorTickMark val="none"/>
        <c:tickLblPos val="nextTo"/>
        <c:crossAx val="287639952"/>
        <c:crosses val="autoZero"/>
        <c:crossBetween val="midCat"/>
        <c:majorUnit val="100"/>
      </c:valAx>
      <c:valAx>
        <c:axId val="287639952"/>
        <c:scaling>
          <c:orientation val="minMax"/>
        </c:scaling>
        <c:delete val="0"/>
        <c:axPos val="l"/>
        <c:title>
          <c:tx>
            <c:rich>
              <a:bodyPr rot="-5400000" vert="horz"/>
              <a:lstStyle/>
              <a:p>
                <a:pPr>
                  <a:defRPr/>
                </a:pPr>
                <a:r>
                  <a:rPr lang="en-US"/>
                  <a:t>Western</a:t>
                </a:r>
                <a:r>
                  <a:rPr lang="en-US" baseline="0"/>
                  <a:t> meadowlarks per hectarre</a:t>
                </a:r>
                <a:endParaRPr lang="en-US"/>
              </a:p>
            </c:rich>
          </c:tx>
          <c:layout>
            <c:manualLayout>
              <c:xMode val="edge"/>
              <c:yMode val="edge"/>
              <c:x val="1.8185951352580099E-2"/>
              <c:y val="5.5463424823174803E-2"/>
            </c:manualLayout>
          </c:layout>
          <c:overlay val="0"/>
        </c:title>
        <c:numFmt formatCode="General" sourceLinked="1"/>
        <c:majorTickMark val="out"/>
        <c:minorTickMark val="none"/>
        <c:tickLblPos val="nextTo"/>
        <c:crossAx val="287639560"/>
        <c:crosses val="autoZero"/>
        <c:crossBetween val="midCat"/>
      </c:valAx>
    </c:plotArea>
    <c:legend>
      <c:legendPos val="r"/>
      <c:legendEntry>
        <c:idx val="2"/>
        <c:delete val="1"/>
      </c:legendEntry>
      <c:legendEntry>
        <c:idx val="3"/>
        <c:delete val="1"/>
      </c:legendEntry>
      <c:legendEntry>
        <c:idx val="4"/>
        <c:delete val="1"/>
      </c:legendEntry>
      <c:legendEntry>
        <c:idx val="5"/>
        <c:delete val="1"/>
      </c:legendEntry>
      <c:legendEntry>
        <c:idx val="7"/>
        <c:delete val="1"/>
      </c:legendEntry>
      <c:legendEntry>
        <c:idx val="8"/>
        <c:delete val="1"/>
      </c:legendEntry>
      <c:layout>
        <c:manualLayout>
          <c:xMode val="edge"/>
          <c:yMode val="edge"/>
          <c:x val="0.54450390874761112"/>
          <c:y val="7.1816210099486064E-2"/>
          <c:w val="0.37474239004108334"/>
          <c:h val="0.17273484527008973"/>
        </c:manualLayout>
      </c:layout>
      <c:overlay val="0"/>
    </c:legend>
    <c:plotVisOnly val="1"/>
    <c:dispBlanksAs val="gap"/>
    <c:showDLblsOverMax val="0"/>
  </c:chart>
  <c:spPr>
    <a:ln>
      <a:solidFill>
        <a:srgbClr val="FFFFFF"/>
      </a:solidFill>
    </a:ln>
  </c:spPr>
  <c:externalData r:id="rId2">
    <c:autoUpdate val="0"/>
  </c:externalData>
  <c:userShapes r:id="rId3"/>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8446512503614202"/>
          <c:y val="5.8713637576728102E-2"/>
          <c:w val="0.63311591815327095"/>
          <c:h val="0.7497950066089617"/>
        </c:manualLayout>
      </c:layout>
      <c:scatterChart>
        <c:scatterStyle val="smoothMarker"/>
        <c:varyColors val="0"/>
        <c:ser>
          <c:idx val="0"/>
          <c:order val="0"/>
          <c:tx>
            <c:v>Pumpjack</c:v>
          </c:tx>
          <c:spPr>
            <a:ln w="28575">
              <a:solidFill>
                <a:schemeClr val="bg1">
                  <a:lumMod val="65000"/>
                </a:schemeClr>
              </a:solidFill>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[New_models_graphs_table.xlsx]SPvPJ.bin!$I$130:$I$149</c:f>
              <c:numCache>
                <c:formatCode>General</c:formatCode>
                <c:ptCount val="20"/>
                <c:pt idx="0">
                  <c:v>7.0478083999999996E-2</c:v>
                </c:pt>
                <c:pt idx="1">
                  <c:v>7.3756890000000006E-2</c:v>
                </c:pt>
                <c:pt idx="2">
                  <c:v>7.7175568999999999E-2</c:v>
                </c:pt>
                <c:pt idx="3">
                  <c:v>8.0738893000000006E-2</c:v>
                </c:pt>
                <c:pt idx="4">
                  <c:v>8.4451685999999998E-2</c:v>
                </c:pt>
                <c:pt idx="5">
                  <c:v>8.8318807999999999E-2</c:v>
                </c:pt>
                <c:pt idx="6">
                  <c:v>9.2345150000000001E-2</c:v>
                </c:pt>
                <c:pt idx="7">
                  <c:v>9.6535609999999994E-2</c:v>
                </c:pt>
                <c:pt idx="8">
                  <c:v>0.10089508899999999</c:v>
                </c:pt>
                <c:pt idx="9">
                  <c:v>0.105428465</c:v>
                </c:pt>
                <c:pt idx="10">
                  <c:v>0.11014058</c:v>
                </c:pt>
                <c:pt idx="11">
                  <c:v>0.11503621999999999</c:v>
                </c:pt>
                <c:pt idx="12">
                  <c:v>0.120120093</c:v>
                </c:pt>
                <c:pt idx="13">
                  <c:v>0.125396804</c:v>
                </c:pt>
                <c:pt idx="14">
                  <c:v>0.13087083799999999</c:v>
                </c:pt>
                <c:pt idx="15">
                  <c:v>0.136546525</c:v>
                </c:pt>
                <c:pt idx="16">
                  <c:v>0.14242802199999999</c:v>
                </c:pt>
                <c:pt idx="17">
                  <c:v>0.148519278</c:v>
                </c:pt>
                <c:pt idx="18">
                  <c:v>0.15482401000000001</c:v>
                </c:pt>
                <c:pt idx="19">
                  <c:v>0.161345667</c:v>
                </c:pt>
              </c:numCache>
            </c:numRef>
          </c:yVal>
          <c:smooth val="1"/>
          <c:extLst>
            <c:ext xmlns:c16="http://schemas.microsoft.com/office/drawing/2014/chart" uri="{C3380CC4-5D6E-409C-BE32-E72D297353CC}">
              <c16:uniqueId val="{00000000-5872-4D6D-A2E6-D3B64E230F05}"/>
            </c:ext>
          </c:extLst>
        </c:ser>
        <c:ser>
          <c:idx val="1"/>
          <c:order val="1"/>
          <c:tx>
            <c:v>Screwpump</c:v>
          </c:tx>
          <c:spPr>
            <a:ln w="28575">
              <a:solidFill>
                <a:schemeClr val="bg1">
                  <a:lumMod val="85000"/>
                </a:schemeClr>
              </a:solidFill>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[New_models_graphs_table.xlsx]SPvPJ.bin!$M$130:$M$149</c:f>
              <c:numCache>
                <c:formatCode>General</c:formatCode>
                <c:ptCount val="20"/>
                <c:pt idx="0">
                  <c:v>9.1152950000000007E-3</c:v>
                </c:pt>
                <c:pt idx="1">
                  <c:v>9.5687480000000002E-3</c:v>
                </c:pt>
                <c:pt idx="2">
                  <c:v>1.0044529E-2</c:v>
                </c:pt>
                <c:pt idx="3">
                  <c:v>1.0543715E-2</c:v>
                </c:pt>
                <c:pt idx="4">
                  <c:v>1.1067433E-2</c:v>
                </c:pt>
                <c:pt idx="5">
                  <c:v>1.1616858000000001E-2</c:v>
                </c:pt>
                <c:pt idx="6">
                  <c:v>1.2193223E-2</c:v>
                </c:pt>
                <c:pt idx="7">
                  <c:v>1.2797813E-2</c:v>
                </c:pt>
                <c:pt idx="8">
                  <c:v>1.3431973999999999E-2</c:v>
                </c:pt>
                <c:pt idx="9">
                  <c:v>1.4097111000000001E-2</c:v>
                </c:pt>
                <c:pt idx="10">
                  <c:v>1.4794689999999999E-2</c:v>
                </c:pt>
                <c:pt idx="11">
                  <c:v>1.5526244E-2</c:v>
                </c:pt>
                <c:pt idx="12">
                  <c:v>1.6293373999999999E-2</c:v>
                </c:pt>
                <c:pt idx="13">
                  <c:v>1.7097747E-2</c:v>
                </c:pt>
                <c:pt idx="14">
                  <c:v>1.7941108000000001E-2</c:v>
                </c:pt>
                <c:pt idx="15">
                  <c:v>1.8825270000000002E-2</c:v>
                </c:pt>
                <c:pt idx="16">
                  <c:v>1.975213E-2</c:v>
                </c:pt>
                <c:pt idx="17">
                  <c:v>2.0723658999999998E-2</c:v>
                </c:pt>
                <c:pt idx="18">
                  <c:v>2.1741914000000001E-2</c:v>
                </c:pt>
                <c:pt idx="19">
                  <c:v>2.2809034999999998E-2</c:v>
                </c:pt>
              </c:numCache>
            </c:numRef>
          </c:yVal>
          <c:smooth val="1"/>
          <c:extLst>
            <c:ext xmlns:c16="http://schemas.microsoft.com/office/drawing/2014/chart" uri="{C3380CC4-5D6E-409C-BE32-E72D297353CC}">
              <c16:uniqueId val="{00000001-5872-4D6D-A2E6-D3B64E230F05}"/>
            </c:ext>
          </c:extLst>
        </c:ser>
        <c:ser>
          <c:idx val="2"/>
          <c:order val="2"/>
          <c:spPr>
            <a:ln w="19050" cmpd="sng">
              <a:solidFill>
                <a:schemeClr val="tx1">
                  <a:lumMod val="65000"/>
                  <a:lumOff val="3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[New_models_graphs_table.xlsx]SPvPJ.bin!$L$130:$L$149</c:f>
              <c:numCache>
                <c:formatCode>General</c:formatCode>
                <c:ptCount val="20"/>
                <c:pt idx="0">
                  <c:v>2.1608450000000002E-3</c:v>
                </c:pt>
                <c:pt idx="1">
                  <c:v>2.292976E-3</c:v>
                </c:pt>
                <c:pt idx="2">
                  <c:v>2.4314570000000001E-3</c:v>
                </c:pt>
                <c:pt idx="3">
                  <c:v>2.5764289999999999E-3</c:v>
                </c:pt>
                <c:pt idx="4">
                  <c:v>2.7280249999999998E-3</c:v>
                </c:pt>
                <c:pt idx="5">
                  <c:v>2.8863669999999999E-3</c:v>
                </c:pt>
                <c:pt idx="6">
                  <c:v>3.0515619999999999E-3</c:v>
                </c:pt>
                <c:pt idx="7">
                  <c:v>3.2237059999999998E-3</c:v>
                </c:pt>
                <c:pt idx="8">
                  <c:v>3.4028819999999999E-3</c:v>
                </c:pt>
                <c:pt idx="9">
                  <c:v>3.5891590000000002E-3</c:v>
                </c:pt>
                <c:pt idx="10">
                  <c:v>3.7825910000000001E-3</c:v>
                </c:pt>
                <c:pt idx="11">
                  <c:v>3.98322E-3</c:v>
                </c:pt>
                <c:pt idx="12">
                  <c:v>4.1910710000000002E-3</c:v>
                </c:pt>
                <c:pt idx="13">
                  <c:v>4.4061589999999998E-3</c:v>
                </c:pt>
                <c:pt idx="14">
                  <c:v>4.6284819999999997E-3</c:v>
                </c:pt>
                <c:pt idx="15">
                  <c:v>4.8580280000000003E-3</c:v>
                </c:pt>
                <c:pt idx="16">
                  <c:v>5.0947730000000004E-3</c:v>
                </c:pt>
                <c:pt idx="17">
                  <c:v>5.3386789999999998E-3</c:v>
                </c:pt>
                <c:pt idx="18">
                  <c:v>5.5897009999999999E-3</c:v>
                </c:pt>
                <c:pt idx="19">
                  <c:v>5.8477850000000003E-3</c:v>
                </c:pt>
              </c:numCache>
            </c:numRef>
          </c:yVal>
          <c:smooth val="1"/>
          <c:extLst>
            <c:ext xmlns:c16="http://schemas.microsoft.com/office/drawing/2014/chart" uri="{C3380CC4-5D6E-409C-BE32-E72D297353CC}">
              <c16:uniqueId val="{00000002-5872-4D6D-A2E6-D3B64E230F05}"/>
            </c:ext>
          </c:extLst>
        </c:ser>
        <c:ser>
          <c:idx val="3"/>
          <c:order val="3"/>
          <c:spPr>
            <a:ln w="19050" cmpd="sng">
              <a:solidFill>
                <a:schemeClr val="bg1">
                  <a:lumMod val="8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[New_models_graphs_table.xlsx]SPvPJ.bin!$K$130:$K$149</c:f>
              <c:numCache>
                <c:formatCode>General</c:formatCode>
                <c:ptCount val="20"/>
                <c:pt idx="0">
                  <c:v>3.7608320000000001E-2</c:v>
                </c:pt>
                <c:pt idx="1">
                  <c:v>3.9027949999999999E-2</c:v>
                </c:pt>
                <c:pt idx="2">
                  <c:v>4.0526310000000003E-2</c:v>
                </c:pt>
                <c:pt idx="3">
                  <c:v>4.2108699999999999E-2</c:v>
                </c:pt>
                <c:pt idx="4">
                  <c:v>4.3780739999999999E-2</c:v>
                </c:pt>
                <c:pt idx="5">
                  <c:v>4.5548470000000001E-2</c:v>
                </c:pt>
                <c:pt idx="6">
                  <c:v>4.741828E-2</c:v>
                </c:pt>
                <c:pt idx="7">
                  <c:v>4.939702E-2</c:v>
                </c:pt>
                <c:pt idx="8">
                  <c:v>5.1491960000000003E-2</c:v>
                </c:pt>
                <c:pt idx="9">
                  <c:v>5.3710800000000003E-2</c:v>
                </c:pt>
                <c:pt idx="10">
                  <c:v>5.6061739999999999E-2</c:v>
                </c:pt>
                <c:pt idx="11">
                  <c:v>5.8553470000000003E-2</c:v>
                </c:pt>
                <c:pt idx="12">
                  <c:v>6.119517E-2</c:v>
                </c:pt>
                <c:pt idx="13">
                  <c:v>6.3996559999999994E-2</c:v>
                </c:pt>
                <c:pt idx="14">
                  <c:v>6.6967899999999997E-2</c:v>
                </c:pt>
                <c:pt idx="15">
                  <c:v>7.0119959999999995E-2</c:v>
                </c:pt>
                <c:pt idx="16">
                  <c:v>7.3464109999999999E-2</c:v>
                </c:pt>
                <c:pt idx="17">
                  <c:v>7.7012230000000001E-2</c:v>
                </c:pt>
                <c:pt idx="18">
                  <c:v>8.0776799999999996E-2</c:v>
                </c:pt>
                <c:pt idx="19">
                  <c:v>8.4770810000000002E-2</c:v>
                </c:pt>
              </c:numCache>
            </c:numRef>
          </c:yVal>
          <c:smooth val="1"/>
          <c:extLst>
            <c:ext xmlns:c16="http://schemas.microsoft.com/office/drawing/2014/chart" uri="{C3380CC4-5D6E-409C-BE32-E72D297353CC}">
              <c16:uniqueId val="{00000003-5872-4D6D-A2E6-D3B64E230F05}"/>
            </c:ext>
          </c:extLst>
        </c:ser>
        <c:ser>
          <c:idx val="4"/>
          <c:order val="4"/>
          <c:spPr>
            <a:ln w="19050" cmpd="sng">
              <a:solidFill>
                <a:schemeClr val="bg1">
                  <a:lumMod val="6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[New_models_graphs_table.xlsx]SPvPJ.bin!$G$130:$G$149</c:f>
              <c:numCache>
                <c:formatCode>General</c:formatCode>
                <c:ptCount val="20"/>
                <c:pt idx="0">
                  <c:v>0.12876913700000001</c:v>
                </c:pt>
                <c:pt idx="1">
                  <c:v>0.13463013600000001</c:v>
                </c:pt>
                <c:pt idx="2">
                  <c:v>0.140739526</c:v>
                </c:pt>
                <c:pt idx="3">
                  <c:v>0.14710611900000001</c:v>
                </c:pt>
                <c:pt idx="4">
                  <c:v>0.15373885800000001</c:v>
                </c:pt>
                <c:pt idx="5">
                  <c:v>0.16064678900000001</c:v>
                </c:pt>
                <c:pt idx="6">
                  <c:v>0.16783906000000001</c:v>
                </c:pt>
                <c:pt idx="7">
                  <c:v>0.175324867</c:v>
                </c:pt>
                <c:pt idx="8">
                  <c:v>0.18311345200000001</c:v>
                </c:pt>
                <c:pt idx="9">
                  <c:v>0.19121405299999999</c:v>
                </c:pt>
                <c:pt idx="10">
                  <c:v>0.19963588099999999</c:v>
                </c:pt>
                <c:pt idx="11">
                  <c:v>0.20838807500000001</c:v>
                </c:pt>
                <c:pt idx="12">
                  <c:v>0.21747966699999999</c:v>
                </c:pt>
                <c:pt idx="13">
                  <c:v>0.22691952700000001</c:v>
                </c:pt>
                <c:pt idx="14">
                  <c:v>0.23671633</c:v>
                </c:pt>
                <c:pt idx="15">
                  <c:v>0.24687848900000001</c:v>
                </c:pt>
                <c:pt idx="16">
                  <c:v>0.25741411400000003</c:v>
                </c:pt>
                <c:pt idx="17">
                  <c:v>0.26833094600000001</c:v>
                </c:pt>
                <c:pt idx="18">
                  <c:v>0.27963630299999997</c:v>
                </c:pt>
                <c:pt idx="19">
                  <c:v>0.29133701099999998</c:v>
                </c:pt>
              </c:numCache>
            </c:numRef>
          </c:yVal>
          <c:smooth val="1"/>
          <c:extLst>
            <c:ext xmlns:c16="http://schemas.microsoft.com/office/drawing/2014/chart" uri="{C3380CC4-5D6E-409C-BE32-E72D297353CC}">
              <c16:uniqueId val="{00000004-5872-4D6D-A2E6-D3B64E230F05}"/>
            </c:ext>
          </c:extLst>
        </c:ser>
        <c:ser>
          <c:idx val="5"/>
          <c:order val="5"/>
          <c:spPr>
            <a:ln w="19050" cmpd="sng">
              <a:solidFill>
                <a:schemeClr val="bg1">
                  <a:lumMod val="65000"/>
                </a:schemeClr>
              </a:solidFill>
              <a:prstDash val="dash"/>
            </a:ln>
          </c:spPr>
          <c:marker>
            <c:symbol val="none"/>
          </c:marker>
          <c:xVal>
            <c:numRef>
              <c:f>[New_models_graphs_table.xlsx]SPvPJ.bin!$B$2:$B$21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[New_models_graphs_table.xlsx]SPvPJ.bin!$H$130:$H$149</c:f>
              <c:numCache>
                <c:formatCode>General</c:formatCode>
                <c:ptCount val="20"/>
                <c:pt idx="0">
                  <c:v>1.2187030999999999E-2</c:v>
                </c:pt>
                <c:pt idx="1">
                  <c:v>1.2883644E-2</c:v>
                </c:pt>
                <c:pt idx="2">
                  <c:v>1.3611612E-2</c:v>
                </c:pt>
                <c:pt idx="3">
                  <c:v>1.4371666999999999E-2</c:v>
                </c:pt>
                <c:pt idx="4">
                  <c:v>1.5164514E-2</c:v>
                </c:pt>
                <c:pt idx="5">
                  <c:v>1.5990826999999999E-2</c:v>
                </c:pt>
                <c:pt idx="6">
                  <c:v>1.685124E-2</c:v>
                </c:pt>
                <c:pt idx="7">
                  <c:v>1.7746352999999999E-2</c:v>
                </c:pt>
                <c:pt idx="8">
                  <c:v>1.8676726000000001E-2</c:v>
                </c:pt>
                <c:pt idx="9">
                  <c:v>1.9642877E-2</c:v>
                </c:pt>
                <c:pt idx="10">
                  <c:v>2.0645278999999999E-2</c:v>
                </c:pt>
                <c:pt idx="11">
                  <c:v>2.1684365000000001E-2</c:v>
                </c:pt>
                <c:pt idx="12">
                  <c:v>2.2760519E-2</c:v>
                </c:pt>
                <c:pt idx="13">
                  <c:v>2.3874080999999998E-2</c:v>
                </c:pt>
                <c:pt idx="14">
                  <c:v>2.5025346E-2</c:v>
                </c:pt>
                <c:pt idx="15">
                  <c:v>2.6214561000000001E-2</c:v>
                </c:pt>
                <c:pt idx="16">
                  <c:v>2.744193E-2</c:v>
                </c:pt>
                <c:pt idx="17">
                  <c:v>2.8707610000000001E-2</c:v>
                </c:pt>
                <c:pt idx="18">
                  <c:v>3.0011717E-2</c:v>
                </c:pt>
                <c:pt idx="19">
                  <c:v>3.1354323000000003E-2</c:v>
                </c:pt>
              </c:numCache>
            </c:numRef>
          </c:yVal>
          <c:smooth val="1"/>
          <c:extLst>
            <c:ext xmlns:c16="http://schemas.microsoft.com/office/drawing/2014/chart" uri="{C3380CC4-5D6E-409C-BE32-E72D297353CC}">
              <c16:uniqueId val="{00000005-5872-4D6D-A2E6-D3B64E230F05}"/>
            </c:ext>
          </c:extLst>
        </c:ser>
        <c:ser>
          <c:idx val="6"/>
          <c:order val="6"/>
          <c:tx>
            <c:v>Control</c:v>
          </c:tx>
          <c:spPr>
            <a:ln w="28575">
              <a:solidFill>
                <a:schemeClr val="tx1">
                  <a:lumMod val="65000"/>
                  <a:lumOff val="35000"/>
                </a:schemeClr>
              </a:solidFill>
              <a:prstDash val="solid"/>
            </a:ln>
          </c:spPr>
          <c:marker>
            <c:symbol val="none"/>
          </c:marker>
          <c:xVal>
            <c:numRef>
              <c:f>[New_models_graphs_table.xlsx]SPvPJ.bin!$B$42:$B$61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[New_models_graphs_table.xlsx]SPvPJ.bin!$E$130:$E$149</c:f>
              <c:numCache>
                <c:formatCode>General</c:formatCode>
                <c:ptCount val="20"/>
                <c:pt idx="0">
                  <c:v>1.0761928E-2</c:v>
                </c:pt>
                <c:pt idx="1">
                  <c:v>1.1296361E-2</c:v>
                </c:pt>
                <c:pt idx="2">
                  <c:v>1.1857015E-2</c:v>
                </c:pt>
                <c:pt idx="3">
                  <c:v>1.2445144999999999E-2</c:v>
                </c:pt>
                <c:pt idx="4">
                  <c:v>1.3062061999999999E-2</c:v>
                </c:pt>
                <c:pt idx="5">
                  <c:v>1.3709135000000001E-2</c:v>
                </c:pt>
                <c:pt idx="6">
                  <c:v>1.4387795E-2</c:v>
                </c:pt>
                <c:pt idx="7">
                  <c:v>1.5099537999999999E-2</c:v>
                </c:pt>
                <c:pt idx="8">
                  <c:v>1.5845924000000001E-2</c:v>
                </c:pt>
                <c:pt idx="9">
                  <c:v>1.6628581999999999E-2</c:v>
                </c:pt>
                <c:pt idx="10">
                  <c:v>1.7449210999999999E-2</c:v>
                </c:pt>
                <c:pt idx="11">
                  <c:v>1.8309584E-2</c:v>
                </c:pt>
                <c:pt idx="12">
                  <c:v>1.9211551E-2</c:v>
                </c:pt>
                <c:pt idx="13">
                  <c:v>2.0157037999999999E-2</c:v>
                </c:pt>
                <c:pt idx="14">
                  <c:v>2.1148053E-2</c:v>
                </c:pt>
                <c:pt idx="15">
                  <c:v>2.2186688E-2</c:v>
                </c:pt>
                <c:pt idx="16">
                  <c:v>2.327512E-2</c:v>
                </c:pt>
                <c:pt idx="17">
                  <c:v>2.4415615000000002E-2</c:v>
                </c:pt>
                <c:pt idx="18">
                  <c:v>2.5610529999999999E-2</c:v>
                </c:pt>
                <c:pt idx="19">
                  <c:v>2.6862314000000002E-2</c:v>
                </c:pt>
              </c:numCache>
            </c:numRef>
          </c:yVal>
          <c:smooth val="1"/>
          <c:extLst>
            <c:ext xmlns:c16="http://schemas.microsoft.com/office/drawing/2014/chart" uri="{C3380CC4-5D6E-409C-BE32-E72D297353CC}">
              <c16:uniqueId val="{00000006-5872-4D6D-A2E6-D3B64E230F05}"/>
            </c:ext>
          </c:extLst>
        </c:ser>
        <c:ser>
          <c:idx val="7"/>
          <c:order val="7"/>
          <c:spPr>
            <a:ln w="19050">
              <a:solidFill>
                <a:schemeClr val="tx1">
                  <a:lumMod val="65000"/>
                  <a:lumOff val="35000"/>
                </a:schemeClr>
              </a:solidFill>
              <a:prstDash val="dash"/>
            </a:ln>
          </c:spPr>
          <c:marker>
            <c:symbol val="none"/>
          </c:marker>
          <c:xVal>
            <c:numRef>
              <c:f>[New_models_graphs_table.xlsx]SPvPJ.bin!$B$42:$B$61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[New_models_graphs_table.xlsx]SPvPJ.bin!$D$130:$D$149</c:f>
              <c:numCache>
                <c:formatCode>General</c:formatCode>
                <c:ptCount val="20"/>
                <c:pt idx="0">
                  <c:v>2.5883799999999999E-3</c:v>
                </c:pt>
                <c:pt idx="1">
                  <c:v>2.7460039999999998E-3</c:v>
                </c:pt>
                <c:pt idx="2">
                  <c:v>2.9111250000000001E-3</c:v>
                </c:pt>
                <c:pt idx="3">
                  <c:v>3.0839019999999999E-3</c:v>
                </c:pt>
                <c:pt idx="4">
                  <c:v>3.2644829999999999E-3</c:v>
                </c:pt>
                <c:pt idx="5">
                  <c:v>3.4529980000000001E-3</c:v>
                </c:pt>
                <c:pt idx="6">
                  <c:v>3.6495669999999998E-3</c:v>
                </c:pt>
                <c:pt idx="7">
                  <c:v>3.854292E-3</c:v>
                </c:pt>
                <c:pt idx="8">
                  <c:v>4.0672579999999998E-3</c:v>
                </c:pt>
                <c:pt idx="9">
                  <c:v>4.2885349999999996E-3</c:v>
                </c:pt>
                <c:pt idx="10">
                  <c:v>4.5181759999999996E-3</c:v>
                </c:pt>
                <c:pt idx="11">
                  <c:v>4.7562159999999997E-3</c:v>
                </c:pt>
                <c:pt idx="12">
                  <c:v>5.0026740000000004E-3</c:v>
                </c:pt>
                <c:pt idx="13">
                  <c:v>5.2575540000000002E-3</c:v>
                </c:pt>
                <c:pt idx="14">
                  <c:v>5.5208439999999996E-3</c:v>
                </c:pt>
                <c:pt idx="15">
                  <c:v>5.7925160000000002E-3</c:v>
                </c:pt>
                <c:pt idx="16">
                  <c:v>6.0725290000000001E-3</c:v>
                </c:pt>
                <c:pt idx="17">
                  <c:v>6.3608290000000001E-3</c:v>
                </c:pt>
                <c:pt idx="18">
                  <c:v>6.6573530000000004E-3</c:v>
                </c:pt>
                <c:pt idx="19">
                  <c:v>6.9620250000000002E-3</c:v>
                </c:pt>
              </c:numCache>
            </c:numRef>
          </c:yVal>
          <c:smooth val="1"/>
          <c:extLst>
            <c:ext xmlns:c16="http://schemas.microsoft.com/office/drawing/2014/chart" uri="{C3380CC4-5D6E-409C-BE32-E72D297353CC}">
              <c16:uniqueId val="{00000007-5872-4D6D-A2E6-D3B64E230F05}"/>
            </c:ext>
          </c:extLst>
        </c:ser>
        <c:ser>
          <c:idx val="8"/>
          <c:order val="8"/>
          <c:spPr>
            <a:ln w="19050">
              <a:solidFill>
                <a:schemeClr val="tx1">
                  <a:lumMod val="65000"/>
                  <a:lumOff val="35000"/>
                </a:schemeClr>
              </a:solidFill>
              <a:prstDash val="dash"/>
            </a:ln>
          </c:spPr>
          <c:marker>
            <c:symbol val="none"/>
          </c:marker>
          <c:xVal>
            <c:numRef>
              <c:f>[New_models_graphs_table.xlsx]SPvPJ.bin!$B$42:$B$61</c:f>
              <c:numCache>
                <c:formatCode>General</c:formatCode>
                <c:ptCount val="20"/>
                <c:pt idx="0">
                  <c:v>100</c:v>
                </c:pt>
                <c:pt idx="1">
                  <c:v>107.5900397418462</c:v>
                </c:pt>
                <c:pt idx="2">
                  <c:v>115.75616767408199</c:v>
                </c:pt>
                <c:pt idx="3">
                  <c:v>124.54210680418289</c:v>
                </c:pt>
                <c:pt idx="4">
                  <c:v>133.99490354590199</c:v>
                </c:pt>
                <c:pt idx="5">
                  <c:v>144.1651699770843</c:v>
                </c:pt>
                <c:pt idx="6">
                  <c:v>155.10736522331851</c:v>
                </c:pt>
                <c:pt idx="7">
                  <c:v>166.8800758862991</c:v>
                </c:pt>
                <c:pt idx="8">
                  <c:v>179.54634176275559</c:v>
                </c:pt>
                <c:pt idx="9">
                  <c:v>193.1739804575796</c:v>
                </c:pt>
                <c:pt idx="10">
                  <c:v>207.8359644235756</c:v>
                </c:pt>
                <c:pt idx="11">
                  <c:v>223.61079672117421</c:v>
                </c:pt>
                <c:pt idx="12">
                  <c:v>240.58294746519971</c:v>
                </c:pt>
                <c:pt idx="13">
                  <c:v>258.8432887899134</c:v>
                </c:pt>
                <c:pt idx="14">
                  <c:v>278.48960006306521</c:v>
                </c:pt>
                <c:pt idx="15">
                  <c:v>299.62707138476031</c:v>
                </c:pt>
                <c:pt idx="16">
                  <c:v>322.36888840388218</c:v>
                </c:pt>
                <c:pt idx="17">
                  <c:v>346.83681514908392</c:v>
                </c:pt>
                <c:pt idx="18">
                  <c:v>373.16187098987228</c:v>
                </c:pt>
                <c:pt idx="19">
                  <c:v>401.4850052994201</c:v>
                </c:pt>
              </c:numCache>
            </c:numRef>
          </c:xVal>
          <c:yVal>
            <c:numRef>
              <c:f>[New_models_graphs_table.xlsx]SPvPJ.bin!$C$130:$C$149</c:f>
              <c:numCache>
                <c:formatCode>General</c:formatCode>
                <c:ptCount val="20"/>
                <c:pt idx="0">
                  <c:v>4.3617099999999999E-2</c:v>
                </c:pt>
                <c:pt idx="1">
                  <c:v>4.5261990000000002E-2</c:v>
                </c:pt>
                <c:pt idx="2">
                  <c:v>4.6997850000000001E-2</c:v>
                </c:pt>
                <c:pt idx="3">
                  <c:v>4.8830730000000003E-2</c:v>
                </c:pt>
                <c:pt idx="4">
                  <c:v>5.0767069999999997E-2</c:v>
                </c:pt>
                <c:pt idx="5">
                  <c:v>5.2813730000000003E-2</c:v>
                </c:pt>
                <c:pt idx="6">
                  <c:v>5.4978010000000001E-2</c:v>
                </c:pt>
                <c:pt idx="7">
                  <c:v>5.7267640000000002E-2</c:v>
                </c:pt>
                <c:pt idx="8">
                  <c:v>5.969087E-2</c:v>
                </c:pt>
                <c:pt idx="9">
                  <c:v>6.225638E-2</c:v>
                </c:pt>
                <c:pt idx="10">
                  <c:v>6.4973420000000004E-2</c:v>
                </c:pt>
                <c:pt idx="11">
                  <c:v>6.7851709999999996E-2</c:v>
                </c:pt>
                <c:pt idx="12">
                  <c:v>7.0901530000000004E-2</c:v>
                </c:pt>
                <c:pt idx="13">
                  <c:v>7.4133690000000002E-2</c:v>
                </c:pt>
                <c:pt idx="14">
                  <c:v>7.755956E-2</c:v>
                </c:pt>
                <c:pt idx="15">
                  <c:v>8.1191040000000006E-2</c:v>
                </c:pt>
                <c:pt idx="16">
                  <c:v>8.5040599999999994E-2</c:v>
                </c:pt>
                <c:pt idx="17">
                  <c:v>8.9121240000000004E-2</c:v>
                </c:pt>
                <c:pt idx="18">
                  <c:v>9.3446470000000004E-2</c:v>
                </c:pt>
                <c:pt idx="19">
                  <c:v>9.8030339999999994E-2</c:v>
                </c:pt>
              </c:numCache>
            </c:numRef>
          </c:yVal>
          <c:smooth val="1"/>
          <c:extLst>
            <c:ext xmlns:c16="http://schemas.microsoft.com/office/drawing/2014/chart" uri="{C3380CC4-5D6E-409C-BE32-E72D297353CC}">
              <c16:uniqueId val="{00000008-5872-4D6D-A2E6-D3B64E230F05}"/>
            </c:ext>
          </c:extLst>
        </c:ser>
        <c:dLbls>
          <c:showLegendKey val="0"/>
          <c:showVal val="0"/>
          <c:showCatName val="0"/>
          <c:showSerName val="0"/>
          <c:showPercent val="0"/>
          <c:showBubbleSize val="0"/>
        </c:dLbls>
        <c:axId val="287640736"/>
        <c:axId val="287641128"/>
      </c:scatterChart>
      <c:valAx>
        <c:axId val="287640736"/>
        <c:scaling>
          <c:orientation val="minMax"/>
          <c:max val="400"/>
          <c:min val="100"/>
        </c:scaling>
        <c:delete val="0"/>
        <c:axPos val="b"/>
        <c:title>
          <c:tx>
            <c:rich>
              <a:bodyPr/>
              <a:lstStyle/>
              <a:p>
                <a:pPr>
                  <a:defRPr/>
                </a:pPr>
                <a:r>
                  <a:rPr lang="en-US"/>
                  <a:t>Distance</a:t>
                </a:r>
                <a:r>
                  <a:rPr lang="en-US" baseline="0"/>
                  <a:t> from center point (m)</a:t>
                </a:r>
                <a:endParaRPr lang="en-US"/>
              </a:p>
            </c:rich>
          </c:tx>
          <c:layout>
            <c:manualLayout>
              <c:xMode val="edge"/>
              <c:yMode val="edge"/>
              <c:x val="0.31024597053463959"/>
              <c:y val="0.90220081577072686"/>
            </c:manualLayout>
          </c:layout>
          <c:overlay val="0"/>
        </c:title>
        <c:numFmt formatCode="General" sourceLinked="1"/>
        <c:majorTickMark val="out"/>
        <c:minorTickMark val="none"/>
        <c:tickLblPos val="nextTo"/>
        <c:crossAx val="287641128"/>
        <c:crosses val="autoZero"/>
        <c:crossBetween val="midCat"/>
        <c:majorUnit val="100"/>
      </c:valAx>
      <c:valAx>
        <c:axId val="287641128"/>
        <c:scaling>
          <c:orientation val="minMax"/>
        </c:scaling>
        <c:delete val="0"/>
        <c:axPos val="l"/>
        <c:title>
          <c:tx>
            <c:rich>
              <a:bodyPr rot="-5400000" vert="horz"/>
              <a:lstStyle/>
              <a:p>
                <a:pPr>
                  <a:defRPr/>
                </a:pPr>
                <a:r>
                  <a:rPr lang="en-US"/>
                  <a:t>Chestnut-collared</a:t>
                </a:r>
                <a:r>
                  <a:rPr lang="en-US" baseline="0"/>
                  <a:t> longspur probability of occurence per hectare</a:t>
                </a:r>
                <a:endParaRPr lang="en-US"/>
              </a:p>
            </c:rich>
          </c:tx>
          <c:overlay val="0"/>
        </c:title>
        <c:numFmt formatCode="General" sourceLinked="1"/>
        <c:majorTickMark val="out"/>
        <c:minorTickMark val="none"/>
        <c:tickLblPos val="nextTo"/>
        <c:crossAx val="287640736"/>
        <c:crosses val="autoZero"/>
        <c:crossBetween val="midCat"/>
      </c:valAx>
    </c:plotArea>
    <c:legend>
      <c:legendPos val="r"/>
      <c:legendEntry>
        <c:idx val="2"/>
        <c:delete val="1"/>
      </c:legendEntry>
      <c:legendEntry>
        <c:idx val="3"/>
        <c:delete val="1"/>
      </c:legendEntry>
      <c:legendEntry>
        <c:idx val="4"/>
        <c:delete val="1"/>
      </c:legendEntry>
      <c:legendEntry>
        <c:idx val="5"/>
        <c:delete val="1"/>
      </c:legendEntry>
      <c:legendEntry>
        <c:idx val="7"/>
        <c:delete val="1"/>
      </c:legendEntry>
      <c:legendEntry>
        <c:idx val="8"/>
        <c:delete val="1"/>
      </c:legendEntry>
      <c:layout>
        <c:manualLayout>
          <c:xMode val="edge"/>
          <c:yMode val="edge"/>
          <c:x val="0.30799908551140759"/>
          <c:y val="7.3705256596472854E-2"/>
          <c:w val="0.34614267366878032"/>
          <c:h val="0.18579146781992523"/>
        </c:manualLayout>
      </c:layout>
      <c:overlay val="0"/>
    </c:legend>
    <c:plotVisOnly val="1"/>
    <c:dispBlanksAs val="gap"/>
    <c:showDLblsOverMax val="0"/>
  </c:chart>
  <c:spPr>
    <a:ln>
      <a:solidFill>
        <a:srgbClr val="FFFFFF"/>
      </a:solidFill>
    </a:ln>
  </c:sp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0.24144</cdr:x>
      <cdr:y>0.13905</cdr:y>
    </cdr:from>
    <cdr:to>
      <cdr:x>0.30673</cdr:x>
      <cdr:y>0.26465</cdr:y>
    </cdr:to>
    <cdr:sp macro="" textlink="">
      <cdr:nvSpPr>
        <cdr:cNvPr id="2" name="Text Box 1"/>
        <cdr:cNvSpPr txBox="1"/>
      </cdr:nvSpPr>
      <cdr:spPr>
        <a:xfrm xmlns:a="http://schemas.openxmlformats.org/drawingml/2006/main">
          <a:off x="1069061" y="265957"/>
          <a:ext cx="289095" cy="240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a:t>
          </a:r>
        </a:p>
      </cdr:txBody>
    </cdr:sp>
  </cdr:relSizeAnchor>
  <cdr:relSizeAnchor xmlns:cdr="http://schemas.openxmlformats.org/drawingml/2006/chartDrawing">
    <cdr:from>
      <cdr:x>0.63808</cdr:x>
      <cdr:y>0.37128</cdr:y>
    </cdr:from>
    <cdr:to>
      <cdr:x>0.74267</cdr:x>
      <cdr:y>0.49822</cdr:y>
    </cdr:to>
    <cdr:sp macro="" textlink="">
      <cdr:nvSpPr>
        <cdr:cNvPr id="3" name="Text Box 1"/>
        <cdr:cNvSpPr txBox="1"/>
      </cdr:nvSpPr>
      <cdr:spPr>
        <a:xfrm xmlns:a="http://schemas.openxmlformats.org/drawingml/2006/main">
          <a:off x="2825326" y="710123"/>
          <a:ext cx="463109" cy="24278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    A</a:t>
          </a:r>
        </a:p>
      </cdr:txBody>
    </cdr:sp>
  </cdr:relSizeAnchor>
  <cdr:relSizeAnchor xmlns:cdr="http://schemas.openxmlformats.org/drawingml/2006/chartDrawing">
    <cdr:from>
      <cdr:x>0.36351</cdr:x>
      <cdr:y>0.51617</cdr:y>
    </cdr:from>
    <cdr:to>
      <cdr:x>0.42881</cdr:x>
      <cdr:y>0.58322</cdr:y>
    </cdr:to>
    <cdr:sp macro="" textlink="">
      <cdr:nvSpPr>
        <cdr:cNvPr id="4" name="Text Box 1"/>
        <cdr:cNvSpPr txBox="1"/>
      </cdr:nvSpPr>
      <cdr:spPr>
        <a:xfrm xmlns:a="http://schemas.openxmlformats.org/drawingml/2006/main">
          <a:off x="1609570" y="987240"/>
          <a:ext cx="289139" cy="128241"/>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0.70413</cdr:x>
      <cdr:y>0.63003</cdr:y>
    </cdr:from>
    <cdr:to>
      <cdr:x>0.86122</cdr:x>
      <cdr:y>0.73844</cdr:y>
    </cdr:to>
    <cdr:sp macro="" textlink="">
      <cdr:nvSpPr>
        <cdr:cNvPr id="5" name="Text Box 1"/>
        <cdr:cNvSpPr txBox="1"/>
      </cdr:nvSpPr>
      <cdr:spPr>
        <a:xfrm xmlns:a="http://schemas.openxmlformats.org/drawingml/2006/main">
          <a:off x="3117786" y="1205009"/>
          <a:ext cx="695571" cy="207347"/>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            B</a:t>
          </a:r>
        </a:p>
      </cdr:txBody>
    </cdr:sp>
  </cdr:relSizeAnchor>
</c:userShapes>
</file>

<file path=word/drawings/drawing10.xml><?xml version="1.0" encoding="utf-8"?>
<c:userShapes xmlns:c="http://schemas.openxmlformats.org/drawingml/2006/chart">
  <cdr:relSizeAnchor xmlns:cdr="http://schemas.openxmlformats.org/drawingml/2006/chartDrawing">
    <cdr:from>
      <cdr:x>0.86498</cdr:x>
      <cdr:y>0.42224</cdr:y>
    </cdr:from>
    <cdr:to>
      <cdr:x>0.93528</cdr:x>
      <cdr:y>0.5015</cdr:y>
    </cdr:to>
    <cdr:sp macro="" textlink="">
      <cdr:nvSpPr>
        <cdr:cNvPr id="2" name="Text Box 1"/>
        <cdr:cNvSpPr txBox="1"/>
      </cdr:nvSpPr>
      <cdr:spPr>
        <a:xfrm xmlns:a="http://schemas.openxmlformats.org/drawingml/2006/main">
          <a:off x="2521651" y="1063386"/>
          <a:ext cx="204944" cy="19960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900"/>
            <a:t>A</a:t>
          </a:r>
        </a:p>
      </cdr:txBody>
    </cdr:sp>
  </cdr:relSizeAnchor>
  <cdr:relSizeAnchor xmlns:cdr="http://schemas.openxmlformats.org/drawingml/2006/chartDrawing">
    <cdr:from>
      <cdr:x>0.65389</cdr:x>
      <cdr:y>0.53403</cdr:y>
    </cdr:from>
    <cdr:to>
      <cdr:x>0.68389</cdr:x>
      <cdr:y>0.61329</cdr:y>
    </cdr:to>
    <cdr:sp macro="" textlink="">
      <cdr:nvSpPr>
        <cdr:cNvPr id="3" name="Text Box 1"/>
        <cdr:cNvSpPr txBox="1"/>
      </cdr:nvSpPr>
      <cdr:spPr>
        <a:xfrm xmlns:a="http://schemas.openxmlformats.org/drawingml/2006/main">
          <a:off x="3736975" y="2117725"/>
          <a:ext cx="171450" cy="314325"/>
        </a:xfrm>
        <a:prstGeom xmlns:a="http://schemas.openxmlformats.org/drawingml/2006/main" prst="rect">
          <a:avLst/>
        </a:prstGeom>
      </cdr:spPr>
    </cdr:sp>
  </cdr:relSizeAnchor>
  <cdr:relSizeAnchor xmlns:cdr="http://schemas.openxmlformats.org/drawingml/2006/chartDrawing">
    <cdr:from>
      <cdr:x>0.87369</cdr:x>
      <cdr:y>0.63536</cdr:y>
    </cdr:from>
    <cdr:to>
      <cdr:x>0.91925</cdr:x>
      <cdr:y>0.70902</cdr:y>
    </cdr:to>
    <cdr:sp macro="" textlink="">
      <cdr:nvSpPr>
        <cdr:cNvPr id="4" name="Text Box 1"/>
        <cdr:cNvSpPr txBox="1"/>
      </cdr:nvSpPr>
      <cdr:spPr>
        <a:xfrm xmlns:a="http://schemas.openxmlformats.org/drawingml/2006/main">
          <a:off x="2547043" y="1600088"/>
          <a:ext cx="132820" cy="18550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900"/>
            <a:t>B</a:t>
          </a:r>
        </a:p>
      </cdr:txBody>
    </cdr:sp>
  </cdr:relSizeAnchor>
  <cdr:relSizeAnchor xmlns:cdr="http://schemas.openxmlformats.org/drawingml/2006/chartDrawing">
    <cdr:from>
      <cdr:x>0.86609</cdr:x>
      <cdr:y>0.47711</cdr:y>
    </cdr:from>
    <cdr:to>
      <cdr:x>0.93374</cdr:x>
      <cdr:y>0.55637</cdr:y>
    </cdr:to>
    <cdr:sp macro="" textlink="">
      <cdr:nvSpPr>
        <cdr:cNvPr id="5" name="Text Box 1"/>
        <cdr:cNvSpPr txBox="1"/>
      </cdr:nvSpPr>
      <cdr:spPr>
        <a:xfrm xmlns:a="http://schemas.openxmlformats.org/drawingml/2006/main">
          <a:off x="2524886" y="1201552"/>
          <a:ext cx="197219" cy="19961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900"/>
            <a:t>B</a:t>
          </a:r>
        </a:p>
      </cdr:txBody>
    </cdr:sp>
  </cdr:relSizeAnchor>
</c:userShapes>
</file>

<file path=word/drawings/drawing11.xml><?xml version="1.0" encoding="utf-8"?>
<c:userShapes xmlns:c="http://schemas.openxmlformats.org/drawingml/2006/chart">
  <cdr:relSizeAnchor xmlns:cdr="http://schemas.openxmlformats.org/drawingml/2006/chartDrawing">
    <cdr:from>
      <cdr:x>0.85407</cdr:x>
      <cdr:y>0.32899</cdr:y>
    </cdr:from>
    <cdr:to>
      <cdr:x>0.923</cdr:x>
      <cdr:y>0.40642</cdr:y>
    </cdr:to>
    <cdr:sp macro="" textlink="">
      <cdr:nvSpPr>
        <cdr:cNvPr id="2" name="Text Box 1"/>
        <cdr:cNvSpPr txBox="1"/>
      </cdr:nvSpPr>
      <cdr:spPr>
        <a:xfrm xmlns:a="http://schemas.openxmlformats.org/drawingml/2006/main">
          <a:off x="2539200" y="848179"/>
          <a:ext cx="204944" cy="199609"/>
        </a:xfrm>
        <a:prstGeom xmlns:a="http://schemas.openxmlformats.org/drawingml/2006/main" prst="rect">
          <a:avLst/>
        </a:prstGeom>
      </cdr:spPr>
    </cdr:sp>
  </cdr:relSizeAnchor>
  <cdr:relSizeAnchor xmlns:cdr="http://schemas.openxmlformats.org/drawingml/2006/chartDrawing">
    <cdr:from>
      <cdr:x>0.88732</cdr:x>
      <cdr:y>0.57151</cdr:y>
    </cdr:from>
    <cdr:to>
      <cdr:x>0.96874</cdr:x>
      <cdr:y>0.66989</cdr:y>
    </cdr:to>
    <cdr:sp macro="" textlink="">
      <cdr:nvSpPr>
        <cdr:cNvPr id="3" name="Text Box 2"/>
        <cdr:cNvSpPr txBox="1"/>
      </cdr:nvSpPr>
      <cdr:spPr>
        <a:xfrm xmlns:a="http://schemas.openxmlformats.org/drawingml/2006/main">
          <a:off x="2638062" y="1463605"/>
          <a:ext cx="242067" cy="2519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900">
              <a:latin typeface="Cambria" panose="02040503050406030204" pitchFamily="18" charset="0"/>
              <a:cs typeface="Times" panose="02020603050405020304" pitchFamily="18" charset="0"/>
            </a:rPr>
            <a:t>A</a:t>
          </a:r>
        </a:p>
      </cdr:txBody>
    </cdr:sp>
  </cdr:relSizeAnchor>
  <cdr:relSizeAnchor xmlns:cdr="http://schemas.openxmlformats.org/drawingml/2006/chartDrawing">
    <cdr:from>
      <cdr:x>0.88732</cdr:x>
      <cdr:y>0.65569</cdr:y>
    </cdr:from>
    <cdr:to>
      <cdr:x>0.96874</cdr:x>
      <cdr:y>0.73662</cdr:y>
    </cdr:to>
    <cdr:sp macro="" textlink="">
      <cdr:nvSpPr>
        <cdr:cNvPr id="4" name="Text Box 3"/>
        <cdr:cNvSpPr txBox="1"/>
      </cdr:nvSpPr>
      <cdr:spPr>
        <a:xfrm xmlns:a="http://schemas.openxmlformats.org/drawingml/2006/main">
          <a:off x="2638062" y="1679181"/>
          <a:ext cx="242067" cy="2072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900">
              <a:latin typeface="Cambria" panose="02040503050406030204" pitchFamily="18" charset="0"/>
            </a:rPr>
            <a:t>B</a:t>
          </a:r>
        </a:p>
      </cdr:txBody>
    </cdr:sp>
  </cdr:relSizeAnchor>
  <cdr:relSizeAnchor xmlns:cdr="http://schemas.openxmlformats.org/drawingml/2006/chartDrawing">
    <cdr:from>
      <cdr:x>0.88876</cdr:x>
      <cdr:y>0.62214</cdr:y>
    </cdr:from>
    <cdr:to>
      <cdr:x>0.94993</cdr:x>
      <cdr:y>0.70783</cdr:y>
    </cdr:to>
    <cdr:sp macro="" textlink="">
      <cdr:nvSpPr>
        <cdr:cNvPr id="5" name="Text Box 4"/>
        <cdr:cNvSpPr txBox="1"/>
      </cdr:nvSpPr>
      <cdr:spPr>
        <a:xfrm xmlns:a="http://schemas.openxmlformats.org/drawingml/2006/main">
          <a:off x="2642334" y="1593270"/>
          <a:ext cx="181862" cy="21944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900">
              <a:latin typeface="Cambria" panose="02040503050406030204" pitchFamily="18" charset="0"/>
            </a:rPr>
            <a:t>A</a:t>
          </a:r>
        </a:p>
      </cdr:txBody>
    </cdr:sp>
  </cdr:relSizeAnchor>
</c:userShapes>
</file>

<file path=word/drawings/drawing12.xml><?xml version="1.0" encoding="utf-8"?>
<c:userShapes xmlns:c="http://schemas.openxmlformats.org/drawingml/2006/chart">
  <cdr:relSizeAnchor xmlns:cdr="http://schemas.openxmlformats.org/drawingml/2006/chartDrawing">
    <cdr:from>
      <cdr:x>0.17531</cdr:x>
      <cdr:y>0.06408</cdr:y>
    </cdr:from>
    <cdr:to>
      <cdr:x>0.2238</cdr:x>
      <cdr:y>0.18551</cdr:y>
    </cdr:to>
    <cdr:sp macro="" textlink="">
      <cdr:nvSpPr>
        <cdr:cNvPr id="2" name="Text Box 1"/>
        <cdr:cNvSpPr txBox="1"/>
      </cdr:nvSpPr>
      <cdr:spPr>
        <a:xfrm xmlns:a="http://schemas.openxmlformats.org/drawingml/2006/main">
          <a:off x="827112" y="233760"/>
          <a:ext cx="228778" cy="4429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a:t>
          </a:r>
        </a:p>
      </cdr:txBody>
    </cdr:sp>
  </cdr:relSizeAnchor>
  <cdr:relSizeAnchor xmlns:cdr="http://schemas.openxmlformats.org/drawingml/2006/chartDrawing">
    <cdr:from>
      <cdr:x>0.25587</cdr:x>
      <cdr:y>0.51199</cdr:y>
    </cdr:from>
    <cdr:to>
      <cdr:x>0.30436</cdr:x>
      <cdr:y>0.63342</cdr:y>
    </cdr:to>
    <cdr:sp macro="" textlink="">
      <cdr:nvSpPr>
        <cdr:cNvPr id="3" name="Text Box 1"/>
        <cdr:cNvSpPr txBox="1"/>
      </cdr:nvSpPr>
      <cdr:spPr>
        <a:xfrm xmlns:a="http://schemas.openxmlformats.org/drawingml/2006/main">
          <a:off x="1207213" y="1867770"/>
          <a:ext cx="228778" cy="44298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0.33453</cdr:x>
      <cdr:y>0.48784</cdr:y>
    </cdr:from>
    <cdr:to>
      <cdr:x>0.38301</cdr:x>
      <cdr:y>0.60927</cdr:y>
    </cdr:to>
    <cdr:sp macro="" textlink="">
      <cdr:nvSpPr>
        <cdr:cNvPr id="4" name="Text Box 1"/>
        <cdr:cNvSpPr txBox="1"/>
      </cdr:nvSpPr>
      <cdr:spPr>
        <a:xfrm xmlns:a="http://schemas.openxmlformats.org/drawingml/2006/main">
          <a:off x="1578326" y="1779668"/>
          <a:ext cx="228731" cy="44298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0.53115</cdr:x>
      <cdr:y>0.33931</cdr:y>
    </cdr:from>
    <cdr:to>
      <cdr:x>0.57963</cdr:x>
      <cdr:y>0.46074</cdr:y>
    </cdr:to>
    <cdr:sp macro="" textlink="">
      <cdr:nvSpPr>
        <cdr:cNvPr id="5" name="Text Box 1"/>
        <cdr:cNvSpPr txBox="1"/>
      </cdr:nvSpPr>
      <cdr:spPr>
        <a:xfrm xmlns:a="http://schemas.openxmlformats.org/drawingml/2006/main">
          <a:off x="2505980" y="1237833"/>
          <a:ext cx="228731" cy="44298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A</a:t>
          </a:r>
        </a:p>
      </cdr:txBody>
    </cdr:sp>
  </cdr:relSizeAnchor>
  <cdr:relSizeAnchor xmlns:cdr="http://schemas.openxmlformats.org/drawingml/2006/chartDrawing">
    <cdr:from>
      <cdr:x>0.61089</cdr:x>
      <cdr:y>0.62236</cdr:y>
    </cdr:from>
    <cdr:to>
      <cdr:x>0.65937</cdr:x>
      <cdr:y>0.74379</cdr:y>
    </cdr:to>
    <cdr:sp macro="" textlink="">
      <cdr:nvSpPr>
        <cdr:cNvPr id="6" name="Text Box 1"/>
        <cdr:cNvSpPr txBox="1"/>
      </cdr:nvSpPr>
      <cdr:spPr>
        <a:xfrm xmlns:a="http://schemas.openxmlformats.org/drawingml/2006/main">
          <a:off x="2882229" y="2270407"/>
          <a:ext cx="228731" cy="44298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0.68904</cdr:x>
      <cdr:y>0.65137</cdr:y>
    </cdr:from>
    <cdr:to>
      <cdr:x>0.73752</cdr:x>
      <cdr:y>0.7728</cdr:y>
    </cdr:to>
    <cdr:sp macro="" textlink="">
      <cdr:nvSpPr>
        <cdr:cNvPr id="7" name="Text Box 1"/>
        <cdr:cNvSpPr txBox="1"/>
      </cdr:nvSpPr>
      <cdr:spPr>
        <a:xfrm xmlns:a="http://schemas.openxmlformats.org/drawingml/2006/main">
          <a:off x="3250944" y="2376247"/>
          <a:ext cx="228731" cy="44298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B</a:t>
          </a:r>
        </a:p>
      </cdr:txBody>
    </cdr:sp>
  </cdr:relSizeAnchor>
</c:userShapes>
</file>

<file path=word/drawings/drawing2.xml><?xml version="1.0" encoding="utf-8"?>
<c:userShapes xmlns:c="http://schemas.openxmlformats.org/drawingml/2006/chart">
  <cdr:relSizeAnchor xmlns:cdr="http://schemas.openxmlformats.org/drawingml/2006/chartDrawing">
    <cdr:from>
      <cdr:x>0.92883</cdr:x>
      <cdr:y>0.43443</cdr:y>
    </cdr:from>
    <cdr:to>
      <cdr:x>0.97049</cdr:x>
      <cdr:y>0.54296</cdr:y>
    </cdr:to>
    <cdr:sp macro="" textlink="">
      <cdr:nvSpPr>
        <cdr:cNvPr id="2" name="Text Box 1"/>
        <cdr:cNvSpPr txBox="1"/>
      </cdr:nvSpPr>
      <cdr:spPr>
        <a:xfrm xmlns:a="http://schemas.openxmlformats.org/drawingml/2006/main">
          <a:off x="4237783" y="1009649"/>
          <a:ext cx="190072" cy="25223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a:t>
          </a:r>
        </a:p>
      </cdr:txBody>
    </cdr:sp>
  </cdr:relSizeAnchor>
  <cdr:relSizeAnchor xmlns:cdr="http://schemas.openxmlformats.org/drawingml/2006/chartDrawing">
    <cdr:from>
      <cdr:x>0.92883</cdr:x>
      <cdr:y>0.58502</cdr:y>
    </cdr:from>
    <cdr:to>
      <cdr:x>0.97049</cdr:x>
      <cdr:y>0.69315</cdr:y>
    </cdr:to>
    <cdr:sp macro="" textlink="">
      <cdr:nvSpPr>
        <cdr:cNvPr id="3" name="Text Box 2"/>
        <cdr:cNvSpPr txBox="1"/>
      </cdr:nvSpPr>
      <cdr:spPr>
        <a:xfrm xmlns:a="http://schemas.openxmlformats.org/drawingml/2006/main">
          <a:off x="4237783" y="1359643"/>
          <a:ext cx="190072" cy="25130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B</a:t>
          </a:r>
        </a:p>
      </cdr:txBody>
    </cdr:sp>
  </cdr:relSizeAnchor>
  <cdr:relSizeAnchor xmlns:cdr="http://schemas.openxmlformats.org/drawingml/2006/chartDrawing">
    <cdr:from>
      <cdr:x>0.68982</cdr:x>
      <cdr:y>0.03297</cdr:y>
    </cdr:from>
    <cdr:to>
      <cdr:x>0.73148</cdr:x>
      <cdr:y>0.10623</cdr:y>
    </cdr:to>
    <cdr:sp macro="" textlink="">
      <cdr:nvSpPr>
        <cdr:cNvPr id="4" name="Text Box 1"/>
        <cdr:cNvSpPr txBox="1"/>
      </cdr:nvSpPr>
      <cdr:spPr>
        <a:xfrm xmlns:a="http://schemas.openxmlformats.org/drawingml/2006/main">
          <a:off x="3784618" y="97969"/>
          <a:ext cx="228564" cy="217714"/>
        </a:xfrm>
        <a:prstGeom xmlns:a="http://schemas.openxmlformats.org/drawingml/2006/main" prst="rect">
          <a:avLst/>
        </a:prstGeom>
      </cdr:spPr>
    </cdr:sp>
  </cdr:relSizeAnchor>
</c:userShapes>
</file>

<file path=word/drawings/drawing3.xml><?xml version="1.0" encoding="utf-8"?>
<c:userShapes xmlns:c="http://schemas.openxmlformats.org/drawingml/2006/chart">
  <cdr:relSizeAnchor xmlns:cdr="http://schemas.openxmlformats.org/drawingml/2006/chartDrawing">
    <cdr:from>
      <cdr:x>0.92099</cdr:x>
      <cdr:y>0.4219</cdr:y>
    </cdr:from>
    <cdr:to>
      <cdr:x>0.99369</cdr:x>
      <cdr:y>0.52071</cdr:y>
    </cdr:to>
    <cdr:sp macro="" textlink="">
      <cdr:nvSpPr>
        <cdr:cNvPr id="2" name="Text Box 1"/>
        <cdr:cNvSpPr txBox="1"/>
      </cdr:nvSpPr>
      <cdr:spPr>
        <a:xfrm xmlns:a="http://schemas.openxmlformats.org/drawingml/2006/main">
          <a:off x="4166902" y="919731"/>
          <a:ext cx="328942" cy="21538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 A</a:t>
          </a:r>
        </a:p>
      </cdr:txBody>
    </cdr:sp>
  </cdr:relSizeAnchor>
  <cdr:relSizeAnchor xmlns:cdr="http://schemas.openxmlformats.org/drawingml/2006/chartDrawing">
    <cdr:from>
      <cdr:x>0.92323</cdr:x>
      <cdr:y>0.56792</cdr:y>
    </cdr:from>
    <cdr:to>
      <cdr:x>1</cdr:x>
      <cdr:y>0.68926</cdr:y>
    </cdr:to>
    <cdr:sp macro="" textlink="">
      <cdr:nvSpPr>
        <cdr:cNvPr id="3" name="Text Box 2"/>
        <cdr:cNvSpPr txBox="1"/>
      </cdr:nvSpPr>
      <cdr:spPr>
        <a:xfrm xmlns:a="http://schemas.openxmlformats.org/drawingml/2006/main">
          <a:off x="4177039" y="1238048"/>
          <a:ext cx="347336" cy="26451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 B</a:t>
          </a:r>
        </a:p>
      </cdr:txBody>
    </cdr:sp>
  </cdr:relSizeAnchor>
</c:userShapes>
</file>

<file path=word/drawings/drawing4.xml><?xml version="1.0" encoding="utf-8"?>
<c:userShapes xmlns:c="http://schemas.openxmlformats.org/drawingml/2006/chart">
  <cdr:relSizeAnchor xmlns:cdr="http://schemas.openxmlformats.org/drawingml/2006/chartDrawing">
    <cdr:from>
      <cdr:x>0.14366</cdr:x>
      <cdr:y>0.066</cdr:y>
    </cdr:from>
    <cdr:to>
      <cdr:x>0.20906</cdr:x>
      <cdr:y>0.17822</cdr:y>
    </cdr:to>
    <cdr:sp macro="" textlink="">
      <cdr:nvSpPr>
        <cdr:cNvPr id="2" name="Text Box 1"/>
        <cdr:cNvSpPr txBox="1"/>
      </cdr:nvSpPr>
      <cdr:spPr>
        <a:xfrm xmlns:a="http://schemas.openxmlformats.org/drawingml/2006/main">
          <a:off x="627623" y="190488"/>
          <a:ext cx="285720" cy="3238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a:t>A</a:t>
          </a:r>
        </a:p>
      </cdr:txBody>
    </cdr:sp>
  </cdr:relSizeAnchor>
  <cdr:relSizeAnchor xmlns:cdr="http://schemas.openxmlformats.org/drawingml/2006/chartDrawing">
    <cdr:from>
      <cdr:x>0.37137</cdr:x>
      <cdr:y>0.33113</cdr:y>
    </cdr:from>
    <cdr:to>
      <cdr:x>0.43677</cdr:x>
      <cdr:y>0.44334</cdr:y>
    </cdr:to>
    <cdr:sp macro="" textlink="">
      <cdr:nvSpPr>
        <cdr:cNvPr id="3" name="Text Box 1"/>
        <cdr:cNvSpPr txBox="1"/>
      </cdr:nvSpPr>
      <cdr:spPr>
        <a:xfrm xmlns:a="http://schemas.openxmlformats.org/drawingml/2006/main">
          <a:off x="1622441" y="955672"/>
          <a:ext cx="285720" cy="323846"/>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a:t>A</a:t>
          </a:r>
        </a:p>
      </cdr:txBody>
    </cdr:sp>
  </cdr:relSizeAnchor>
  <cdr:relSizeAnchor xmlns:cdr="http://schemas.openxmlformats.org/drawingml/2006/chartDrawing">
    <cdr:from>
      <cdr:x>0.59757</cdr:x>
      <cdr:y>0.56478</cdr:y>
    </cdr:from>
    <cdr:to>
      <cdr:x>0.66297</cdr:x>
      <cdr:y>0.677</cdr:y>
    </cdr:to>
    <cdr:sp macro="" textlink="">
      <cdr:nvSpPr>
        <cdr:cNvPr id="4" name="Text Box 1"/>
        <cdr:cNvSpPr txBox="1"/>
      </cdr:nvSpPr>
      <cdr:spPr>
        <a:xfrm xmlns:a="http://schemas.openxmlformats.org/drawingml/2006/main">
          <a:off x="2610671" y="1768071"/>
          <a:ext cx="285720" cy="35131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a:t>A</a:t>
          </a:r>
        </a:p>
      </cdr:txBody>
    </cdr:sp>
  </cdr:relSizeAnchor>
  <cdr:relSizeAnchor xmlns:cdr="http://schemas.openxmlformats.org/drawingml/2006/chartDrawing">
    <cdr:from>
      <cdr:x>0.19549</cdr:x>
      <cdr:y>0.39164</cdr:y>
    </cdr:from>
    <cdr:to>
      <cdr:x>0.2609</cdr:x>
      <cdr:y>0.50385</cdr:y>
    </cdr:to>
    <cdr:sp macro="" textlink="">
      <cdr:nvSpPr>
        <cdr:cNvPr id="5" name="Text Box 1"/>
        <cdr:cNvSpPr txBox="1"/>
      </cdr:nvSpPr>
      <cdr:spPr>
        <a:xfrm xmlns:a="http://schemas.openxmlformats.org/drawingml/2006/main">
          <a:off x="854057" y="1130309"/>
          <a:ext cx="285763" cy="323847"/>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0.24564</cdr:x>
      <cdr:y>0.39971</cdr:y>
    </cdr:from>
    <cdr:to>
      <cdr:x>0.31105</cdr:x>
      <cdr:y>0.51192</cdr:y>
    </cdr:to>
    <cdr:sp macro="" textlink="">
      <cdr:nvSpPr>
        <cdr:cNvPr id="6" name="Text Box 1"/>
        <cdr:cNvSpPr txBox="1"/>
      </cdr:nvSpPr>
      <cdr:spPr>
        <a:xfrm xmlns:a="http://schemas.openxmlformats.org/drawingml/2006/main">
          <a:off x="1073152" y="1153594"/>
          <a:ext cx="285763" cy="323847"/>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0.42224</cdr:x>
      <cdr:y>0.59449</cdr:y>
    </cdr:from>
    <cdr:to>
      <cdr:x>0.48765</cdr:x>
      <cdr:y>0.7067</cdr:y>
    </cdr:to>
    <cdr:sp macro="" textlink="">
      <cdr:nvSpPr>
        <cdr:cNvPr id="7" name="Text Box 1"/>
        <cdr:cNvSpPr txBox="1"/>
      </cdr:nvSpPr>
      <cdr:spPr>
        <a:xfrm xmlns:a="http://schemas.openxmlformats.org/drawingml/2006/main">
          <a:off x="1844682" y="1861080"/>
          <a:ext cx="285763" cy="35127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0.47238</cdr:x>
      <cdr:y>0.48552</cdr:y>
    </cdr:from>
    <cdr:to>
      <cdr:x>0.53779</cdr:x>
      <cdr:y>0.59773</cdr:y>
    </cdr:to>
    <cdr:sp macro="" textlink="">
      <cdr:nvSpPr>
        <cdr:cNvPr id="8" name="Text Box 1"/>
        <cdr:cNvSpPr txBox="1"/>
      </cdr:nvSpPr>
      <cdr:spPr>
        <a:xfrm xmlns:a="http://schemas.openxmlformats.org/drawingml/2006/main">
          <a:off x="2063734" y="1401248"/>
          <a:ext cx="285763" cy="323847"/>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0.64898</cdr:x>
      <cdr:y>0.57109</cdr:y>
    </cdr:from>
    <cdr:to>
      <cdr:x>0.71439</cdr:x>
      <cdr:y>0.6833</cdr:y>
    </cdr:to>
    <cdr:sp macro="" textlink="">
      <cdr:nvSpPr>
        <cdr:cNvPr id="9" name="Text Box 1"/>
        <cdr:cNvSpPr txBox="1"/>
      </cdr:nvSpPr>
      <cdr:spPr>
        <a:xfrm xmlns:a="http://schemas.openxmlformats.org/drawingml/2006/main">
          <a:off x="2835264" y="1787825"/>
          <a:ext cx="285763" cy="35127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a:t>A</a:t>
          </a:r>
        </a:p>
      </cdr:txBody>
    </cdr:sp>
  </cdr:relSizeAnchor>
  <cdr:relSizeAnchor xmlns:cdr="http://schemas.openxmlformats.org/drawingml/2006/chartDrawing">
    <cdr:from>
      <cdr:x>0.69985</cdr:x>
      <cdr:y>0.38614</cdr:y>
    </cdr:from>
    <cdr:to>
      <cdr:x>0.76526</cdr:x>
      <cdr:y>0.49835</cdr:y>
    </cdr:to>
    <cdr:sp macro="" textlink="">
      <cdr:nvSpPr>
        <cdr:cNvPr id="10" name="Text Box 1"/>
        <cdr:cNvSpPr txBox="1"/>
      </cdr:nvSpPr>
      <cdr:spPr>
        <a:xfrm xmlns:a="http://schemas.openxmlformats.org/drawingml/2006/main">
          <a:off x="3057505" y="1114433"/>
          <a:ext cx="285763" cy="323846"/>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a:t>B</a:t>
          </a:r>
        </a:p>
      </cdr:txBody>
    </cdr:sp>
  </cdr:relSizeAnchor>
</c:userShapes>
</file>

<file path=word/drawings/drawing5.xml><?xml version="1.0" encoding="utf-8"?>
<c:userShapes xmlns:c="http://schemas.openxmlformats.org/drawingml/2006/chart">
  <cdr:relSizeAnchor xmlns:cdr="http://schemas.openxmlformats.org/drawingml/2006/chartDrawing">
    <cdr:from>
      <cdr:x>0.13383</cdr:x>
      <cdr:y>0.57599</cdr:y>
    </cdr:from>
    <cdr:to>
      <cdr:x>0.16729</cdr:x>
      <cdr:y>0.64881</cdr:y>
    </cdr:to>
    <cdr:sp macro="" textlink="">
      <cdr:nvSpPr>
        <cdr:cNvPr id="2" name="Text Box 1"/>
        <cdr:cNvSpPr txBox="1"/>
      </cdr:nvSpPr>
      <cdr:spPr>
        <a:xfrm xmlns:a="http://schemas.openxmlformats.org/drawingml/2006/main">
          <a:off x="685805" y="1853286"/>
          <a:ext cx="171464" cy="23430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a:t>
          </a:r>
        </a:p>
      </cdr:txBody>
    </cdr:sp>
  </cdr:relSizeAnchor>
  <cdr:relSizeAnchor xmlns:cdr="http://schemas.openxmlformats.org/drawingml/2006/chartDrawing">
    <cdr:from>
      <cdr:x>0.16811</cdr:x>
      <cdr:y>0.7175</cdr:y>
    </cdr:from>
    <cdr:to>
      <cdr:x>0.20156</cdr:x>
      <cdr:y>0.79033</cdr:y>
    </cdr:to>
    <cdr:sp macro="" textlink="">
      <cdr:nvSpPr>
        <cdr:cNvPr id="3" name="Text Box 1"/>
        <cdr:cNvSpPr txBox="1"/>
      </cdr:nvSpPr>
      <cdr:spPr>
        <a:xfrm xmlns:a="http://schemas.openxmlformats.org/drawingml/2006/main">
          <a:off x="861487" y="2045701"/>
          <a:ext cx="171413" cy="20764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0.19847</cdr:x>
      <cdr:y>0.66405</cdr:y>
    </cdr:from>
    <cdr:to>
      <cdr:x>0.23193</cdr:x>
      <cdr:y>0.73688</cdr:y>
    </cdr:to>
    <cdr:sp macro="" textlink="">
      <cdr:nvSpPr>
        <cdr:cNvPr id="4" name="Text Box 1"/>
        <cdr:cNvSpPr txBox="1"/>
      </cdr:nvSpPr>
      <cdr:spPr>
        <a:xfrm xmlns:a="http://schemas.openxmlformats.org/drawingml/2006/main">
          <a:off x="1017042" y="1893307"/>
          <a:ext cx="171464" cy="20764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C</a:t>
          </a:r>
        </a:p>
      </cdr:txBody>
    </cdr:sp>
  </cdr:relSizeAnchor>
  <cdr:relSizeAnchor xmlns:cdr="http://schemas.openxmlformats.org/drawingml/2006/chartDrawing">
    <cdr:from>
      <cdr:x>0.14374</cdr:x>
      <cdr:y>0.57238</cdr:y>
    </cdr:from>
    <cdr:to>
      <cdr:x>0.1772</cdr:x>
      <cdr:y>0.64521</cdr:y>
    </cdr:to>
    <cdr:sp macro="" textlink="">
      <cdr:nvSpPr>
        <cdr:cNvPr id="5" name="Text Box 1"/>
        <cdr:cNvSpPr txBox="1"/>
      </cdr:nvSpPr>
      <cdr:spPr>
        <a:xfrm xmlns:a="http://schemas.openxmlformats.org/drawingml/2006/main">
          <a:off x="736600" y="1631951"/>
          <a:ext cx="171450" cy="207644"/>
        </a:xfrm>
        <a:prstGeom xmlns:a="http://schemas.openxmlformats.org/drawingml/2006/main" prst="rect">
          <a:avLst/>
        </a:prstGeom>
      </cdr:spPr>
    </cdr:sp>
  </cdr:relSizeAnchor>
  <cdr:relSizeAnchor xmlns:cdr="http://schemas.openxmlformats.org/drawingml/2006/chartDrawing">
    <cdr:from>
      <cdr:x>0.28191</cdr:x>
      <cdr:y>0.64846</cdr:y>
    </cdr:from>
    <cdr:to>
      <cdr:x>0.31537</cdr:x>
      <cdr:y>0.72129</cdr:y>
    </cdr:to>
    <cdr:sp macro="" textlink="">
      <cdr:nvSpPr>
        <cdr:cNvPr id="6" name="Text Box 1"/>
        <cdr:cNvSpPr txBox="1"/>
      </cdr:nvSpPr>
      <cdr:spPr>
        <a:xfrm xmlns:a="http://schemas.openxmlformats.org/drawingml/2006/main">
          <a:off x="1444634" y="1848859"/>
          <a:ext cx="171464" cy="20764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A</a:t>
          </a:r>
        </a:p>
      </cdr:txBody>
    </cdr:sp>
  </cdr:relSizeAnchor>
  <cdr:relSizeAnchor xmlns:cdr="http://schemas.openxmlformats.org/drawingml/2006/chartDrawing">
    <cdr:from>
      <cdr:x>0.31537</cdr:x>
      <cdr:y>0.73978</cdr:y>
    </cdr:from>
    <cdr:to>
      <cdr:x>0.34882</cdr:x>
      <cdr:y>0.81261</cdr:y>
    </cdr:to>
    <cdr:sp macro="" textlink="">
      <cdr:nvSpPr>
        <cdr:cNvPr id="7" name="Text Box 1"/>
        <cdr:cNvSpPr txBox="1"/>
      </cdr:nvSpPr>
      <cdr:spPr>
        <a:xfrm xmlns:a="http://schemas.openxmlformats.org/drawingml/2006/main">
          <a:off x="1616098" y="2109222"/>
          <a:ext cx="171413" cy="20764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B</a:t>
          </a:r>
        </a:p>
      </cdr:txBody>
    </cdr:sp>
  </cdr:relSizeAnchor>
  <cdr:relSizeAnchor xmlns:cdr="http://schemas.openxmlformats.org/drawingml/2006/chartDrawing">
    <cdr:from>
      <cdr:x>0.34614</cdr:x>
      <cdr:y>0.69004</cdr:y>
    </cdr:from>
    <cdr:to>
      <cdr:x>0.37959</cdr:x>
      <cdr:y>0.76287</cdr:y>
    </cdr:to>
    <cdr:sp macro="" textlink="">
      <cdr:nvSpPr>
        <cdr:cNvPr id="8" name="Text Box 1"/>
        <cdr:cNvSpPr txBox="1"/>
      </cdr:nvSpPr>
      <cdr:spPr>
        <a:xfrm xmlns:a="http://schemas.openxmlformats.org/drawingml/2006/main">
          <a:off x="1773784" y="1967399"/>
          <a:ext cx="171413" cy="20764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C</a:t>
          </a:r>
        </a:p>
      </cdr:txBody>
    </cdr:sp>
  </cdr:relSizeAnchor>
  <cdr:relSizeAnchor xmlns:cdr="http://schemas.openxmlformats.org/drawingml/2006/chartDrawing">
    <cdr:from>
      <cdr:x>0.42728</cdr:x>
      <cdr:y>0.71187</cdr:y>
    </cdr:from>
    <cdr:to>
      <cdr:x>0.4724</cdr:x>
      <cdr:y>0.78417</cdr:y>
    </cdr:to>
    <cdr:sp macro="" textlink="">
      <cdr:nvSpPr>
        <cdr:cNvPr id="9" name="Text Box 1"/>
        <cdr:cNvSpPr txBox="1"/>
      </cdr:nvSpPr>
      <cdr:spPr>
        <a:xfrm xmlns:a="http://schemas.openxmlformats.org/drawingml/2006/main">
          <a:off x="2189555" y="2029651"/>
          <a:ext cx="231228" cy="206137"/>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A</a:t>
          </a:r>
        </a:p>
      </cdr:txBody>
    </cdr:sp>
  </cdr:relSizeAnchor>
  <cdr:relSizeAnchor xmlns:cdr="http://schemas.openxmlformats.org/drawingml/2006/chartDrawing">
    <cdr:from>
      <cdr:x>0.45126</cdr:x>
      <cdr:y>0.68897</cdr:y>
    </cdr:from>
    <cdr:to>
      <cdr:x>0.53057</cdr:x>
      <cdr:y>0.77963</cdr:y>
    </cdr:to>
    <cdr:sp macro="" textlink="">
      <cdr:nvSpPr>
        <cdr:cNvPr id="10" name="Text Box 1"/>
        <cdr:cNvSpPr txBox="1"/>
      </cdr:nvSpPr>
      <cdr:spPr>
        <a:xfrm xmlns:a="http://schemas.openxmlformats.org/drawingml/2006/main">
          <a:off x="2312444" y="1964371"/>
          <a:ext cx="406420" cy="258457"/>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AB</a:t>
          </a:r>
        </a:p>
      </cdr:txBody>
    </cdr:sp>
  </cdr:relSizeAnchor>
  <cdr:relSizeAnchor xmlns:cdr="http://schemas.openxmlformats.org/drawingml/2006/chartDrawing">
    <cdr:from>
      <cdr:x>0.49355</cdr:x>
      <cdr:y>0.61558</cdr:y>
    </cdr:from>
    <cdr:to>
      <cdr:x>0.56317</cdr:x>
      <cdr:y>0.69531</cdr:y>
    </cdr:to>
    <cdr:sp macro="" textlink="">
      <cdr:nvSpPr>
        <cdr:cNvPr id="11" name="Text Box 1"/>
        <cdr:cNvSpPr txBox="1"/>
      </cdr:nvSpPr>
      <cdr:spPr>
        <a:xfrm xmlns:a="http://schemas.openxmlformats.org/drawingml/2006/main">
          <a:off x="2529172" y="1980662"/>
          <a:ext cx="356765" cy="256534"/>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      B   </a:t>
          </a:r>
        </a:p>
      </cdr:txBody>
    </cdr:sp>
  </cdr:relSizeAnchor>
  <cdr:relSizeAnchor xmlns:cdr="http://schemas.openxmlformats.org/drawingml/2006/chartDrawing">
    <cdr:from>
      <cdr:x>0.56316</cdr:x>
      <cdr:y>0.32371</cdr:y>
    </cdr:from>
    <cdr:to>
      <cdr:x>0.63433</cdr:x>
      <cdr:y>0.43017</cdr:y>
    </cdr:to>
    <cdr:sp macro="" textlink="">
      <cdr:nvSpPr>
        <cdr:cNvPr id="12" name="Text Box 1"/>
        <cdr:cNvSpPr txBox="1"/>
      </cdr:nvSpPr>
      <cdr:spPr>
        <a:xfrm xmlns:a="http://schemas.openxmlformats.org/drawingml/2006/main">
          <a:off x="2885885" y="1041538"/>
          <a:ext cx="364707" cy="34253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  A</a:t>
          </a:r>
        </a:p>
      </cdr:txBody>
    </cdr:sp>
  </cdr:relSizeAnchor>
  <cdr:relSizeAnchor xmlns:cdr="http://schemas.openxmlformats.org/drawingml/2006/chartDrawing">
    <cdr:from>
      <cdr:x>0.59643</cdr:x>
      <cdr:y>0.15111</cdr:y>
    </cdr:from>
    <cdr:to>
      <cdr:x>0.68564</cdr:x>
      <cdr:y>0.26981</cdr:y>
    </cdr:to>
    <cdr:sp macro="" textlink="">
      <cdr:nvSpPr>
        <cdr:cNvPr id="13" name="Text Box 1"/>
        <cdr:cNvSpPr txBox="1"/>
      </cdr:nvSpPr>
      <cdr:spPr>
        <a:xfrm xmlns:a="http://schemas.openxmlformats.org/drawingml/2006/main">
          <a:off x="3056376" y="486190"/>
          <a:ext cx="457152" cy="381923"/>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  B</a:t>
          </a:r>
        </a:p>
      </cdr:txBody>
    </cdr:sp>
  </cdr:relSizeAnchor>
  <cdr:relSizeAnchor xmlns:cdr="http://schemas.openxmlformats.org/drawingml/2006/chartDrawing">
    <cdr:from>
      <cdr:x>0.64158</cdr:x>
      <cdr:y>0.30203</cdr:y>
    </cdr:from>
    <cdr:to>
      <cdr:x>0.693</cdr:x>
      <cdr:y>0.43076</cdr:y>
    </cdr:to>
    <cdr:sp macro="" textlink="">
      <cdr:nvSpPr>
        <cdr:cNvPr id="14" name="Text Box 1"/>
        <cdr:cNvSpPr txBox="1"/>
      </cdr:nvSpPr>
      <cdr:spPr>
        <a:xfrm xmlns:a="http://schemas.openxmlformats.org/drawingml/2006/main">
          <a:off x="3287756" y="971807"/>
          <a:ext cx="263499" cy="41419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A</a:t>
          </a:r>
        </a:p>
      </cdr:txBody>
    </cdr:sp>
  </cdr:relSizeAnchor>
</c:userShapes>
</file>

<file path=word/drawings/drawing6.xml><?xml version="1.0" encoding="utf-8"?>
<c:userShapes xmlns:c="http://schemas.openxmlformats.org/drawingml/2006/chart">
  <cdr:relSizeAnchor xmlns:cdr="http://schemas.openxmlformats.org/drawingml/2006/chartDrawing">
    <cdr:from>
      <cdr:x>0.87753</cdr:x>
      <cdr:y>0.39726</cdr:y>
    </cdr:from>
    <cdr:to>
      <cdr:x>0.98693</cdr:x>
      <cdr:y>0.54564</cdr:y>
    </cdr:to>
    <cdr:sp macro="" textlink="">
      <cdr:nvSpPr>
        <cdr:cNvPr id="2" name="Text Box 1"/>
        <cdr:cNvSpPr txBox="1"/>
      </cdr:nvSpPr>
      <cdr:spPr>
        <a:xfrm xmlns:a="http://schemas.openxmlformats.org/drawingml/2006/main">
          <a:off x="2596132" y="868024"/>
          <a:ext cx="323656" cy="32421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 </a:t>
          </a:r>
          <a:r>
            <a:rPr lang="en-US" sz="900"/>
            <a:t>A</a:t>
          </a:r>
        </a:p>
      </cdr:txBody>
    </cdr:sp>
  </cdr:relSizeAnchor>
  <cdr:relSizeAnchor xmlns:cdr="http://schemas.openxmlformats.org/drawingml/2006/chartDrawing">
    <cdr:from>
      <cdr:x>0.85928</cdr:x>
      <cdr:y>0.48765</cdr:y>
    </cdr:from>
    <cdr:to>
      <cdr:x>0.98763</cdr:x>
      <cdr:y>0.61714</cdr:y>
    </cdr:to>
    <cdr:sp macro="" textlink="">
      <cdr:nvSpPr>
        <cdr:cNvPr id="6" name="Text Box 5"/>
        <cdr:cNvSpPr txBox="1"/>
      </cdr:nvSpPr>
      <cdr:spPr>
        <a:xfrm xmlns:a="http://schemas.openxmlformats.org/drawingml/2006/main">
          <a:off x="2542157" y="1065537"/>
          <a:ext cx="379719" cy="28294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  </a:t>
          </a:r>
          <a:r>
            <a:rPr lang="en-US" sz="900"/>
            <a:t> B</a:t>
          </a:r>
        </a:p>
      </cdr:txBody>
    </cdr:sp>
  </cdr:relSizeAnchor>
  <cdr:relSizeAnchor xmlns:cdr="http://schemas.openxmlformats.org/drawingml/2006/chartDrawing">
    <cdr:from>
      <cdr:x>0.73913</cdr:x>
      <cdr:y>0.43345</cdr:y>
    </cdr:from>
    <cdr:to>
      <cdr:x>0.80682</cdr:x>
      <cdr:y>0.64388</cdr:y>
    </cdr:to>
    <cdr:sp macro="" textlink="">
      <cdr:nvSpPr>
        <cdr:cNvPr id="4" name="Text Box 1"/>
        <cdr:cNvSpPr txBox="1"/>
      </cdr:nvSpPr>
      <cdr:spPr>
        <a:xfrm xmlns:a="http://schemas.openxmlformats.org/drawingml/2006/main">
          <a:off x="3886200" y="1224280"/>
          <a:ext cx="355900" cy="594342"/>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a:p>
      </cdr:txBody>
    </cdr:sp>
  </cdr:relSizeAnchor>
  <cdr:relSizeAnchor xmlns:cdr="http://schemas.openxmlformats.org/drawingml/2006/chartDrawing">
    <cdr:from>
      <cdr:x>0.8893</cdr:x>
      <cdr:y>0.561</cdr:y>
    </cdr:from>
    <cdr:to>
      <cdr:x>1</cdr:x>
      <cdr:y>0.68198</cdr:y>
    </cdr:to>
    <cdr:sp macro="" textlink="">
      <cdr:nvSpPr>
        <cdr:cNvPr id="3" name="Text Box 2"/>
        <cdr:cNvSpPr txBox="1"/>
      </cdr:nvSpPr>
      <cdr:spPr>
        <a:xfrm xmlns:a="http://schemas.openxmlformats.org/drawingml/2006/main">
          <a:off x="2630963" y="1225810"/>
          <a:ext cx="327502" cy="26434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900"/>
            <a:t>AB</a:t>
          </a:r>
          <a:endParaRPr lang="en-US" sz="800"/>
        </a:p>
      </cdr:txBody>
    </cdr:sp>
  </cdr:relSizeAnchor>
  <cdr:relSizeAnchor xmlns:cdr="http://schemas.openxmlformats.org/drawingml/2006/chartDrawing">
    <cdr:from>
      <cdr:x>0.71007</cdr:x>
      <cdr:y>0.35808</cdr:y>
    </cdr:from>
    <cdr:to>
      <cdr:x>0.8684</cdr:x>
      <cdr:y>0.43902</cdr:y>
    </cdr:to>
    <cdr:sp macro="" textlink="">
      <cdr:nvSpPr>
        <cdr:cNvPr id="7" name="Text Box 1"/>
        <cdr:cNvSpPr txBox="1"/>
      </cdr:nvSpPr>
      <cdr:spPr>
        <a:xfrm xmlns:a="http://schemas.openxmlformats.org/drawingml/2006/main">
          <a:off x="2032193" y="782407"/>
          <a:ext cx="453125" cy="176857"/>
        </a:xfrm>
        <a:prstGeom xmlns:a="http://schemas.openxmlformats.org/drawingml/2006/main" prst="rect">
          <a:avLst/>
        </a:prstGeom>
      </cdr:spPr>
    </cdr:sp>
  </cdr:relSizeAnchor>
  <cdr:relSizeAnchor xmlns:cdr="http://schemas.openxmlformats.org/drawingml/2006/chartDrawing">
    <cdr:from>
      <cdr:x>0.75281</cdr:x>
      <cdr:y>0.2168</cdr:y>
    </cdr:from>
    <cdr:to>
      <cdr:x>0.91114</cdr:x>
      <cdr:y>0.33778</cdr:y>
    </cdr:to>
    <cdr:sp macro="" textlink="">
      <cdr:nvSpPr>
        <cdr:cNvPr id="8" name="Text Box 1"/>
        <cdr:cNvSpPr txBox="1"/>
      </cdr:nvSpPr>
      <cdr:spPr>
        <a:xfrm xmlns:a="http://schemas.openxmlformats.org/drawingml/2006/main">
          <a:off x="2154502" y="473724"/>
          <a:ext cx="453125" cy="264332"/>
        </a:xfrm>
        <a:prstGeom xmlns:a="http://schemas.openxmlformats.org/drawingml/2006/main" prst="rect">
          <a:avLst/>
        </a:prstGeom>
      </cdr:spPr>
    </cdr:sp>
  </cdr:relSizeAnchor>
</c:userShapes>
</file>

<file path=word/drawings/drawing7.xml><?xml version="1.0" encoding="utf-8"?>
<c:userShapes xmlns:c="http://schemas.openxmlformats.org/drawingml/2006/chart">
  <cdr:relSizeAnchor xmlns:cdr="http://schemas.openxmlformats.org/drawingml/2006/chartDrawing">
    <cdr:from>
      <cdr:x>0.90151</cdr:x>
      <cdr:y>0.42651</cdr:y>
    </cdr:from>
    <cdr:to>
      <cdr:x>0.98014</cdr:x>
      <cdr:y>0.5499</cdr:y>
    </cdr:to>
    <cdr:sp macro="" textlink="">
      <cdr:nvSpPr>
        <cdr:cNvPr id="2" name="Text Box 1"/>
        <cdr:cNvSpPr txBox="1"/>
      </cdr:nvSpPr>
      <cdr:spPr>
        <a:xfrm xmlns:a="http://schemas.openxmlformats.org/drawingml/2006/main">
          <a:off x="2644187" y="926784"/>
          <a:ext cx="230627" cy="26812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900"/>
            <a:t>A</a:t>
          </a:r>
        </a:p>
      </cdr:txBody>
    </cdr:sp>
  </cdr:relSizeAnchor>
  <cdr:relSizeAnchor xmlns:cdr="http://schemas.openxmlformats.org/drawingml/2006/chartDrawing">
    <cdr:from>
      <cdr:x>0.90177</cdr:x>
      <cdr:y>0.48588</cdr:y>
    </cdr:from>
    <cdr:to>
      <cdr:x>1</cdr:x>
      <cdr:y>0.64122</cdr:y>
    </cdr:to>
    <cdr:sp macro="" textlink="">
      <cdr:nvSpPr>
        <cdr:cNvPr id="3" name="Text Box 1"/>
        <cdr:cNvSpPr txBox="1"/>
      </cdr:nvSpPr>
      <cdr:spPr>
        <a:xfrm xmlns:a="http://schemas.openxmlformats.org/drawingml/2006/main">
          <a:off x="2644950" y="1055797"/>
          <a:ext cx="288115" cy="3375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900"/>
            <a:t>   B</a:t>
          </a:r>
        </a:p>
      </cdr:txBody>
    </cdr:sp>
  </cdr:relSizeAnchor>
  <cdr:relSizeAnchor xmlns:cdr="http://schemas.openxmlformats.org/drawingml/2006/chartDrawing">
    <cdr:from>
      <cdr:x>0.76997</cdr:x>
      <cdr:y>0.548</cdr:y>
    </cdr:from>
    <cdr:to>
      <cdr:x>0.81321</cdr:x>
      <cdr:y>0.63215</cdr:y>
    </cdr:to>
    <cdr:sp macro="" textlink="">
      <cdr:nvSpPr>
        <cdr:cNvPr id="4" name="Text Box 1"/>
        <cdr:cNvSpPr txBox="1"/>
      </cdr:nvSpPr>
      <cdr:spPr>
        <a:xfrm xmlns:a="http://schemas.openxmlformats.org/drawingml/2006/main">
          <a:off x="4070350" y="1612901"/>
          <a:ext cx="228600" cy="247650"/>
        </a:xfrm>
        <a:prstGeom xmlns:a="http://schemas.openxmlformats.org/drawingml/2006/main" prst="rect">
          <a:avLst/>
        </a:prstGeom>
      </cdr:spPr>
    </cdr:sp>
  </cdr:relSizeAnchor>
  <cdr:relSizeAnchor xmlns:cdr="http://schemas.openxmlformats.org/drawingml/2006/chartDrawing">
    <cdr:from>
      <cdr:x>0.76997</cdr:x>
      <cdr:y>0.548</cdr:y>
    </cdr:from>
    <cdr:to>
      <cdr:x>0.81321</cdr:x>
      <cdr:y>0.63215</cdr:y>
    </cdr:to>
    <cdr:sp macro="" textlink="">
      <cdr:nvSpPr>
        <cdr:cNvPr id="5" name="Text Box 1"/>
        <cdr:cNvSpPr txBox="1"/>
      </cdr:nvSpPr>
      <cdr:spPr>
        <a:xfrm xmlns:a="http://schemas.openxmlformats.org/drawingml/2006/main">
          <a:off x="4070350" y="1612901"/>
          <a:ext cx="228600" cy="247650"/>
        </a:xfrm>
        <a:prstGeom xmlns:a="http://schemas.openxmlformats.org/drawingml/2006/main" prst="rect">
          <a:avLst/>
        </a:prstGeom>
      </cdr:spPr>
    </cdr:sp>
  </cdr:relSizeAnchor>
  <cdr:relSizeAnchor xmlns:cdr="http://schemas.openxmlformats.org/drawingml/2006/chartDrawing">
    <cdr:from>
      <cdr:x>0.90071</cdr:x>
      <cdr:y>0.41553</cdr:y>
    </cdr:from>
    <cdr:to>
      <cdr:x>0.98817</cdr:x>
      <cdr:y>0.58707</cdr:y>
    </cdr:to>
    <cdr:sp macro="" textlink="">
      <cdr:nvSpPr>
        <cdr:cNvPr id="6" name="Text Box 1"/>
        <cdr:cNvSpPr txBox="1"/>
      </cdr:nvSpPr>
      <cdr:spPr>
        <a:xfrm xmlns:a="http://schemas.openxmlformats.org/drawingml/2006/main">
          <a:off x="2641832" y="902927"/>
          <a:ext cx="256539" cy="372751"/>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t>   </a:t>
          </a:r>
          <a:r>
            <a:rPr lang="en-US" sz="900"/>
            <a:t>B</a:t>
          </a:r>
        </a:p>
      </cdr:txBody>
    </cdr:sp>
  </cdr:relSizeAnchor>
</c:userShapes>
</file>

<file path=word/drawings/drawing8.xml><?xml version="1.0" encoding="utf-8"?>
<c:userShapes xmlns:c="http://schemas.openxmlformats.org/drawingml/2006/chart">
  <cdr:relSizeAnchor xmlns:cdr="http://schemas.openxmlformats.org/drawingml/2006/chartDrawing">
    <cdr:from>
      <cdr:x>0.89419</cdr:x>
      <cdr:y>0.68283</cdr:y>
    </cdr:from>
    <cdr:to>
      <cdr:x>0.9849</cdr:x>
      <cdr:y>0.774</cdr:y>
    </cdr:to>
    <cdr:sp macro="" textlink="">
      <cdr:nvSpPr>
        <cdr:cNvPr id="3" name="Text Box 1"/>
        <cdr:cNvSpPr txBox="1"/>
      </cdr:nvSpPr>
      <cdr:spPr>
        <a:xfrm xmlns:a="http://schemas.openxmlformats.org/drawingml/2006/main">
          <a:off x="2531287" y="1737856"/>
          <a:ext cx="256785" cy="23203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900"/>
            <a:t>B</a:t>
          </a:r>
          <a:endParaRPr lang="en-US"/>
        </a:p>
      </cdr:txBody>
    </cdr:sp>
  </cdr:relSizeAnchor>
  <cdr:relSizeAnchor xmlns:cdr="http://schemas.openxmlformats.org/drawingml/2006/chartDrawing">
    <cdr:from>
      <cdr:x>0.78006</cdr:x>
      <cdr:y>0.54226</cdr:y>
    </cdr:from>
    <cdr:to>
      <cdr:x>0.83476</cdr:x>
      <cdr:y>0.63343</cdr:y>
    </cdr:to>
    <cdr:sp macro="" textlink="">
      <cdr:nvSpPr>
        <cdr:cNvPr id="4" name="Text Box 1"/>
        <cdr:cNvSpPr txBox="1"/>
      </cdr:nvSpPr>
      <cdr:spPr>
        <a:xfrm xmlns:a="http://schemas.openxmlformats.org/drawingml/2006/main">
          <a:off x="4346575" y="1812925"/>
          <a:ext cx="304800" cy="304800"/>
        </a:xfrm>
        <a:prstGeom xmlns:a="http://schemas.openxmlformats.org/drawingml/2006/main" prst="rect">
          <a:avLst/>
        </a:prstGeom>
      </cdr:spPr>
    </cdr:sp>
  </cdr:relSizeAnchor>
  <cdr:relSizeAnchor xmlns:cdr="http://schemas.openxmlformats.org/drawingml/2006/chartDrawing">
    <cdr:from>
      <cdr:x>0.78006</cdr:x>
      <cdr:y>0.54226</cdr:y>
    </cdr:from>
    <cdr:to>
      <cdr:x>0.83476</cdr:x>
      <cdr:y>0.63343</cdr:y>
    </cdr:to>
    <cdr:sp macro="" textlink="">
      <cdr:nvSpPr>
        <cdr:cNvPr id="5" name="Text Box 1"/>
        <cdr:cNvSpPr txBox="1"/>
      </cdr:nvSpPr>
      <cdr:spPr>
        <a:xfrm xmlns:a="http://schemas.openxmlformats.org/drawingml/2006/main">
          <a:off x="4346575" y="1812925"/>
          <a:ext cx="304800" cy="304800"/>
        </a:xfrm>
        <a:prstGeom xmlns:a="http://schemas.openxmlformats.org/drawingml/2006/main" prst="rect">
          <a:avLst/>
        </a:prstGeom>
      </cdr:spPr>
    </cdr:sp>
  </cdr:relSizeAnchor>
  <cdr:relSizeAnchor xmlns:cdr="http://schemas.openxmlformats.org/drawingml/2006/chartDrawing">
    <cdr:from>
      <cdr:x>0.89529</cdr:x>
      <cdr:y>0.64684</cdr:y>
    </cdr:from>
    <cdr:to>
      <cdr:x>0.97973</cdr:x>
      <cdr:y>0.73801</cdr:y>
    </cdr:to>
    <cdr:sp macro="" textlink="">
      <cdr:nvSpPr>
        <cdr:cNvPr id="6" name="Text Box 1"/>
        <cdr:cNvSpPr txBox="1"/>
      </cdr:nvSpPr>
      <cdr:spPr>
        <a:xfrm xmlns:a="http://schemas.openxmlformats.org/drawingml/2006/main">
          <a:off x="2534424" y="1646258"/>
          <a:ext cx="239035" cy="23203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900"/>
            <a:t>A</a:t>
          </a:r>
        </a:p>
      </cdr:txBody>
    </cdr:sp>
  </cdr:relSizeAnchor>
</c:userShapes>
</file>

<file path=word/drawings/drawing9.xml><?xml version="1.0" encoding="utf-8"?>
<c:userShapes xmlns:c="http://schemas.openxmlformats.org/drawingml/2006/chart">
  <cdr:relSizeAnchor xmlns:cdr="http://schemas.openxmlformats.org/drawingml/2006/chartDrawing">
    <cdr:from>
      <cdr:x>0.75349</cdr:x>
      <cdr:y>0.52487</cdr:y>
    </cdr:from>
    <cdr:to>
      <cdr:x>0.83721</cdr:x>
      <cdr:y>0.61338</cdr:y>
    </cdr:to>
    <cdr:sp macro="" textlink="">
      <cdr:nvSpPr>
        <cdr:cNvPr id="2" name="Text Box 1"/>
        <cdr:cNvSpPr txBox="1"/>
      </cdr:nvSpPr>
      <cdr:spPr>
        <a:xfrm xmlns:a="http://schemas.openxmlformats.org/drawingml/2006/main">
          <a:off x="4114800" y="1943095"/>
          <a:ext cx="457200" cy="3276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  A</a:t>
          </a:r>
        </a:p>
      </cdr:txBody>
    </cdr:sp>
  </cdr:relSizeAnchor>
  <cdr:relSizeAnchor xmlns:cdr="http://schemas.openxmlformats.org/drawingml/2006/chartDrawing">
    <cdr:from>
      <cdr:x>0.8905</cdr:x>
      <cdr:y>0.70017</cdr:y>
    </cdr:from>
    <cdr:to>
      <cdr:x>0.96873</cdr:x>
      <cdr:y>0.852</cdr:y>
    </cdr:to>
    <cdr:sp macro="" textlink="">
      <cdr:nvSpPr>
        <cdr:cNvPr id="3" name="Text Box 1"/>
        <cdr:cNvSpPr txBox="1"/>
      </cdr:nvSpPr>
      <cdr:spPr>
        <a:xfrm xmlns:a="http://schemas.openxmlformats.org/drawingml/2006/main">
          <a:off x="2648650" y="1665937"/>
          <a:ext cx="232682" cy="36125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900"/>
            <a:t>A</a:t>
          </a:r>
        </a:p>
      </cdr:txBody>
    </cdr:sp>
  </cdr:relSizeAnchor>
  <cdr:relSizeAnchor xmlns:cdr="http://schemas.openxmlformats.org/drawingml/2006/chartDrawing">
    <cdr:from>
      <cdr:x>0.89079</cdr:x>
      <cdr:y>0.41392</cdr:y>
    </cdr:from>
    <cdr:to>
      <cdr:x>0.97104</cdr:x>
      <cdr:y>0.55552</cdr:y>
    </cdr:to>
    <cdr:sp macro="" textlink="">
      <cdr:nvSpPr>
        <cdr:cNvPr id="4" name="Text Box 1"/>
        <cdr:cNvSpPr txBox="1"/>
      </cdr:nvSpPr>
      <cdr:spPr>
        <a:xfrm xmlns:a="http://schemas.openxmlformats.org/drawingml/2006/main">
          <a:off x="2649512" y="984860"/>
          <a:ext cx="238691" cy="33691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900"/>
            <a:t>B</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F57C6F-07A1-4479-9B9F-DF34DCEC1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23</Pages>
  <Words>23503</Words>
  <Characters>133970</Characters>
  <Application>Microsoft Office Word</Application>
  <DocSecurity>0</DocSecurity>
  <Lines>1116</Lines>
  <Paragraphs>314</Paragraphs>
  <ScaleCrop>false</ScaleCrop>
  <HeadingPairs>
    <vt:vector size="2" baseType="variant">
      <vt:variant>
        <vt:lpstr>Title</vt:lpstr>
      </vt:variant>
      <vt:variant>
        <vt:i4>1</vt:i4>
      </vt:variant>
    </vt:vector>
  </HeadingPairs>
  <TitlesOfParts>
    <vt:vector size="1" baseType="lpstr">
      <vt:lpstr/>
    </vt:vector>
  </TitlesOfParts>
  <Company>USDA</Company>
  <LinksUpToDate>false</LinksUpToDate>
  <CharactersWithSpaces>157159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Nenninger, Heather - NRCS, Forsyth, MT</dc:creator>
  <cp:keywords/>
  <dc:description/>
  <cp:lastModifiedBy>Nicola Koper</cp:lastModifiedBy>
  <cp:revision>6</cp:revision>
  <cp:lastPrinted>2017-06-27T15:12:00Z</cp:lastPrinted>
  <dcterms:created xsi:type="dcterms:W3CDTF">2017-10-31T20:40:00Z</dcterms:created>
  <dcterms:modified xsi:type="dcterms:W3CDTF">2019-06-11T16:46:00Z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vt:lpwstr>
  </property>
  <property fmtid="{D5CDD505-2E9C-101B-9397-08002B2CF9AE}" pid="9" name="Mendeley Recent Style Id 3_1">
    <vt:lpwstr>http://www.zotero.org/styles/biological-conservation</vt:lpwstr>
  </property>
  <property fmtid="{D5CDD505-2E9C-101B-9397-08002B2CF9AE}" pid="10" name="Mendeley Recent Style Name 3_1">
    <vt:lpwstr>Biological Conservation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16th edition (author-date)</vt:lpwstr>
  </property>
  <property fmtid="{D5CDD505-2E9C-101B-9397-08002B2CF9AE}" pid="13" name="Mendeley Recent Style Id 5_1">
    <vt:lpwstr>http://www.zotero.org/styles/harvard1</vt:lpwstr>
  </property>
  <property fmtid="{D5CDD505-2E9C-101B-9397-08002B2CF9AE}" pid="14" name="Mendeley Recent Style Name 5_1">
    <vt:lpwstr>Harvard Reference format 1 (author-date)</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7th edition</vt:lpwstr>
  </property>
  <property fmtid="{D5CDD505-2E9C-101B-9397-08002B2CF9AE}" pid="21" name="Mendeley Recent Style Id 9_1">
    <vt:lpwstr>http://www.zotero.org/styles/the-journal-of-wildlife-management</vt:lpwstr>
  </property>
  <property fmtid="{D5CDD505-2E9C-101B-9397-08002B2CF9AE}" pid="22" name="Mendeley Recent Style Name 9_1">
    <vt:lpwstr>The Journal of Wildlife Management</vt:lpwstr>
  </property>
  <property fmtid="{D5CDD505-2E9C-101B-9397-08002B2CF9AE}" pid="23" name="Mendeley Unique User Id_1">
    <vt:lpwstr>82494ed0-ab94-3842-99d5-b3d18188b29c</vt:lpwstr>
  </property>
  <property fmtid="{D5CDD505-2E9C-101B-9397-08002B2CF9AE}" pid="24" name="Mendeley Citation Style_1">
    <vt:lpwstr>http://www.zotero.org/styles/biological-conservation</vt:lpwstr>
  </property>
</Properties>
</file>