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rFonts w:ascii="Century Gothic" w:cs="Century Gothic" w:eastAsia="Century Gothic" w:hAnsi="Century Gothic"/>
          <w:b w:val="1"/>
        </w:rPr>
      </w:pPr>
      <w:r w:rsidDel="00000000" w:rsidR="00000000" w:rsidRPr="00000000">
        <w:rPr>
          <w:rtl w:val="0"/>
        </w:rPr>
      </w:r>
    </w:p>
    <w:p w:rsidR="00000000" w:rsidDel="00000000" w:rsidP="00000000" w:rsidRDefault="00000000" w:rsidRPr="00000000" w14:paraId="00000002">
      <w:pPr>
        <w:pageBreakBefore w:val="0"/>
        <w:rPr>
          <w:rFonts w:ascii="Century Gothic" w:cs="Century Gothic" w:eastAsia="Century Gothic" w:hAnsi="Century Gothic"/>
        </w:rPr>
      </w:pPr>
      <w:r w:rsidDel="00000000" w:rsidR="00000000" w:rsidRPr="00000000">
        <w:rPr>
          <w:rFonts w:ascii="Century Gothic" w:cs="Century Gothic" w:eastAsia="Century Gothic" w:hAnsi="Century Gothic"/>
          <w:b w:val="1"/>
          <w:rtl w:val="0"/>
        </w:rPr>
        <w:t xml:space="preserve">Slide 1: </w:t>
      </w:r>
      <w:r w:rsidDel="00000000" w:rsidR="00000000" w:rsidRPr="00000000">
        <w:rPr>
          <w:rFonts w:ascii="Century Gothic" w:cs="Century Gothic" w:eastAsia="Century Gothic" w:hAnsi="Century Gothic"/>
          <w:rtl w:val="0"/>
        </w:rPr>
        <w:t xml:space="preserve">Welcome to our talk: Unbundling ClinicalKey. My name is Mê-Linh Lê and my co-authors are Janet Rothney and Janice Winkler</w:t>
      </w:r>
    </w:p>
    <w:p w:rsidR="00000000" w:rsidDel="00000000" w:rsidP="00000000" w:rsidRDefault="00000000" w:rsidRPr="00000000" w14:paraId="00000003">
      <w:pPr>
        <w:pageBreakBefore w:val="0"/>
        <w:rPr>
          <w:rFonts w:ascii="Century Gothic" w:cs="Century Gothic" w:eastAsia="Century Gothic" w:hAnsi="Century Gothic"/>
        </w:rPr>
      </w:pPr>
      <w:r w:rsidDel="00000000" w:rsidR="00000000" w:rsidRPr="00000000">
        <w:rPr>
          <w:rtl w:val="0"/>
        </w:rPr>
      </w:r>
    </w:p>
    <w:p w:rsidR="00000000" w:rsidDel="00000000" w:rsidP="00000000" w:rsidRDefault="00000000" w:rsidRPr="00000000" w14:paraId="00000004">
      <w:pPr>
        <w:pageBreakBefore w:val="0"/>
        <w:rPr>
          <w:rFonts w:ascii="Century Gothic" w:cs="Century Gothic" w:eastAsia="Century Gothic" w:hAnsi="Century Gothic"/>
        </w:rPr>
      </w:pPr>
      <w:r w:rsidDel="00000000" w:rsidR="00000000" w:rsidRPr="00000000">
        <w:rPr>
          <w:rFonts w:ascii="Century Gothic" w:cs="Century Gothic" w:eastAsia="Century Gothic" w:hAnsi="Century Gothic"/>
          <w:b w:val="1"/>
          <w:rtl w:val="0"/>
        </w:rPr>
        <w:t xml:space="preserve">Slide 2: </w:t>
      </w:r>
      <w:r w:rsidDel="00000000" w:rsidR="00000000" w:rsidRPr="00000000">
        <w:rPr>
          <w:rFonts w:ascii="Century Gothic" w:cs="Century Gothic" w:eastAsia="Century Gothic" w:hAnsi="Century Gothic"/>
          <w:rtl w:val="0"/>
        </w:rPr>
        <w:t xml:space="preserve">So what is ClinicalKey? It is an Elsevier product launched in 2012. Sold to health organizations as a combined database and search engine - basically a ‘total package’, ClinicalKey was created with input from thousands of clinicians and was designed to act as a single platform for clinical questions that pulled answers from Elsevier’s large collections of electronic books and journals, an integrated Medline search engine, patient guidelines, procedural videos, and more. However, in 2019, when this project began, and today in 2021 -  although heavily used, at the University of Manitoba it basically acts as a collection of electronic textbooks, primarily focused on undergraduate and postgraduate medical education. Due to ever rising subscription costs, decreasing library budgets, as well as discussions around how the Library as a whole should support textbooks led to this project to evaluating whether to continue subscribing to ClinicalKey OR whether to unbundle it and subscribe to just the key resources needed.</w:t>
      </w:r>
    </w:p>
    <w:p w:rsidR="00000000" w:rsidDel="00000000" w:rsidP="00000000" w:rsidRDefault="00000000" w:rsidRPr="00000000" w14:paraId="00000005">
      <w:pPr>
        <w:pageBreakBefore w:val="0"/>
        <w:rPr>
          <w:rFonts w:ascii="Century Gothic" w:cs="Century Gothic" w:eastAsia="Century Gothic" w:hAnsi="Century Gothic"/>
          <w:b w:val="1"/>
        </w:rPr>
      </w:pPr>
      <w:r w:rsidDel="00000000" w:rsidR="00000000" w:rsidRPr="00000000">
        <w:rPr>
          <w:rtl w:val="0"/>
        </w:rPr>
      </w:r>
    </w:p>
    <w:p w:rsidR="00000000" w:rsidDel="00000000" w:rsidP="00000000" w:rsidRDefault="00000000" w:rsidRPr="00000000" w14:paraId="00000006">
      <w:pPr>
        <w:pageBreakBefore w:val="0"/>
        <w:rPr>
          <w:rFonts w:ascii="Century Gothic" w:cs="Century Gothic" w:eastAsia="Century Gothic" w:hAnsi="Century Gothic"/>
        </w:rPr>
      </w:pPr>
      <w:r w:rsidDel="00000000" w:rsidR="00000000" w:rsidRPr="00000000">
        <w:rPr>
          <w:rFonts w:ascii="Century Gothic" w:cs="Century Gothic" w:eastAsia="Century Gothic" w:hAnsi="Century Gothic"/>
          <w:b w:val="1"/>
          <w:rtl w:val="0"/>
        </w:rPr>
        <w:t xml:space="preserve">Slide 3: </w:t>
      </w:r>
      <w:r w:rsidDel="00000000" w:rsidR="00000000" w:rsidRPr="00000000">
        <w:rPr>
          <w:rFonts w:ascii="Century Gothic" w:cs="Century Gothic" w:eastAsia="Century Gothic" w:hAnsi="Century Gothic"/>
          <w:rtl w:val="0"/>
        </w:rPr>
        <w:t xml:space="preserve">We began in October 2019. Our timeline was largely determined by the renewal deadline and the acknowledgement that if we were to cancel we would need sufficient time to purchase unbundled resources to fill the gap. Our first step was gathering usage data. We began by gathering usage statistics for Clinical Key contents, and then requested overlap analysis to identify which books and journals were unique resources at our institution. Next we combined these spreadsheets to look at the most well used sources that were unique to Clinical Key. We then gathered information from outside sources. Because we’re not collections librarians, we did some reading on collection analysis projects and talked to librarians at Dalhousie as they had recently cancelled Clinical Key. Based on our data which allowed us to see highly used titles unique to CK, we requested quotes to identify replacement costs of our most highly used books - those with over 100 uses over the course of the 3 most recent years, of which there were 220 - and journals with over 100 uses over the past year, of which there were 19. Finally, we used all this gathered information to compare the cost of replacement of these resources to our expected renewal price, in order to decide if the reduction in service and reduction in costs balanced out.</w:t>
      </w:r>
    </w:p>
    <w:p w:rsidR="00000000" w:rsidDel="00000000" w:rsidP="00000000" w:rsidRDefault="00000000" w:rsidRPr="00000000" w14:paraId="00000007">
      <w:pPr>
        <w:pageBreakBefore w:val="0"/>
        <w:rPr>
          <w:rFonts w:ascii="Century Gothic" w:cs="Century Gothic" w:eastAsia="Century Gothic" w:hAnsi="Century Gothic"/>
        </w:rPr>
      </w:pPr>
      <w:r w:rsidDel="00000000" w:rsidR="00000000" w:rsidRPr="00000000">
        <w:rPr>
          <w:rtl w:val="0"/>
        </w:rPr>
      </w:r>
    </w:p>
    <w:p w:rsidR="00000000" w:rsidDel="00000000" w:rsidP="00000000" w:rsidRDefault="00000000" w:rsidRPr="00000000" w14:paraId="00000008">
      <w:pPr>
        <w:pageBreakBefore w:val="0"/>
        <w:rPr>
          <w:rFonts w:ascii="Century Gothic" w:cs="Century Gothic" w:eastAsia="Century Gothic" w:hAnsi="Century Gothic"/>
        </w:rPr>
      </w:pPr>
      <w:r w:rsidDel="00000000" w:rsidR="00000000" w:rsidRPr="00000000">
        <w:rPr>
          <w:rFonts w:ascii="Century Gothic" w:cs="Century Gothic" w:eastAsia="Century Gothic" w:hAnsi="Century Gothic"/>
          <w:b w:val="1"/>
          <w:rtl w:val="0"/>
        </w:rPr>
        <w:t xml:space="preserve">Slide 4: </w:t>
      </w:r>
      <w:r w:rsidDel="00000000" w:rsidR="00000000" w:rsidRPr="00000000">
        <w:rPr>
          <w:rFonts w:ascii="Century Gothic" w:cs="Century Gothic" w:eastAsia="Century Gothic" w:hAnsi="Century Gothic"/>
          <w:rtl w:val="0"/>
        </w:rPr>
        <w:t xml:space="preserve">Once we had our most used titles (220 books and 19 journals) we determined that only 152 books and 11 journal titles were available to buy. Many titles were unavailable outside of bundles, and with 1-3 seat access only. 31% of the most used book titles are not available electronically at all. Running the numbers showed that costs to replace those books and journals we could buy worked out to 78% of the total renewal price of CK, with greatly inferior access and without taking into account the unstated staff hours it would take to coordinate all these purchases.</w:t>
      </w:r>
    </w:p>
    <w:p w:rsidR="00000000" w:rsidDel="00000000" w:rsidP="00000000" w:rsidRDefault="00000000" w:rsidRPr="00000000" w14:paraId="00000009">
      <w:pPr>
        <w:pageBreakBefore w:val="0"/>
        <w:rPr>
          <w:rFonts w:ascii="Century Gothic" w:cs="Century Gothic" w:eastAsia="Century Gothic" w:hAnsi="Century Gothic"/>
        </w:rPr>
      </w:pPr>
      <w:r w:rsidDel="00000000" w:rsidR="00000000" w:rsidRPr="00000000">
        <w:rPr>
          <w:rtl w:val="0"/>
        </w:rPr>
      </w:r>
    </w:p>
    <w:p w:rsidR="00000000" w:rsidDel="00000000" w:rsidP="00000000" w:rsidRDefault="00000000" w:rsidRPr="00000000" w14:paraId="0000000A">
      <w:pPr>
        <w:pageBreakBefore w:val="0"/>
        <w:rPr>
          <w:rFonts w:ascii="Century Gothic" w:cs="Century Gothic" w:eastAsia="Century Gothic" w:hAnsi="Century Gothic"/>
        </w:rPr>
      </w:pPr>
      <w:r w:rsidDel="00000000" w:rsidR="00000000" w:rsidRPr="00000000">
        <w:rPr>
          <w:rFonts w:ascii="Century Gothic" w:cs="Century Gothic" w:eastAsia="Century Gothic" w:hAnsi="Century Gothic"/>
          <w:rtl w:val="0"/>
        </w:rPr>
        <w:t xml:space="preserve">For us, in spring of 2020 it didn’t make sense to cancel.  However, the threat of budget cuts and ever-increasing renewal costs remains a reality. At some point we will no longer be able to sustain renewals, and it will require major efforts to find alternative sources for curriculum, or a much heavier burden on students who will then have to rely on personal copies for the most part. Another factor that developed around the same time was an increased interest within our Library to support electronic textbook purchases across subjects that in the past had not focused collection development on this avenue. Discussions of equity across subjects is as always, complex.</w:t>
      </w:r>
    </w:p>
    <w:p w:rsidR="00000000" w:rsidDel="00000000" w:rsidP="00000000" w:rsidRDefault="00000000" w:rsidRPr="00000000" w14:paraId="0000000B">
      <w:pPr>
        <w:pageBreakBefore w:val="0"/>
        <w:rPr>
          <w:rFonts w:ascii="Century Gothic" w:cs="Century Gothic" w:eastAsia="Century Gothic" w:hAnsi="Century Gothic"/>
        </w:rPr>
      </w:pPr>
      <w:r w:rsidDel="00000000" w:rsidR="00000000" w:rsidRPr="00000000">
        <w:rPr>
          <w:rtl w:val="0"/>
        </w:rPr>
      </w:r>
    </w:p>
    <w:p w:rsidR="00000000" w:rsidDel="00000000" w:rsidP="00000000" w:rsidRDefault="00000000" w:rsidRPr="00000000" w14:paraId="0000000C">
      <w:pPr>
        <w:pageBreakBefore w:val="0"/>
        <w:rPr>
          <w:rFonts w:ascii="Century Gothic" w:cs="Century Gothic" w:eastAsia="Century Gothic" w:hAnsi="Century Gothic"/>
        </w:rPr>
      </w:pPr>
      <w:r w:rsidDel="00000000" w:rsidR="00000000" w:rsidRPr="00000000">
        <w:rPr>
          <w:rFonts w:ascii="Century Gothic" w:cs="Century Gothic" w:eastAsia="Century Gothic" w:hAnsi="Century Gothic"/>
          <w:rtl w:val="0"/>
        </w:rPr>
        <w:t xml:space="preserve">As a profession, and within academia overall, we need to find ways to overcome challenges such as this. OERs may be the solution in some fields, but not all. Textbook support within Library collections happened for us organically, and the students and instructors have come to rely on our access. Perhaps this means there should be more support from Faculties who benefit from our textbook packages? Do we make these decisions with specialist involvement (ie. liaisons) but also at a higher level within the library/academy/institution? Another option is to learn to let go of core resources always coming from our own resources. CMA provides Clinical Key content to all medical students and clinicians across the country. It may become necessary to utilize those extra-institutional resources more and more if prices continue to rise and budgets begin/continue to fall.</w:t>
      </w:r>
    </w:p>
    <w:p w:rsidR="00000000" w:rsidDel="00000000" w:rsidP="00000000" w:rsidRDefault="00000000" w:rsidRPr="00000000" w14:paraId="0000000D">
      <w:pPr>
        <w:pageBreakBefore w:val="0"/>
        <w:rPr>
          <w:rFonts w:ascii="Century Gothic" w:cs="Century Gothic" w:eastAsia="Century Gothic" w:hAnsi="Century Gothic"/>
        </w:rPr>
      </w:pPr>
      <w:r w:rsidDel="00000000" w:rsidR="00000000" w:rsidRPr="00000000">
        <w:rPr>
          <w:rtl w:val="0"/>
        </w:rPr>
      </w:r>
    </w:p>
    <w:p w:rsidR="00000000" w:rsidDel="00000000" w:rsidP="00000000" w:rsidRDefault="00000000" w:rsidRPr="00000000" w14:paraId="0000000E">
      <w:pPr>
        <w:pageBreakBefore w:val="0"/>
        <w:rPr>
          <w:rFonts w:ascii="Century Gothic" w:cs="Century Gothic" w:eastAsia="Century Gothic" w:hAnsi="Century Gothic"/>
        </w:rPr>
      </w:pPr>
      <w:r w:rsidDel="00000000" w:rsidR="00000000" w:rsidRPr="00000000">
        <w:rPr>
          <w:rFonts w:ascii="Century Gothic" w:cs="Century Gothic" w:eastAsia="Century Gothic" w:hAnsi="Century Gothic"/>
          <w:rtl w:val="0"/>
        </w:rPr>
        <w:t xml:space="preserve">[Unique journals - 58% available to repurchase (11/19)</w:t>
      </w:r>
    </w:p>
    <w:p w:rsidR="00000000" w:rsidDel="00000000" w:rsidP="00000000" w:rsidRDefault="00000000" w:rsidRPr="00000000" w14:paraId="0000000F">
      <w:pPr>
        <w:pageBreakBefore w:val="0"/>
        <w:rPr>
          <w:rFonts w:ascii="Century Gothic" w:cs="Century Gothic" w:eastAsia="Century Gothic" w:hAnsi="Century Gothic"/>
        </w:rPr>
      </w:pPr>
      <w:r w:rsidDel="00000000" w:rsidR="00000000" w:rsidRPr="00000000">
        <w:rPr>
          <w:rFonts w:ascii="Century Gothic" w:cs="Century Gothic" w:eastAsia="Century Gothic" w:hAnsi="Century Gothic"/>
          <w:rtl w:val="0"/>
        </w:rPr>
        <w:t xml:space="preserve">High use books (+100 uses over 3 years) - 69% available to repurchase (152/220) 1-3 seat licenses; no unlimited options</w:t>
      </w:r>
    </w:p>
    <w:p w:rsidR="00000000" w:rsidDel="00000000" w:rsidP="00000000" w:rsidRDefault="00000000" w:rsidRPr="00000000" w14:paraId="00000010">
      <w:pPr>
        <w:pageBreakBefore w:val="0"/>
        <w:rPr>
          <w:rFonts w:ascii="Century Gothic" w:cs="Century Gothic" w:eastAsia="Century Gothic" w:hAnsi="Century Gothic"/>
        </w:rPr>
      </w:pPr>
      <w:r w:rsidDel="00000000" w:rsidR="00000000" w:rsidRPr="00000000">
        <w:rPr>
          <w:rFonts w:ascii="Century Gothic" w:cs="Century Gothic" w:eastAsia="Century Gothic" w:hAnsi="Century Gothic"/>
          <w:rtl w:val="0"/>
        </w:rPr>
        <w:t xml:space="preserve">Total cost - 78% of the total cost of CK would be spent re-purchasing what we most needed, with inferior access]</w:t>
      </w:r>
    </w:p>
    <w:p w:rsidR="00000000" w:rsidDel="00000000" w:rsidP="00000000" w:rsidRDefault="00000000" w:rsidRPr="00000000" w14:paraId="00000011">
      <w:pPr>
        <w:pageBreakBefore w:val="0"/>
        <w:rPr>
          <w:rFonts w:ascii="Century Gothic" w:cs="Century Gothic" w:eastAsia="Century Gothic" w:hAnsi="Century Gothic"/>
        </w:rPr>
      </w:pPr>
      <w:r w:rsidDel="00000000" w:rsidR="00000000" w:rsidRPr="00000000">
        <w:rPr>
          <w:rtl w:val="0"/>
        </w:rPr>
      </w:r>
    </w:p>
    <w:p w:rsidR="00000000" w:rsidDel="00000000" w:rsidP="00000000" w:rsidRDefault="00000000" w:rsidRPr="00000000" w14:paraId="00000012">
      <w:pPr>
        <w:pageBreakBefore w:val="0"/>
        <w:rPr>
          <w:rFonts w:ascii="Century Gothic" w:cs="Century Gothic" w:eastAsia="Century Gothic" w:hAnsi="Century Gothic"/>
        </w:rPr>
      </w:pPr>
      <w:r w:rsidDel="00000000" w:rsidR="00000000" w:rsidRPr="00000000">
        <w:rPr>
          <w:rtl w:val="0"/>
        </w:rPr>
      </w:r>
    </w:p>
    <w:p w:rsidR="00000000" w:rsidDel="00000000" w:rsidP="00000000" w:rsidRDefault="00000000" w:rsidRPr="00000000" w14:paraId="00000013">
      <w:pPr>
        <w:pageBreakBefore w:val="0"/>
        <w:rPr>
          <w:rFonts w:ascii="Century Gothic" w:cs="Century Gothic" w:eastAsia="Century Gothic" w:hAnsi="Century Gothic"/>
        </w:rPr>
      </w:pPr>
      <w:r w:rsidDel="00000000" w:rsidR="00000000" w:rsidRPr="00000000">
        <w:rPr>
          <w:rtl w:val="0"/>
        </w:rPr>
      </w:r>
    </w:p>
    <w:p w:rsidR="00000000" w:rsidDel="00000000" w:rsidP="00000000" w:rsidRDefault="00000000" w:rsidRPr="00000000" w14:paraId="00000014">
      <w:pPr>
        <w:pageBreakBefore w:val="0"/>
        <w:rPr>
          <w:rFonts w:ascii="Century Gothic" w:cs="Century Gothic" w:eastAsia="Century Gothic" w:hAnsi="Century Gothic"/>
        </w:rPr>
      </w:pPr>
      <w:r w:rsidDel="00000000" w:rsidR="00000000" w:rsidRPr="00000000">
        <w:rPr>
          <w:rtl w:val="0"/>
        </w:rPr>
      </w:r>
    </w:p>
    <w:p w:rsidR="00000000" w:rsidDel="00000000" w:rsidP="00000000" w:rsidRDefault="00000000" w:rsidRPr="00000000" w14:paraId="00000015">
      <w:pPr>
        <w:pageBreakBefore w:val="0"/>
        <w:rPr>
          <w:rFonts w:ascii="Century Gothic" w:cs="Century Gothic" w:eastAsia="Century Gothic" w:hAnsi="Century Gothic"/>
        </w:rPr>
      </w:pPr>
      <w:r w:rsidDel="00000000" w:rsidR="00000000" w:rsidRPr="00000000">
        <w:rPr>
          <w:rtl w:val="0"/>
        </w:rPr>
      </w:r>
    </w:p>
    <w:p w:rsidR="00000000" w:rsidDel="00000000" w:rsidP="00000000" w:rsidRDefault="00000000" w:rsidRPr="00000000" w14:paraId="00000016">
      <w:pPr>
        <w:pageBreakBefore w:val="0"/>
        <w:rPr>
          <w:rFonts w:ascii="Century Gothic" w:cs="Century Gothic" w:eastAsia="Century Gothic" w:hAnsi="Century Gothic"/>
        </w:rPr>
      </w:pPr>
      <w:r w:rsidDel="00000000" w:rsidR="00000000" w:rsidRPr="00000000">
        <w:rPr>
          <w:rtl w:val="0"/>
        </w:rPr>
      </w:r>
    </w:p>
    <w:p w:rsidR="00000000" w:rsidDel="00000000" w:rsidP="00000000" w:rsidRDefault="00000000" w:rsidRPr="00000000" w14:paraId="00000017">
      <w:pPr>
        <w:pageBreakBefore w:val="0"/>
        <w:rPr>
          <w:rFonts w:ascii="Century Gothic" w:cs="Century Gothic" w:eastAsia="Century Gothic" w:hAnsi="Century Gothic"/>
        </w:rPr>
      </w:pPr>
      <w:r w:rsidDel="00000000" w:rsidR="00000000" w:rsidRPr="00000000">
        <w:rPr>
          <w:rtl w:val="0"/>
        </w:rPr>
      </w:r>
    </w:p>
    <w:p w:rsidR="00000000" w:rsidDel="00000000" w:rsidP="00000000" w:rsidRDefault="00000000" w:rsidRPr="00000000" w14:paraId="00000018">
      <w:pPr>
        <w:pageBreakBefore w:val="0"/>
        <w:rPr>
          <w:rFonts w:ascii="Century Gothic" w:cs="Century Gothic" w:eastAsia="Century Gothic" w:hAnsi="Century Gothic"/>
        </w:rPr>
      </w:pPr>
      <w:r w:rsidDel="00000000" w:rsidR="00000000" w:rsidRPr="00000000">
        <w:rPr>
          <w:rtl w:val="0"/>
        </w:rPr>
      </w:r>
    </w:p>
    <w:p w:rsidR="00000000" w:rsidDel="00000000" w:rsidP="00000000" w:rsidRDefault="00000000" w:rsidRPr="00000000" w14:paraId="00000019">
      <w:pPr>
        <w:pageBreakBefore w:val="0"/>
        <w:rPr/>
      </w:pPr>
      <w:r w:rsidDel="00000000" w:rsidR="00000000" w:rsidRPr="00000000">
        <w:rPr>
          <w:rtl w:val="0"/>
        </w:rPr>
      </w:r>
    </w:p>
    <w:sectPr>
      <w:headerReference r:id="rId6"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entury Gothic">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A">
    <w:pPr>
      <w:pageBreakBefore w:val="0"/>
      <w:rPr>
        <w:rFonts w:ascii="Century Gothic" w:cs="Century Gothic" w:eastAsia="Century Gothic" w:hAnsi="Century Gothic"/>
        <w:b w:val="1"/>
      </w:rPr>
    </w:pPr>
    <w:r w:rsidDel="00000000" w:rsidR="00000000" w:rsidRPr="00000000">
      <w:rPr>
        <w:rFonts w:ascii="Century Gothic" w:cs="Century Gothic" w:eastAsia="Century Gothic" w:hAnsi="Century Gothic"/>
        <w:b w:val="1"/>
        <w:rtl w:val="0"/>
      </w:rPr>
      <w:t xml:space="preserve">Unbundling ClinicalKey - Transcript</w:t>
    </w:r>
  </w:p>
  <w:p w:rsidR="00000000" w:rsidDel="00000000" w:rsidP="00000000" w:rsidRDefault="00000000" w:rsidRPr="00000000" w14:paraId="0000001B">
    <w:pPr>
      <w:pageBreakBefore w:val="0"/>
      <w:rPr>
        <w:rFonts w:ascii="Century Gothic" w:cs="Century Gothic" w:eastAsia="Century Gothic" w:hAnsi="Century Gothic"/>
      </w:rPr>
    </w:pPr>
    <w:r w:rsidDel="00000000" w:rsidR="00000000" w:rsidRPr="00000000">
      <w:rPr>
        <w:rFonts w:ascii="Century Gothic" w:cs="Century Gothic" w:eastAsia="Century Gothic" w:hAnsi="Century Gothic"/>
        <w:rtl w:val="0"/>
      </w:rPr>
      <w:t xml:space="preserve">June 11, 2021</w:t>
    </w:r>
  </w:p>
  <w:p w:rsidR="00000000" w:rsidDel="00000000" w:rsidP="00000000" w:rsidRDefault="00000000" w:rsidRPr="00000000" w14:paraId="0000001C">
    <w:pPr>
      <w:pageBreakBefore w:val="0"/>
      <w:rPr>
        <w:rFonts w:ascii="Century Gothic" w:cs="Century Gothic" w:eastAsia="Century Gothic" w:hAnsi="Century Gothic"/>
      </w:rPr>
    </w:pPr>
    <w:r w:rsidDel="00000000" w:rsidR="00000000" w:rsidRPr="00000000">
      <w:rPr>
        <w:rFonts w:ascii="Century Gothic" w:cs="Century Gothic" w:eastAsia="Century Gothic" w:hAnsi="Century Gothic"/>
        <w:rtl w:val="0"/>
      </w:rPr>
      <w:t xml:space="preserve">CHLA/ABSC 2021 Lightning Talk</w:t>
    </w:r>
  </w:p>
  <w:p w:rsidR="00000000" w:rsidDel="00000000" w:rsidP="00000000" w:rsidRDefault="00000000" w:rsidRPr="00000000" w14:paraId="0000001D">
    <w:pPr>
      <w:pageBreakBefore w:val="0"/>
      <w:rPr>
        <w:rFonts w:ascii="Century Gothic" w:cs="Century Gothic" w:eastAsia="Century Gothic" w:hAnsi="Century Gothic"/>
      </w:rPr>
    </w:pPr>
    <w:r w:rsidDel="00000000" w:rsidR="00000000" w:rsidRPr="00000000">
      <w:rPr>
        <w:rFonts w:ascii="Century Gothic" w:cs="Century Gothic" w:eastAsia="Century Gothic" w:hAnsi="Century Gothic"/>
        <w:rtl w:val="0"/>
      </w:rPr>
      <w:t xml:space="preserve">Mê-Linh Lê, Janet Rotney, and Janice Winkler</w:t>
    </w:r>
  </w:p>
  <w:p w:rsidR="00000000" w:rsidDel="00000000" w:rsidP="00000000" w:rsidRDefault="00000000" w:rsidRPr="00000000" w14:paraId="0000001E">
    <w:pPr>
      <w:pageBreakBefore w:val="0"/>
      <w:rPr>
        <w:rFonts w:ascii="Century Gothic" w:cs="Century Gothic" w:eastAsia="Century Gothic" w:hAnsi="Century Gothic"/>
      </w:rPr>
    </w:pPr>
    <w:r w:rsidDel="00000000" w:rsidR="00000000" w:rsidRPr="00000000">
      <w:rPr>
        <w:rFonts w:ascii="Century Gothic" w:cs="Century Gothic" w:eastAsia="Century Gothic" w:hAnsi="Century Gothic"/>
        <w:rtl w:val="0"/>
      </w:rPr>
      <w:t xml:space="preserve">University of Manitoba Library</w: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CenturyGothic-regular.ttf"/><Relationship Id="rId2" Type="http://schemas.openxmlformats.org/officeDocument/2006/relationships/font" Target="fonts/CenturyGothic-bold.ttf"/><Relationship Id="rId3" Type="http://schemas.openxmlformats.org/officeDocument/2006/relationships/font" Target="fonts/CenturyGothic-italic.ttf"/><Relationship Id="rId4" Type="http://schemas.openxmlformats.org/officeDocument/2006/relationships/font" Target="fonts/CenturyGothic-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