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A3D25" w:rsidRDefault="00AA3D25" w:rsidP="00DD3744">
      <w:pPr>
        <w:spacing w:line="480" w:lineRule="auto"/>
        <w:jc w:val="center"/>
        <w:rPr>
          <w:color w:val="000000"/>
        </w:rPr>
      </w:pPr>
    </w:p>
    <w:p w:rsidR="00AA3D25" w:rsidRDefault="00AA3D25" w:rsidP="00DD3744">
      <w:pPr>
        <w:spacing w:line="480" w:lineRule="auto"/>
        <w:jc w:val="center"/>
        <w:rPr>
          <w:color w:val="000000"/>
        </w:rPr>
      </w:pPr>
    </w:p>
    <w:p w:rsidR="00AA3D25" w:rsidRDefault="005C6640" w:rsidP="00DD3744">
      <w:pPr>
        <w:spacing w:line="480" w:lineRule="auto"/>
        <w:jc w:val="center"/>
        <w:rPr>
          <w:color w:val="000000"/>
        </w:rPr>
      </w:pPr>
      <w:r>
        <w:rPr>
          <w:color w:val="000000"/>
        </w:rPr>
        <w:t>Accessibility: Physicians’ Perspective Regarding Disability and Continuum of Care in the Contemporary Canadian Healthcare</w:t>
      </w:r>
    </w:p>
    <w:p w:rsidR="00AA3D25" w:rsidRDefault="00AA3D25" w:rsidP="00DD3744">
      <w:pPr>
        <w:spacing w:line="480" w:lineRule="auto"/>
        <w:jc w:val="center"/>
        <w:rPr>
          <w:rFonts w:eastAsia="Calibri"/>
          <w:lang w:val="en-CA"/>
        </w:rPr>
      </w:pPr>
    </w:p>
    <w:p w:rsidR="00AA3D25" w:rsidRDefault="00987D2A" w:rsidP="00DD3744">
      <w:pPr>
        <w:spacing w:line="480" w:lineRule="auto"/>
        <w:jc w:val="center"/>
        <w:rPr>
          <w:color w:val="000000"/>
        </w:rPr>
      </w:pPr>
      <w:r>
        <w:rPr>
          <w:color w:val="000000"/>
        </w:rPr>
        <w:t>By</w:t>
      </w:r>
    </w:p>
    <w:p w:rsidR="00AA3D25" w:rsidRDefault="00AA3D25" w:rsidP="00DD3744">
      <w:pPr>
        <w:spacing w:line="480" w:lineRule="auto"/>
        <w:jc w:val="center"/>
        <w:rPr>
          <w:color w:val="000000"/>
        </w:rPr>
      </w:pPr>
    </w:p>
    <w:p w:rsidR="00AA3D25" w:rsidRDefault="005C6640" w:rsidP="00DD3744">
      <w:pPr>
        <w:spacing w:line="480" w:lineRule="auto"/>
        <w:jc w:val="center"/>
        <w:rPr>
          <w:color w:val="000000"/>
        </w:rPr>
      </w:pPr>
      <w:r>
        <w:rPr>
          <w:color w:val="000000"/>
        </w:rPr>
        <w:t>Sidra Jawed</w:t>
      </w:r>
    </w:p>
    <w:p w:rsidR="00AA3D25" w:rsidRDefault="00AA3D25" w:rsidP="00DD3744">
      <w:pPr>
        <w:spacing w:line="480" w:lineRule="auto"/>
        <w:jc w:val="center"/>
        <w:rPr>
          <w:color w:val="000000"/>
        </w:rPr>
      </w:pPr>
    </w:p>
    <w:p w:rsidR="00AA3D25" w:rsidRDefault="00AA3D25" w:rsidP="00DD3744">
      <w:pPr>
        <w:spacing w:line="480" w:lineRule="auto"/>
        <w:rPr>
          <w:color w:val="000000"/>
        </w:rPr>
      </w:pPr>
    </w:p>
    <w:p w:rsidR="00AA3D25" w:rsidRDefault="00034969" w:rsidP="00DD3744">
      <w:pPr>
        <w:spacing w:line="480" w:lineRule="auto"/>
        <w:jc w:val="center"/>
        <w:rPr>
          <w:color w:val="000000"/>
        </w:rPr>
      </w:pPr>
      <w:r>
        <w:rPr>
          <w:color w:val="000000"/>
        </w:rPr>
        <w:t xml:space="preserve">A </w:t>
      </w:r>
      <w:r w:rsidR="005C6640">
        <w:rPr>
          <w:color w:val="000000"/>
        </w:rPr>
        <w:t>Thesis submitted to the Faculty of Graduate Studies of</w:t>
      </w:r>
    </w:p>
    <w:p w:rsidR="00AA3D25" w:rsidRDefault="005C6640" w:rsidP="00DD3744">
      <w:pPr>
        <w:spacing w:line="480" w:lineRule="auto"/>
        <w:jc w:val="center"/>
        <w:rPr>
          <w:color w:val="000000"/>
        </w:rPr>
      </w:pPr>
      <w:r>
        <w:rPr>
          <w:color w:val="000000"/>
        </w:rPr>
        <w:t>The University of Manitoba</w:t>
      </w:r>
    </w:p>
    <w:p w:rsidR="00AA3D25" w:rsidRDefault="005C6640" w:rsidP="00DD3744">
      <w:pPr>
        <w:spacing w:line="480" w:lineRule="auto"/>
        <w:jc w:val="center"/>
        <w:rPr>
          <w:color w:val="000000"/>
        </w:rPr>
      </w:pPr>
      <w:r>
        <w:rPr>
          <w:color w:val="000000"/>
        </w:rPr>
        <w:t>In partial fulfilment of the requirement of the degree of</w:t>
      </w:r>
    </w:p>
    <w:p w:rsidR="00AA3D25" w:rsidRDefault="00AA3D25" w:rsidP="00DD3744">
      <w:pPr>
        <w:spacing w:line="480" w:lineRule="auto"/>
        <w:jc w:val="center"/>
        <w:rPr>
          <w:color w:val="000000"/>
        </w:rPr>
      </w:pPr>
    </w:p>
    <w:p w:rsidR="00AA3D25" w:rsidRDefault="00AA3D25" w:rsidP="00DD3744">
      <w:pPr>
        <w:spacing w:line="480" w:lineRule="auto"/>
        <w:jc w:val="center"/>
        <w:rPr>
          <w:color w:val="000000"/>
        </w:rPr>
      </w:pPr>
    </w:p>
    <w:p w:rsidR="00AA3D25" w:rsidRDefault="005C6640" w:rsidP="00DD3744">
      <w:pPr>
        <w:spacing w:line="480" w:lineRule="auto"/>
        <w:jc w:val="center"/>
        <w:rPr>
          <w:color w:val="000000"/>
        </w:rPr>
      </w:pPr>
      <w:r>
        <w:rPr>
          <w:color w:val="000000"/>
        </w:rPr>
        <w:t>MASTER OF SCIENCE</w:t>
      </w:r>
    </w:p>
    <w:p w:rsidR="00AA3D25" w:rsidRDefault="00AA3D25" w:rsidP="00DD3744">
      <w:pPr>
        <w:spacing w:line="480" w:lineRule="auto"/>
        <w:jc w:val="center"/>
        <w:rPr>
          <w:color w:val="000000"/>
        </w:rPr>
      </w:pPr>
    </w:p>
    <w:p w:rsidR="00AA3D25" w:rsidRDefault="00AA3D25" w:rsidP="00DD3744">
      <w:pPr>
        <w:spacing w:line="480" w:lineRule="auto"/>
        <w:rPr>
          <w:color w:val="000000"/>
        </w:rPr>
      </w:pPr>
    </w:p>
    <w:p w:rsidR="00AA3D25" w:rsidRDefault="005C6640" w:rsidP="00DD3744">
      <w:pPr>
        <w:spacing w:line="480" w:lineRule="auto"/>
        <w:jc w:val="center"/>
        <w:rPr>
          <w:color w:val="000000"/>
        </w:rPr>
      </w:pPr>
      <w:r>
        <w:rPr>
          <w:color w:val="000000"/>
        </w:rPr>
        <w:t>Department of Disability Studies</w:t>
      </w:r>
    </w:p>
    <w:p w:rsidR="00AA3D25" w:rsidRDefault="005C6640" w:rsidP="00DD3744">
      <w:pPr>
        <w:spacing w:line="480" w:lineRule="auto"/>
        <w:jc w:val="center"/>
        <w:rPr>
          <w:color w:val="000000"/>
        </w:rPr>
      </w:pPr>
      <w:r>
        <w:rPr>
          <w:color w:val="000000"/>
        </w:rPr>
        <w:t>University of Manitoba</w:t>
      </w:r>
    </w:p>
    <w:p w:rsidR="00AA3D25" w:rsidRDefault="005C6640" w:rsidP="00DD3744">
      <w:pPr>
        <w:spacing w:line="480" w:lineRule="auto"/>
        <w:jc w:val="center"/>
        <w:rPr>
          <w:color w:val="000000"/>
        </w:rPr>
      </w:pPr>
      <w:r>
        <w:rPr>
          <w:color w:val="000000"/>
        </w:rPr>
        <w:t>Winnipeg</w:t>
      </w:r>
    </w:p>
    <w:p w:rsidR="000C624A" w:rsidRDefault="000C624A" w:rsidP="00DD3744">
      <w:pPr>
        <w:spacing w:line="480" w:lineRule="auto"/>
        <w:jc w:val="center"/>
        <w:rPr>
          <w:color w:val="000000"/>
        </w:rPr>
      </w:pPr>
    </w:p>
    <w:p w:rsidR="000C624A" w:rsidRPr="000C624A" w:rsidRDefault="000C624A" w:rsidP="00DD3744">
      <w:pPr>
        <w:spacing w:line="480" w:lineRule="auto"/>
        <w:jc w:val="center"/>
        <w:rPr>
          <w:rFonts w:eastAsia="Times New Roman"/>
          <w:color w:val="auto"/>
          <w:lang w:val="en-CA"/>
        </w:rPr>
      </w:pPr>
      <w:r>
        <w:rPr>
          <w:rFonts w:eastAsia="Times New Roman"/>
          <w:color w:val="auto"/>
          <w:lang w:val="en-CA"/>
        </w:rPr>
        <w:t>Copyright © 20</w:t>
      </w:r>
      <w:r w:rsidR="00E76EBE">
        <w:rPr>
          <w:rFonts w:eastAsia="Times New Roman"/>
          <w:color w:val="auto"/>
          <w:lang w:val="en-CA"/>
        </w:rPr>
        <w:t>18</w:t>
      </w:r>
      <w:bookmarkStart w:id="0" w:name="_GoBack"/>
      <w:bookmarkEnd w:id="0"/>
      <w:r>
        <w:rPr>
          <w:rFonts w:eastAsia="Times New Roman"/>
          <w:color w:val="auto"/>
          <w:lang w:val="en-CA"/>
        </w:rPr>
        <w:t xml:space="preserve"> by Sidra Jawed</w:t>
      </w:r>
    </w:p>
    <w:p w:rsidR="000C624A" w:rsidRDefault="000C624A" w:rsidP="00DD3744">
      <w:pPr>
        <w:spacing w:line="480" w:lineRule="auto"/>
      </w:pPr>
      <w:bookmarkStart w:id="1" w:name="_Toc449046190"/>
      <w:bookmarkEnd w:id="1"/>
    </w:p>
    <w:p w:rsidR="000C624A" w:rsidRDefault="000C624A" w:rsidP="00DD3744">
      <w:pPr>
        <w:pStyle w:val="Heading1"/>
      </w:pPr>
      <w:bookmarkStart w:id="2" w:name="_Toc533852495"/>
      <w:r>
        <w:t>Abstract</w:t>
      </w:r>
      <w:bookmarkEnd w:id="2"/>
    </w:p>
    <w:p w:rsidR="000C624A" w:rsidRDefault="000C624A" w:rsidP="00DD3744">
      <w:pPr>
        <w:spacing w:line="480" w:lineRule="auto"/>
        <w:ind w:firstLine="720"/>
      </w:pPr>
      <w:r>
        <w:rPr>
          <w:color w:val="000000"/>
        </w:rPr>
        <w:t>With 1 in 6 people with a disability in Manitoba, providing accessible healthcare for People with Disability (PWD) is an emerging challenge for government. Traditionally, looking through the medical lens has only increased the gap in the healthcare services. The Social Model</w:t>
      </w:r>
      <w:r w:rsidR="0029366C">
        <w:rPr>
          <w:color w:val="000000"/>
        </w:rPr>
        <w:t xml:space="preserve"> </w:t>
      </w:r>
      <w:r>
        <w:rPr>
          <w:color w:val="000000"/>
        </w:rPr>
        <w:t>of disability not only furthers the disability activists’ perspective but also provides a strong foundation on which to build inclusive healthcare policies. This study presents current problems in healthcare delivery from physicians’ perspective while engaging with PWD. This study focuses on the need for change in the current medical mode of education and include more PWD while training and streamlining the resources, along with creating more awareness concerning accessibility in the clinics and physicians’ directive to change the time remuneration method. It then continues to address the types of research studies needed to inform effective policies. The thesis suggests future directions for healthcare innovation.</w:t>
      </w:r>
    </w:p>
    <w:p w:rsidR="000C624A" w:rsidRDefault="000C624A" w:rsidP="00DD3744">
      <w:pPr>
        <w:spacing w:line="480" w:lineRule="auto"/>
        <w:ind w:firstLine="720"/>
        <w:rPr>
          <w:color w:val="000000"/>
        </w:rPr>
      </w:pPr>
    </w:p>
    <w:p w:rsidR="000C624A" w:rsidRDefault="000C624A" w:rsidP="00DD3744">
      <w:pPr>
        <w:spacing w:line="480" w:lineRule="auto"/>
        <w:ind w:firstLine="720"/>
        <w:rPr>
          <w:b/>
          <w:color w:val="000000"/>
        </w:rPr>
      </w:pPr>
      <w:r>
        <w:rPr>
          <w:color w:val="000000"/>
        </w:rPr>
        <w:t xml:space="preserve">Keywords: </w:t>
      </w:r>
      <w:r>
        <w:rPr>
          <w:i/>
          <w:color w:val="000000"/>
        </w:rPr>
        <w:t>Disability, Social Model</w:t>
      </w:r>
      <w:r w:rsidR="00DD3744">
        <w:rPr>
          <w:i/>
          <w:color w:val="000000"/>
        </w:rPr>
        <w:t xml:space="preserve"> </w:t>
      </w:r>
      <w:r>
        <w:rPr>
          <w:i/>
          <w:color w:val="000000"/>
        </w:rPr>
        <w:t>of disability, accessibility, physician, policies, medical training.</w:t>
      </w:r>
      <w:r>
        <w:rPr>
          <w:b/>
          <w:color w:val="000000"/>
        </w:rPr>
        <w:t xml:space="preserve"> </w:t>
      </w:r>
    </w:p>
    <w:p w:rsidR="000C624A" w:rsidRDefault="000C624A" w:rsidP="00DD3744">
      <w:pPr>
        <w:spacing w:line="480" w:lineRule="auto"/>
      </w:pPr>
    </w:p>
    <w:p w:rsidR="000C624A" w:rsidRDefault="000C624A" w:rsidP="00DD3744">
      <w:pPr>
        <w:spacing w:line="480" w:lineRule="auto"/>
      </w:pPr>
      <w:r>
        <w:br w:type="page"/>
      </w:r>
    </w:p>
    <w:p w:rsidR="00484177" w:rsidRPr="00324C10" w:rsidRDefault="000C624A" w:rsidP="00324C10">
      <w:pPr>
        <w:pStyle w:val="Heading1"/>
      </w:pPr>
      <w:bookmarkStart w:id="3" w:name="_Toc533852496"/>
      <w:r w:rsidRPr="00806749">
        <w:lastRenderedPageBreak/>
        <w:t>Acknowledgement</w:t>
      </w:r>
      <w:bookmarkEnd w:id="3"/>
    </w:p>
    <w:p w:rsidR="00484177" w:rsidRPr="00484177" w:rsidRDefault="00484177" w:rsidP="00DD3744">
      <w:pPr>
        <w:spacing w:line="480" w:lineRule="auto"/>
      </w:pPr>
      <w:r w:rsidRPr="00484177">
        <w:t xml:space="preserve">I am immensely grateful to Dr. Nancy Hansen, who has been an ever encouraging supervisor from the day I stepped in this department. Without her constant support I would not have been able to finish this. Her presence as a </w:t>
      </w:r>
      <w:proofErr w:type="spellStart"/>
      <w:r w:rsidRPr="00484177">
        <w:t>a</w:t>
      </w:r>
      <w:proofErr w:type="spellEnd"/>
      <w:r w:rsidRPr="00484177">
        <w:t xml:space="preserve"> supervisor and mentor meant a lot for me during my hard time in a foreign country.</w:t>
      </w:r>
    </w:p>
    <w:p w:rsidR="00484177" w:rsidRPr="00484177" w:rsidRDefault="00484177" w:rsidP="00DD3744">
      <w:pPr>
        <w:spacing w:line="480" w:lineRule="auto"/>
      </w:pPr>
    </w:p>
    <w:p w:rsidR="00484177" w:rsidRPr="00484177" w:rsidRDefault="004F41A8" w:rsidP="00DD3744">
      <w:pPr>
        <w:spacing w:line="480" w:lineRule="auto"/>
      </w:pPr>
      <w:r>
        <w:t>I would also like to express gratitude</w:t>
      </w:r>
      <w:r w:rsidR="00484177" w:rsidRPr="00484177">
        <w:t xml:space="preserve"> to Dr. Deborah </w:t>
      </w:r>
      <w:proofErr w:type="spellStart"/>
      <w:r>
        <w:t>Mc.</w:t>
      </w:r>
      <w:r w:rsidR="00484177" w:rsidRPr="00484177">
        <w:t>Phail</w:t>
      </w:r>
      <w:proofErr w:type="spellEnd"/>
      <w:r w:rsidR="00484177" w:rsidRPr="00484177">
        <w:t>, for being a constant source of guidance.</w:t>
      </w:r>
    </w:p>
    <w:p w:rsidR="00484177" w:rsidRPr="00484177" w:rsidRDefault="00484177" w:rsidP="00DD3744">
      <w:pPr>
        <w:spacing w:line="480" w:lineRule="auto"/>
      </w:pPr>
    </w:p>
    <w:p w:rsidR="00484177" w:rsidRPr="00484177" w:rsidRDefault="00484177" w:rsidP="00DD3744">
      <w:pPr>
        <w:spacing w:line="480" w:lineRule="auto"/>
      </w:pPr>
      <w:r w:rsidRPr="00484177">
        <w:t xml:space="preserve">Dr. Diane </w:t>
      </w:r>
      <w:proofErr w:type="spellStart"/>
      <w:r w:rsidRPr="00484177">
        <w:t>Driedge</w:t>
      </w:r>
      <w:r w:rsidR="00DD3744">
        <w:t>r</w:t>
      </w:r>
      <w:proofErr w:type="spellEnd"/>
      <w:r w:rsidR="00DD3744">
        <w:t xml:space="preserve"> and Dr.</w:t>
      </w:r>
      <w:r w:rsidR="00DE0773">
        <w:t xml:space="preserve"> Joseph </w:t>
      </w:r>
      <w:proofErr w:type="spellStart"/>
      <w:r w:rsidR="00DE0773">
        <w:t>Kaufert</w:t>
      </w:r>
      <w:proofErr w:type="spellEnd"/>
      <w:r w:rsidR="00DE0773">
        <w:t xml:space="preserve"> who</w:t>
      </w:r>
      <w:r w:rsidRPr="00484177">
        <w:t xml:space="preserve"> have been always there as vigilant committee members and I am </w:t>
      </w:r>
      <w:r w:rsidR="00DE0773">
        <w:t xml:space="preserve">forever </w:t>
      </w:r>
      <w:r w:rsidRPr="00484177">
        <w:t>thankful for their thoughtful feedback.</w:t>
      </w:r>
    </w:p>
    <w:p w:rsidR="00484177" w:rsidRPr="00484177" w:rsidRDefault="00484177" w:rsidP="00DD3744">
      <w:pPr>
        <w:spacing w:line="480" w:lineRule="auto"/>
      </w:pPr>
    </w:p>
    <w:p w:rsidR="00484177" w:rsidRDefault="00484177" w:rsidP="00DD3744">
      <w:pPr>
        <w:spacing w:line="480" w:lineRule="auto"/>
      </w:pPr>
      <w:r w:rsidRPr="00484177">
        <w:t xml:space="preserve">Finally I want to thank my parents: Malik Jawed and </w:t>
      </w:r>
      <w:proofErr w:type="spellStart"/>
      <w:r w:rsidRPr="00484177">
        <w:t>Rabia</w:t>
      </w:r>
      <w:proofErr w:type="spellEnd"/>
      <w:r w:rsidRPr="00484177">
        <w:t xml:space="preserve"> Jawed, my husband: M. </w:t>
      </w:r>
      <w:proofErr w:type="spellStart"/>
      <w:r w:rsidRPr="00484177">
        <w:t>Azfar</w:t>
      </w:r>
      <w:proofErr w:type="spellEnd"/>
      <w:r w:rsidRPr="00484177">
        <w:t xml:space="preserve"> Saleem and siblings. Saniya, my daughter, who is always there to motivate me. </w:t>
      </w:r>
      <w:proofErr w:type="spellStart"/>
      <w:r w:rsidRPr="00484177">
        <w:t>Misba</w:t>
      </w:r>
      <w:proofErr w:type="spellEnd"/>
      <w:r w:rsidRPr="00484177">
        <w:t xml:space="preserve">, </w:t>
      </w:r>
      <w:proofErr w:type="spellStart"/>
      <w:r w:rsidRPr="00484177">
        <w:t>Ifrah</w:t>
      </w:r>
      <w:proofErr w:type="spellEnd"/>
      <w:r w:rsidRPr="00484177">
        <w:t xml:space="preserve">, Aqsa and </w:t>
      </w:r>
      <w:proofErr w:type="spellStart"/>
      <w:r w:rsidRPr="00484177">
        <w:t>Ozair</w:t>
      </w:r>
      <w:proofErr w:type="spellEnd"/>
      <w:r w:rsidRPr="00484177">
        <w:t xml:space="preserve"> to be always present as </w:t>
      </w:r>
      <w:r w:rsidR="00DE0773">
        <w:t xml:space="preserve">my rock during this </w:t>
      </w:r>
      <w:r w:rsidR="00E24ED3">
        <w:t>difficult</w:t>
      </w:r>
      <w:r w:rsidR="00DE0773">
        <w:t xml:space="preserve"> process.</w:t>
      </w:r>
    </w:p>
    <w:p w:rsidR="00484177" w:rsidRDefault="00484177" w:rsidP="00DD3744">
      <w:pPr>
        <w:spacing w:line="480" w:lineRule="auto"/>
      </w:pPr>
      <w:r>
        <w:br w:type="page"/>
      </w:r>
    </w:p>
    <w:p w:rsidR="00484177" w:rsidRDefault="00484177" w:rsidP="00DD3744">
      <w:pPr>
        <w:spacing w:line="480" w:lineRule="auto"/>
        <w:jc w:val="center"/>
        <w:rPr>
          <w:i/>
        </w:rPr>
      </w:pPr>
    </w:p>
    <w:p w:rsidR="00484177" w:rsidRDefault="00484177" w:rsidP="00DD3744">
      <w:pPr>
        <w:spacing w:line="480" w:lineRule="auto"/>
        <w:jc w:val="center"/>
        <w:rPr>
          <w:i/>
        </w:rPr>
      </w:pPr>
    </w:p>
    <w:p w:rsidR="00484177" w:rsidRDefault="00484177" w:rsidP="00DD3744">
      <w:pPr>
        <w:spacing w:line="480" w:lineRule="auto"/>
        <w:jc w:val="center"/>
        <w:rPr>
          <w:i/>
        </w:rPr>
      </w:pPr>
    </w:p>
    <w:p w:rsidR="00484177" w:rsidRDefault="00484177" w:rsidP="00DD3744">
      <w:pPr>
        <w:spacing w:line="480" w:lineRule="auto"/>
        <w:jc w:val="center"/>
        <w:rPr>
          <w:i/>
        </w:rPr>
      </w:pPr>
      <w:r w:rsidRPr="00484177">
        <w:rPr>
          <w:i/>
        </w:rPr>
        <w:t xml:space="preserve">To </w:t>
      </w:r>
      <w:r>
        <w:rPr>
          <w:i/>
        </w:rPr>
        <w:t xml:space="preserve">my family and mentors </w:t>
      </w:r>
    </w:p>
    <w:p w:rsidR="000C624A" w:rsidRPr="00484177" w:rsidRDefault="004F41A8" w:rsidP="00DD3744">
      <w:pPr>
        <w:spacing w:line="480" w:lineRule="auto"/>
        <w:jc w:val="center"/>
        <w:rPr>
          <w:i/>
        </w:rPr>
      </w:pPr>
      <w:r>
        <w:rPr>
          <w:i/>
        </w:rPr>
        <w:t xml:space="preserve">Who are always there to love and guide </w:t>
      </w:r>
      <w:r w:rsidR="000C624A" w:rsidRPr="00484177">
        <w:rPr>
          <w:i/>
        </w:rPr>
        <w:br w:type="page"/>
      </w:r>
    </w:p>
    <w:p w:rsidR="00AA3D25" w:rsidRPr="00324C10" w:rsidRDefault="00324C10" w:rsidP="00324C10">
      <w:pPr>
        <w:pStyle w:val="Heading1"/>
        <w:spacing w:line="360" w:lineRule="auto"/>
        <w:rPr>
          <w:b w:val="0"/>
        </w:rPr>
      </w:pPr>
      <w:bookmarkStart w:id="4" w:name="_Toc533852497"/>
      <w:r w:rsidRPr="00324C10">
        <w:rPr>
          <w:b w:val="0"/>
        </w:rPr>
        <w:lastRenderedPageBreak/>
        <w:t>Table of Contents</w:t>
      </w:r>
      <w:bookmarkEnd w:id="4"/>
      <w:r w:rsidRPr="00324C10">
        <w:rPr>
          <w:b w:val="0"/>
        </w:rPr>
        <w:t xml:space="preserve"> </w:t>
      </w:r>
    </w:p>
    <w:sdt>
      <w:sdtPr>
        <w:rPr>
          <w:rFonts w:eastAsiaTheme="minorHAnsi"/>
          <w:b w:val="0"/>
          <w:bCs/>
          <w:sz w:val="22"/>
          <w:szCs w:val="22"/>
        </w:rPr>
        <w:id w:val="2056947420"/>
        <w:docPartObj>
          <w:docPartGallery w:val="Table of Contents"/>
          <w:docPartUnique/>
        </w:docPartObj>
      </w:sdtPr>
      <w:sdtEndPr>
        <w:rPr>
          <w:bCs w:val="0"/>
        </w:rPr>
      </w:sdtEndPr>
      <w:sdtContent>
        <w:p w:rsidR="00AA3D25" w:rsidRPr="00324C10" w:rsidRDefault="00AA3D25" w:rsidP="00324C10">
          <w:pPr>
            <w:pStyle w:val="Headingp"/>
            <w:spacing w:line="360" w:lineRule="auto"/>
            <w:rPr>
              <w:rFonts w:eastAsiaTheme="majorEastAsia"/>
              <w:b w:val="0"/>
              <w:lang w:val="en-CA"/>
            </w:rPr>
          </w:pPr>
        </w:p>
        <w:p w:rsidR="00324C10" w:rsidRPr="00324C10" w:rsidRDefault="005C6640"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r w:rsidRPr="00324C10">
            <w:rPr>
              <w:rFonts w:ascii="Times New Roman" w:hAnsi="Times New Roman" w:cs="Times New Roman"/>
              <w:sz w:val="24"/>
              <w:szCs w:val="24"/>
            </w:rPr>
            <w:fldChar w:fldCharType="begin"/>
          </w:r>
          <w:r w:rsidRPr="00324C10">
            <w:rPr>
              <w:rFonts w:ascii="Times New Roman" w:hAnsi="Times New Roman" w:cs="Times New Roman"/>
              <w:sz w:val="24"/>
              <w:szCs w:val="24"/>
            </w:rPr>
            <w:instrText>TOC \z \o "1-3" \u \h</w:instrText>
          </w:r>
          <w:r w:rsidRPr="00324C10">
            <w:rPr>
              <w:rFonts w:ascii="Times New Roman" w:hAnsi="Times New Roman" w:cs="Times New Roman"/>
              <w:sz w:val="24"/>
              <w:szCs w:val="24"/>
            </w:rPr>
            <w:fldChar w:fldCharType="separate"/>
          </w:r>
          <w:hyperlink w:anchor="_Toc533852495" w:history="1">
            <w:r w:rsidR="00324C10" w:rsidRPr="00324C10">
              <w:rPr>
                <w:rStyle w:val="Hyperlink"/>
                <w:rFonts w:ascii="Times New Roman" w:hAnsi="Times New Roman" w:cs="Times New Roman"/>
                <w:noProof/>
                <w:sz w:val="24"/>
                <w:szCs w:val="24"/>
              </w:rPr>
              <w:t>Abstract</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_Toc533852495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ii</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496" w:history="1">
            <w:r w:rsidR="00324C10" w:rsidRPr="00324C10">
              <w:rPr>
                <w:rStyle w:val="Hyperlink"/>
                <w:rFonts w:ascii="Times New Roman" w:hAnsi="Times New Roman" w:cs="Times New Roman"/>
                <w:noProof/>
                <w:sz w:val="24"/>
                <w:szCs w:val="24"/>
              </w:rPr>
              <w:t>Acknowledgement</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_Toc533852496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iii</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497" w:history="1">
            <w:r w:rsidR="00324C10" w:rsidRPr="00324C10">
              <w:rPr>
                <w:rStyle w:val="Hyperlink"/>
                <w:rFonts w:ascii="Times New Roman" w:hAnsi="Times New Roman" w:cs="Times New Roman"/>
                <w:noProof/>
                <w:sz w:val="24"/>
                <w:szCs w:val="24"/>
              </w:rPr>
              <w:t>Table of Contents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_Toc533852497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v</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498" w:history="1">
            <w:r w:rsidR="00324C10" w:rsidRPr="00324C10">
              <w:rPr>
                <w:rStyle w:val="Hyperlink"/>
                <w:rFonts w:ascii="Times New Roman" w:hAnsi="Times New Roman" w:cs="Times New Roman"/>
                <w:noProof/>
                <w:sz w:val="24"/>
                <w:szCs w:val="24"/>
              </w:rPr>
              <w:t>Introduction</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_Toc533852498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1</w:t>
            </w:r>
            <w:r w:rsidR="00324C10" w:rsidRPr="00324C10">
              <w:rPr>
                <w:rFonts w:ascii="Times New Roman" w:hAnsi="Times New Roman" w:cs="Times New Roman"/>
                <w:noProof/>
                <w:webHidden/>
                <w:sz w:val="24"/>
                <w:szCs w:val="24"/>
              </w:rPr>
              <w:fldChar w:fldCharType="end"/>
            </w:r>
          </w:hyperlink>
        </w:p>
        <w:p w:rsidR="00324C10" w:rsidRPr="00324C10" w:rsidRDefault="001D0438" w:rsidP="001B41A9">
          <w:pPr>
            <w:pStyle w:val="TOC2"/>
            <w:rPr>
              <w:rFonts w:eastAsiaTheme="minorEastAsia"/>
              <w:noProof/>
              <w:color w:val="auto"/>
              <w:lang w:val="en-CA"/>
            </w:rPr>
          </w:pPr>
          <w:hyperlink w:anchor="_Toc533852499" w:history="1">
            <w:r w:rsidR="00324C10" w:rsidRPr="00324C10">
              <w:rPr>
                <w:rStyle w:val="Hyperlink"/>
                <w:noProof/>
                <w:sz w:val="24"/>
                <w:szCs w:val="24"/>
              </w:rPr>
              <w:t>Context</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_Toc533852499 \h </w:instrText>
            </w:r>
            <w:r w:rsidR="00324C10" w:rsidRPr="00324C10">
              <w:rPr>
                <w:noProof/>
                <w:webHidden/>
              </w:rPr>
            </w:r>
            <w:r w:rsidR="00324C10" w:rsidRPr="00324C10">
              <w:rPr>
                <w:noProof/>
                <w:webHidden/>
              </w:rPr>
              <w:fldChar w:fldCharType="separate"/>
            </w:r>
            <w:r w:rsidR="00324C10" w:rsidRPr="00324C10">
              <w:rPr>
                <w:noProof/>
                <w:webHidden/>
              </w:rPr>
              <w:t>1</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0" w:history="1">
            <w:r w:rsidR="00324C10" w:rsidRPr="00324C10">
              <w:rPr>
                <w:rStyle w:val="Hyperlink"/>
                <w:noProof/>
                <w:sz w:val="24"/>
                <w:szCs w:val="24"/>
              </w:rPr>
              <w:t>Purpose Statement</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_Toc533852500 \h </w:instrText>
            </w:r>
            <w:r w:rsidR="00324C10" w:rsidRPr="00324C10">
              <w:rPr>
                <w:noProof/>
                <w:webHidden/>
              </w:rPr>
            </w:r>
            <w:r w:rsidR="00324C10" w:rsidRPr="00324C10">
              <w:rPr>
                <w:noProof/>
                <w:webHidden/>
              </w:rPr>
              <w:fldChar w:fldCharType="separate"/>
            </w:r>
            <w:r w:rsidR="00324C10" w:rsidRPr="00324C10">
              <w:rPr>
                <w:noProof/>
                <w:webHidden/>
              </w:rPr>
              <w:t>4</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1" w:history="1">
            <w:r w:rsidR="00324C10" w:rsidRPr="00324C10">
              <w:rPr>
                <w:rStyle w:val="Hyperlink"/>
                <w:noProof/>
                <w:sz w:val="24"/>
                <w:szCs w:val="24"/>
              </w:rPr>
              <w:t>Research Objectives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_Toc533852501 \h </w:instrText>
            </w:r>
            <w:r w:rsidR="00324C10" w:rsidRPr="00324C10">
              <w:rPr>
                <w:noProof/>
                <w:webHidden/>
              </w:rPr>
            </w:r>
            <w:r w:rsidR="00324C10" w:rsidRPr="00324C10">
              <w:rPr>
                <w:noProof/>
                <w:webHidden/>
              </w:rPr>
              <w:fldChar w:fldCharType="separate"/>
            </w:r>
            <w:r w:rsidR="00324C10" w:rsidRPr="00324C10">
              <w:rPr>
                <w:noProof/>
                <w:webHidden/>
              </w:rPr>
              <w:t>4</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2" w:history="1">
            <w:r w:rsidR="00324C10" w:rsidRPr="00324C10">
              <w:rPr>
                <w:rStyle w:val="Hyperlink"/>
                <w:noProof/>
                <w:sz w:val="24"/>
                <w:szCs w:val="24"/>
              </w:rPr>
              <w:t>Research Questions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_Toc533852502 \h </w:instrText>
            </w:r>
            <w:r w:rsidR="00324C10" w:rsidRPr="00324C10">
              <w:rPr>
                <w:noProof/>
                <w:webHidden/>
              </w:rPr>
            </w:r>
            <w:r w:rsidR="00324C10" w:rsidRPr="00324C10">
              <w:rPr>
                <w:noProof/>
                <w:webHidden/>
              </w:rPr>
              <w:fldChar w:fldCharType="separate"/>
            </w:r>
            <w:r w:rsidR="00324C10" w:rsidRPr="00324C10">
              <w:rPr>
                <w:noProof/>
                <w:webHidden/>
              </w:rPr>
              <w:t>4</w:t>
            </w:r>
            <w:r w:rsidR="00324C10" w:rsidRPr="00324C10">
              <w:rPr>
                <w:noProof/>
                <w:webHidden/>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03" w:history="1">
            <w:r w:rsidR="00324C10" w:rsidRPr="00324C10">
              <w:rPr>
                <w:rStyle w:val="Hyperlink"/>
                <w:rFonts w:ascii="Times New Roman" w:hAnsi="Times New Roman" w:cs="Times New Roman"/>
                <w:noProof/>
                <w:sz w:val="24"/>
                <w:szCs w:val="24"/>
              </w:rPr>
              <w:t>Literature Review</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_Toc533852503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6</w:t>
            </w:r>
            <w:r w:rsidR="00324C10" w:rsidRPr="00324C10">
              <w:rPr>
                <w:rFonts w:ascii="Times New Roman" w:hAnsi="Times New Roman" w:cs="Times New Roman"/>
                <w:noProof/>
                <w:webHidden/>
                <w:sz w:val="24"/>
                <w:szCs w:val="24"/>
              </w:rPr>
              <w:fldChar w:fldCharType="end"/>
            </w:r>
          </w:hyperlink>
        </w:p>
        <w:p w:rsidR="00324C10" w:rsidRPr="00324C10" w:rsidRDefault="001D0438" w:rsidP="001B41A9">
          <w:pPr>
            <w:pStyle w:val="TOC2"/>
            <w:rPr>
              <w:rFonts w:eastAsiaTheme="minorEastAsia"/>
              <w:noProof/>
              <w:color w:val="auto"/>
              <w:lang w:val="en-CA"/>
            </w:rPr>
          </w:pPr>
          <w:hyperlink w:anchor="_Toc533852504" w:history="1">
            <w:r w:rsidR="00324C10" w:rsidRPr="00324C10">
              <w:rPr>
                <w:rStyle w:val="Hyperlink"/>
                <w:noProof/>
                <w:sz w:val="24"/>
                <w:szCs w:val="24"/>
              </w:rPr>
              <w:t>Search Strategy</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_Toc533852504 \h </w:instrText>
            </w:r>
            <w:r w:rsidR="00324C10" w:rsidRPr="00324C10">
              <w:rPr>
                <w:noProof/>
                <w:webHidden/>
              </w:rPr>
            </w:r>
            <w:r w:rsidR="00324C10" w:rsidRPr="00324C10">
              <w:rPr>
                <w:noProof/>
                <w:webHidden/>
              </w:rPr>
              <w:fldChar w:fldCharType="separate"/>
            </w:r>
            <w:r w:rsidR="00324C10" w:rsidRPr="00324C10">
              <w:rPr>
                <w:noProof/>
                <w:webHidden/>
              </w:rPr>
              <w:t>6</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5" w:history="1">
            <w:r w:rsidR="00324C10" w:rsidRPr="00324C10">
              <w:rPr>
                <w:rStyle w:val="Hyperlink"/>
                <w:noProof/>
                <w:sz w:val="24"/>
                <w:szCs w:val="24"/>
              </w:rPr>
              <w:t>Long-Standing Negative Assumptions about Disability in Society</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_Toc533852505 \h </w:instrText>
            </w:r>
            <w:r w:rsidR="00324C10" w:rsidRPr="00324C10">
              <w:rPr>
                <w:noProof/>
                <w:webHidden/>
              </w:rPr>
            </w:r>
            <w:r w:rsidR="00324C10" w:rsidRPr="00324C10">
              <w:rPr>
                <w:noProof/>
                <w:webHidden/>
              </w:rPr>
              <w:fldChar w:fldCharType="separate"/>
            </w:r>
            <w:r w:rsidR="00324C10" w:rsidRPr="00324C10">
              <w:rPr>
                <w:noProof/>
                <w:webHidden/>
              </w:rPr>
              <w:t>7</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6" w:history="1">
            <w:r w:rsidR="00324C10" w:rsidRPr="00324C10">
              <w:rPr>
                <w:rStyle w:val="Hyperlink"/>
                <w:noProof/>
                <w:sz w:val="24"/>
                <w:szCs w:val="24"/>
              </w:rPr>
              <w:t>Criticism of Current Healthcare Set Up</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_Toc533852506 \h </w:instrText>
            </w:r>
            <w:r w:rsidR="00324C10" w:rsidRPr="00324C10">
              <w:rPr>
                <w:noProof/>
                <w:webHidden/>
              </w:rPr>
            </w:r>
            <w:r w:rsidR="00324C10" w:rsidRPr="00324C10">
              <w:rPr>
                <w:noProof/>
                <w:webHidden/>
              </w:rPr>
              <w:fldChar w:fldCharType="separate"/>
            </w:r>
            <w:r w:rsidR="00324C10" w:rsidRPr="00324C10">
              <w:rPr>
                <w:noProof/>
                <w:webHidden/>
              </w:rPr>
              <w:t>10</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7" w:history="1">
            <w:r w:rsidR="00324C10" w:rsidRPr="00324C10">
              <w:rPr>
                <w:rStyle w:val="Hyperlink"/>
                <w:noProof/>
                <w:sz w:val="24"/>
                <w:szCs w:val="24"/>
              </w:rPr>
              <w:t>Obstacles While Providing Ideal Healthcare to PWD from the Physicians’ Perspective</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_Toc533852507 \h </w:instrText>
            </w:r>
            <w:r w:rsidR="00324C10" w:rsidRPr="00324C10">
              <w:rPr>
                <w:noProof/>
                <w:webHidden/>
              </w:rPr>
            </w:r>
            <w:r w:rsidR="00324C10" w:rsidRPr="00324C10">
              <w:rPr>
                <w:noProof/>
                <w:webHidden/>
              </w:rPr>
              <w:fldChar w:fldCharType="separate"/>
            </w:r>
            <w:r w:rsidR="00324C10" w:rsidRPr="00324C10">
              <w:rPr>
                <w:noProof/>
                <w:webHidden/>
              </w:rPr>
              <w:t>11</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8" w:history="1">
            <w:r w:rsidR="00324C10" w:rsidRPr="00324C10">
              <w:rPr>
                <w:rStyle w:val="Hyperlink"/>
                <w:noProof/>
                <w:sz w:val="24"/>
                <w:szCs w:val="24"/>
              </w:rPr>
              <w:t>Suggested Quality Measures in from the Physicians’ Perspective</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_Toc533852508 \h </w:instrText>
            </w:r>
            <w:r w:rsidR="00324C10" w:rsidRPr="00324C10">
              <w:rPr>
                <w:noProof/>
                <w:webHidden/>
              </w:rPr>
            </w:r>
            <w:r w:rsidR="00324C10" w:rsidRPr="00324C10">
              <w:rPr>
                <w:noProof/>
                <w:webHidden/>
              </w:rPr>
              <w:fldChar w:fldCharType="separate"/>
            </w:r>
            <w:r w:rsidR="00324C10" w:rsidRPr="00324C10">
              <w:rPr>
                <w:noProof/>
                <w:webHidden/>
              </w:rPr>
              <w:t>13</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09" w:history="1">
            <w:r w:rsidR="00324C10" w:rsidRPr="00324C10">
              <w:rPr>
                <w:rStyle w:val="Hyperlink"/>
                <w:noProof/>
                <w:sz w:val="24"/>
                <w:szCs w:val="24"/>
              </w:rPr>
              <w:t>Gaps in the Literature</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_Toc533852509 \h </w:instrText>
            </w:r>
            <w:r w:rsidR="00324C10" w:rsidRPr="00324C10">
              <w:rPr>
                <w:noProof/>
                <w:webHidden/>
              </w:rPr>
            </w:r>
            <w:r w:rsidR="00324C10" w:rsidRPr="00324C10">
              <w:rPr>
                <w:noProof/>
                <w:webHidden/>
              </w:rPr>
              <w:fldChar w:fldCharType="separate"/>
            </w:r>
            <w:r w:rsidR="00324C10" w:rsidRPr="00324C10">
              <w:rPr>
                <w:noProof/>
                <w:webHidden/>
              </w:rPr>
              <w:t>14</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0" w:history="1">
            <w:r w:rsidR="00324C10" w:rsidRPr="00324C10">
              <w:rPr>
                <w:rStyle w:val="Hyperlink"/>
                <w:noProof/>
                <w:sz w:val="24"/>
                <w:szCs w:val="24"/>
              </w:rPr>
              <w:t>Social Model of Disability</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_Toc533852510 \h </w:instrText>
            </w:r>
            <w:r w:rsidR="00324C10" w:rsidRPr="00324C10">
              <w:rPr>
                <w:noProof/>
                <w:webHidden/>
              </w:rPr>
            </w:r>
            <w:r w:rsidR="00324C10" w:rsidRPr="00324C10">
              <w:rPr>
                <w:noProof/>
                <w:webHidden/>
              </w:rPr>
              <w:fldChar w:fldCharType="separate"/>
            </w:r>
            <w:r w:rsidR="00324C10" w:rsidRPr="00324C10">
              <w:rPr>
                <w:noProof/>
                <w:webHidden/>
              </w:rPr>
              <w:t>16</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1" w:history="1">
            <w:r w:rsidR="00324C10" w:rsidRPr="00324C10">
              <w:rPr>
                <w:rStyle w:val="Hyperlink"/>
                <w:noProof/>
                <w:sz w:val="24"/>
                <w:szCs w:val="24"/>
              </w:rPr>
              <w:t>Criticism of the Social Model of Disability</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_Toc533852511 \h </w:instrText>
            </w:r>
            <w:r w:rsidR="00324C10" w:rsidRPr="00324C10">
              <w:rPr>
                <w:noProof/>
                <w:webHidden/>
              </w:rPr>
            </w:r>
            <w:r w:rsidR="00324C10" w:rsidRPr="00324C10">
              <w:rPr>
                <w:noProof/>
                <w:webHidden/>
              </w:rPr>
              <w:fldChar w:fldCharType="separate"/>
            </w:r>
            <w:r w:rsidR="00324C10" w:rsidRPr="00324C10">
              <w:rPr>
                <w:noProof/>
                <w:webHidden/>
              </w:rPr>
              <w:t>19</w:t>
            </w:r>
            <w:r w:rsidR="00324C10" w:rsidRPr="00324C10">
              <w:rPr>
                <w:noProof/>
                <w:webHidden/>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12" w:history="1">
            <w:r w:rsidR="00324C10" w:rsidRPr="00324C10">
              <w:rPr>
                <w:rStyle w:val="Hyperlink"/>
                <w:rFonts w:ascii="Times New Roman" w:hAnsi="Times New Roman" w:cs="Times New Roman"/>
                <w:noProof/>
                <w:sz w:val="24"/>
                <w:szCs w:val="24"/>
              </w:rPr>
              <w:t>Local context of AMA and Disability</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_Toc533852512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22</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13" w:history="1">
            <w:r w:rsidR="00324C10" w:rsidRPr="00324C10">
              <w:rPr>
                <w:rStyle w:val="Hyperlink"/>
                <w:rFonts w:ascii="Times New Roman" w:hAnsi="Times New Roman" w:cs="Times New Roman"/>
                <w:noProof/>
                <w:sz w:val="24"/>
                <w:szCs w:val="24"/>
              </w:rPr>
              <w:t>Social Location and Researcher Reflections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_Toc533852513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24</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14" w:history="1">
            <w:r w:rsidR="00324C10" w:rsidRPr="00324C10">
              <w:rPr>
                <w:rStyle w:val="Hyperlink"/>
                <w:rFonts w:ascii="Times New Roman" w:hAnsi="Times New Roman" w:cs="Times New Roman"/>
                <w:noProof/>
                <w:sz w:val="24"/>
                <w:szCs w:val="24"/>
              </w:rPr>
              <w:t>Methodology</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_Toc533852514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28</w:t>
            </w:r>
            <w:r w:rsidR="00324C10" w:rsidRPr="00324C10">
              <w:rPr>
                <w:rFonts w:ascii="Times New Roman" w:hAnsi="Times New Roman" w:cs="Times New Roman"/>
                <w:noProof/>
                <w:webHidden/>
                <w:sz w:val="24"/>
                <w:szCs w:val="24"/>
              </w:rPr>
              <w:fldChar w:fldCharType="end"/>
            </w:r>
          </w:hyperlink>
        </w:p>
        <w:p w:rsidR="00324C10" w:rsidRPr="00324C10" w:rsidRDefault="001D0438" w:rsidP="001B41A9">
          <w:pPr>
            <w:pStyle w:val="TOC2"/>
            <w:rPr>
              <w:rFonts w:eastAsiaTheme="minorEastAsia"/>
              <w:noProof/>
              <w:color w:val="auto"/>
              <w:lang w:val="en-CA"/>
            </w:rPr>
          </w:pPr>
          <w:hyperlink w:anchor="_Toc533852515" w:history="1">
            <w:r w:rsidR="00324C10" w:rsidRPr="00324C10">
              <w:rPr>
                <w:rStyle w:val="Hyperlink"/>
                <w:noProof/>
                <w:sz w:val="24"/>
                <w:szCs w:val="24"/>
              </w:rPr>
              <w:t>Research Design</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_Toc533852515 \h </w:instrText>
            </w:r>
            <w:r w:rsidR="00324C10" w:rsidRPr="00324C10">
              <w:rPr>
                <w:noProof/>
                <w:webHidden/>
              </w:rPr>
            </w:r>
            <w:r w:rsidR="00324C10" w:rsidRPr="00324C10">
              <w:rPr>
                <w:noProof/>
                <w:webHidden/>
              </w:rPr>
              <w:fldChar w:fldCharType="separate"/>
            </w:r>
            <w:r w:rsidR="00324C10" w:rsidRPr="00324C10">
              <w:rPr>
                <w:noProof/>
                <w:webHidden/>
              </w:rPr>
              <w:t>28</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6" w:history="1">
            <w:r w:rsidR="00324C10" w:rsidRPr="00324C10">
              <w:rPr>
                <w:rStyle w:val="Hyperlink"/>
                <w:noProof/>
                <w:sz w:val="24"/>
                <w:szCs w:val="24"/>
              </w:rPr>
              <w:t>Study Participants, Sampling Size and the Inclusion Criteria</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_Toc533852516 \h </w:instrText>
            </w:r>
            <w:r w:rsidR="00324C10" w:rsidRPr="00324C10">
              <w:rPr>
                <w:noProof/>
                <w:webHidden/>
              </w:rPr>
            </w:r>
            <w:r w:rsidR="00324C10" w:rsidRPr="00324C10">
              <w:rPr>
                <w:noProof/>
                <w:webHidden/>
              </w:rPr>
              <w:fldChar w:fldCharType="separate"/>
            </w:r>
            <w:r w:rsidR="00324C10" w:rsidRPr="00324C10">
              <w:rPr>
                <w:noProof/>
                <w:webHidden/>
              </w:rPr>
              <w:t>28</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7" w:history="1">
            <w:r w:rsidR="00324C10" w:rsidRPr="00324C10">
              <w:rPr>
                <w:rStyle w:val="Hyperlink"/>
                <w:noProof/>
                <w:sz w:val="24"/>
                <w:szCs w:val="24"/>
              </w:rPr>
              <w:t>Recruitment process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_Toc533852517 \h </w:instrText>
            </w:r>
            <w:r w:rsidR="00324C10" w:rsidRPr="00324C10">
              <w:rPr>
                <w:noProof/>
                <w:webHidden/>
              </w:rPr>
            </w:r>
            <w:r w:rsidR="00324C10" w:rsidRPr="00324C10">
              <w:rPr>
                <w:noProof/>
                <w:webHidden/>
              </w:rPr>
              <w:fldChar w:fldCharType="separate"/>
            </w:r>
            <w:r w:rsidR="00324C10" w:rsidRPr="00324C10">
              <w:rPr>
                <w:noProof/>
                <w:webHidden/>
              </w:rPr>
              <w:t>29</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8" w:history="1">
            <w:r w:rsidR="00324C10" w:rsidRPr="00324C10">
              <w:rPr>
                <w:rStyle w:val="Hyperlink"/>
                <w:noProof/>
                <w:sz w:val="24"/>
                <w:szCs w:val="24"/>
              </w:rPr>
              <w:t>Research instruments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_Toc533852518 \h </w:instrText>
            </w:r>
            <w:r w:rsidR="00324C10" w:rsidRPr="00324C10">
              <w:rPr>
                <w:noProof/>
                <w:webHidden/>
              </w:rPr>
            </w:r>
            <w:r w:rsidR="00324C10" w:rsidRPr="00324C10">
              <w:rPr>
                <w:noProof/>
                <w:webHidden/>
              </w:rPr>
              <w:fldChar w:fldCharType="separate"/>
            </w:r>
            <w:r w:rsidR="00324C10" w:rsidRPr="00324C10">
              <w:rPr>
                <w:noProof/>
                <w:webHidden/>
              </w:rPr>
              <w:t>29</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19" w:history="1">
            <w:r w:rsidR="00324C10" w:rsidRPr="00324C10">
              <w:rPr>
                <w:rStyle w:val="Hyperlink"/>
                <w:noProof/>
                <w:sz w:val="24"/>
                <w:szCs w:val="24"/>
              </w:rPr>
              <w:t>Data Collection and Interview Interpretation</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_Toc533852519 \h </w:instrText>
            </w:r>
            <w:r w:rsidR="00324C10" w:rsidRPr="00324C10">
              <w:rPr>
                <w:noProof/>
                <w:webHidden/>
              </w:rPr>
            </w:r>
            <w:r w:rsidR="00324C10" w:rsidRPr="00324C10">
              <w:rPr>
                <w:noProof/>
                <w:webHidden/>
              </w:rPr>
              <w:fldChar w:fldCharType="separate"/>
            </w:r>
            <w:r w:rsidR="00324C10" w:rsidRPr="00324C10">
              <w:rPr>
                <w:noProof/>
                <w:webHidden/>
              </w:rPr>
              <w:t>29</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20" w:history="1">
            <w:r w:rsidR="00324C10" w:rsidRPr="00324C10">
              <w:rPr>
                <w:rStyle w:val="Hyperlink"/>
                <w:noProof/>
                <w:sz w:val="24"/>
                <w:szCs w:val="24"/>
              </w:rPr>
              <w:t>Ethics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_Toc533852520 \h </w:instrText>
            </w:r>
            <w:r w:rsidR="00324C10" w:rsidRPr="00324C10">
              <w:rPr>
                <w:noProof/>
                <w:webHidden/>
              </w:rPr>
            </w:r>
            <w:r w:rsidR="00324C10" w:rsidRPr="00324C10">
              <w:rPr>
                <w:noProof/>
                <w:webHidden/>
              </w:rPr>
              <w:fldChar w:fldCharType="separate"/>
            </w:r>
            <w:r w:rsidR="00324C10" w:rsidRPr="00324C10">
              <w:rPr>
                <w:noProof/>
                <w:webHidden/>
              </w:rPr>
              <w:t>30</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21" w:history="1">
            <w:r w:rsidR="00324C10" w:rsidRPr="00324C10">
              <w:rPr>
                <w:rStyle w:val="Hyperlink"/>
                <w:noProof/>
                <w:sz w:val="24"/>
                <w:szCs w:val="24"/>
              </w:rPr>
              <w:t>Data Analyses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_Toc533852521 \h </w:instrText>
            </w:r>
            <w:r w:rsidR="00324C10" w:rsidRPr="00324C10">
              <w:rPr>
                <w:noProof/>
                <w:webHidden/>
              </w:rPr>
            </w:r>
            <w:r w:rsidR="00324C10" w:rsidRPr="00324C10">
              <w:rPr>
                <w:noProof/>
                <w:webHidden/>
              </w:rPr>
              <w:fldChar w:fldCharType="separate"/>
            </w:r>
            <w:r w:rsidR="00324C10" w:rsidRPr="00324C10">
              <w:rPr>
                <w:noProof/>
                <w:webHidden/>
              </w:rPr>
              <w:t>30</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22" w:history="1">
            <w:r w:rsidR="00324C10" w:rsidRPr="00324C10">
              <w:rPr>
                <w:rStyle w:val="Hyperlink"/>
                <w:noProof/>
                <w:sz w:val="24"/>
                <w:szCs w:val="24"/>
              </w:rPr>
              <w:t>Limitations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_Toc533852522 \h </w:instrText>
            </w:r>
            <w:r w:rsidR="00324C10" w:rsidRPr="00324C10">
              <w:rPr>
                <w:noProof/>
                <w:webHidden/>
              </w:rPr>
            </w:r>
            <w:r w:rsidR="00324C10" w:rsidRPr="00324C10">
              <w:rPr>
                <w:noProof/>
                <w:webHidden/>
              </w:rPr>
              <w:fldChar w:fldCharType="separate"/>
            </w:r>
            <w:r w:rsidR="00324C10" w:rsidRPr="00324C10">
              <w:rPr>
                <w:noProof/>
                <w:webHidden/>
              </w:rPr>
              <w:t>31</w:t>
            </w:r>
            <w:r w:rsidR="00324C10" w:rsidRPr="00324C10">
              <w:rPr>
                <w:noProof/>
                <w:webHidden/>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23" w:history="1">
            <w:r w:rsidR="00324C10" w:rsidRPr="00324C10">
              <w:rPr>
                <w:rStyle w:val="Hyperlink"/>
                <w:rFonts w:ascii="Times New Roman" w:hAnsi="Times New Roman" w:cs="Times New Roman"/>
                <w:noProof/>
                <w:sz w:val="24"/>
                <w:szCs w:val="24"/>
              </w:rPr>
              <w:t>Results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_Toc533852523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32</w:t>
            </w:r>
            <w:r w:rsidR="00324C10" w:rsidRPr="00324C10">
              <w:rPr>
                <w:rFonts w:ascii="Times New Roman" w:hAnsi="Times New Roman" w:cs="Times New Roman"/>
                <w:noProof/>
                <w:webHidden/>
                <w:sz w:val="24"/>
                <w:szCs w:val="24"/>
              </w:rPr>
              <w:fldChar w:fldCharType="end"/>
            </w:r>
          </w:hyperlink>
        </w:p>
        <w:p w:rsidR="00324C10" w:rsidRPr="00324C10" w:rsidRDefault="001D0438" w:rsidP="001B41A9">
          <w:pPr>
            <w:pStyle w:val="TOC2"/>
            <w:rPr>
              <w:rFonts w:eastAsiaTheme="minorEastAsia"/>
              <w:noProof/>
              <w:color w:val="auto"/>
              <w:lang w:val="en-CA"/>
            </w:rPr>
          </w:pPr>
          <w:hyperlink w:anchor="_Toc533852524" w:history="1">
            <w:r w:rsidR="00324C10" w:rsidRPr="00324C10">
              <w:rPr>
                <w:rStyle w:val="Hyperlink"/>
                <w:noProof/>
                <w:sz w:val="24"/>
                <w:szCs w:val="24"/>
              </w:rPr>
              <w:t>Interview Site</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_Toc533852524 \h </w:instrText>
            </w:r>
            <w:r w:rsidR="00324C10" w:rsidRPr="00324C10">
              <w:rPr>
                <w:noProof/>
                <w:webHidden/>
              </w:rPr>
            </w:r>
            <w:r w:rsidR="00324C10" w:rsidRPr="00324C10">
              <w:rPr>
                <w:noProof/>
                <w:webHidden/>
              </w:rPr>
              <w:fldChar w:fldCharType="separate"/>
            </w:r>
            <w:r w:rsidR="00324C10" w:rsidRPr="00324C10">
              <w:rPr>
                <w:noProof/>
                <w:webHidden/>
              </w:rPr>
              <w:t>32</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25" w:history="1">
            <w:r w:rsidR="00324C10" w:rsidRPr="00324C10">
              <w:rPr>
                <w:rStyle w:val="Hyperlink"/>
                <w:noProof/>
                <w:sz w:val="24"/>
                <w:szCs w:val="24"/>
              </w:rPr>
              <w:t>Participants Characteristics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_Toc533852525 \h </w:instrText>
            </w:r>
            <w:r w:rsidR="00324C10" w:rsidRPr="00324C10">
              <w:rPr>
                <w:noProof/>
                <w:webHidden/>
              </w:rPr>
            </w:r>
            <w:r w:rsidR="00324C10" w:rsidRPr="00324C10">
              <w:rPr>
                <w:noProof/>
                <w:webHidden/>
              </w:rPr>
              <w:fldChar w:fldCharType="separate"/>
            </w:r>
            <w:r w:rsidR="00324C10" w:rsidRPr="00324C10">
              <w:rPr>
                <w:noProof/>
                <w:webHidden/>
              </w:rPr>
              <w:t>32</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26" w:history="1">
            <w:r w:rsidR="00324C10" w:rsidRPr="00324C10">
              <w:rPr>
                <w:rStyle w:val="Hyperlink"/>
                <w:noProof/>
                <w:sz w:val="24"/>
                <w:szCs w:val="24"/>
              </w:rPr>
              <w:t>Themes</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_Toc533852526 \h </w:instrText>
            </w:r>
            <w:r w:rsidR="00324C10" w:rsidRPr="00324C10">
              <w:rPr>
                <w:noProof/>
                <w:webHidden/>
              </w:rPr>
            </w:r>
            <w:r w:rsidR="00324C10" w:rsidRPr="00324C10">
              <w:rPr>
                <w:noProof/>
                <w:webHidden/>
              </w:rPr>
              <w:fldChar w:fldCharType="separate"/>
            </w:r>
            <w:r w:rsidR="00324C10" w:rsidRPr="00324C10">
              <w:rPr>
                <w:noProof/>
                <w:webHidden/>
              </w:rPr>
              <w:t>32</w:t>
            </w:r>
            <w:r w:rsidR="00324C10" w:rsidRPr="00324C10">
              <w:rPr>
                <w:noProof/>
                <w:webHidden/>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27" w:history="1">
            <w:r w:rsidR="00324C10" w:rsidRPr="00324C10">
              <w:rPr>
                <w:rStyle w:val="Hyperlink"/>
                <w:rFonts w:ascii="Times New Roman" w:hAnsi="Times New Roman" w:cs="Times New Roman"/>
                <w:noProof/>
                <w:sz w:val="24"/>
                <w:szCs w:val="24"/>
              </w:rPr>
              <w:t>Introduction</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_Toc533852527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32</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28" w:history="1">
            <w:r w:rsidR="00324C10" w:rsidRPr="00324C10">
              <w:rPr>
                <w:rStyle w:val="Hyperlink"/>
                <w:rFonts w:ascii="Times New Roman" w:hAnsi="Times New Roman" w:cs="Times New Roman"/>
                <w:noProof/>
                <w:sz w:val="24"/>
                <w:szCs w:val="24"/>
              </w:rPr>
              <w:t>Training</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_Toc533852528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36</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29" w:history="1">
            <w:r w:rsidR="00324C10" w:rsidRPr="00324C10">
              <w:rPr>
                <w:rStyle w:val="Hyperlink"/>
                <w:rFonts w:ascii="Times New Roman" w:hAnsi="Times New Roman" w:cs="Times New Roman"/>
                <w:noProof/>
                <w:sz w:val="24"/>
                <w:szCs w:val="24"/>
              </w:rPr>
              <w:t>Accessibility</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_Toc533852529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42</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0" w:history="1">
            <w:r w:rsidR="00324C10" w:rsidRPr="00324C10">
              <w:rPr>
                <w:rStyle w:val="Hyperlink"/>
                <w:rFonts w:ascii="Times New Roman" w:hAnsi="Times New Roman" w:cs="Times New Roman"/>
                <w:noProof/>
                <w:sz w:val="24"/>
                <w:szCs w:val="24"/>
              </w:rPr>
              <w:t>Resources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_Toc533852530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49</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1" w:history="1">
            <w:r w:rsidR="00324C10" w:rsidRPr="00324C10">
              <w:rPr>
                <w:rStyle w:val="Hyperlink"/>
                <w:rFonts w:ascii="Times New Roman" w:hAnsi="Times New Roman" w:cs="Times New Roman"/>
                <w:noProof/>
                <w:sz w:val="24"/>
                <w:szCs w:val="24"/>
              </w:rPr>
              <w:t>Time remuneration</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_Toc533852531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55</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3"/>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2" w:history="1">
            <w:r w:rsidR="00324C10" w:rsidRPr="00324C10">
              <w:rPr>
                <w:rStyle w:val="Hyperlink"/>
                <w:rFonts w:ascii="Times New Roman" w:hAnsi="Times New Roman" w:cs="Times New Roman"/>
                <w:noProof/>
                <w:sz w:val="24"/>
                <w:szCs w:val="24"/>
              </w:rPr>
              <w:t>Policies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_Toc533852532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60</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3" w:history="1">
            <w:r w:rsidR="00324C10" w:rsidRPr="00324C10">
              <w:rPr>
                <w:rStyle w:val="Hyperlink"/>
                <w:rFonts w:ascii="Times New Roman" w:hAnsi="Times New Roman" w:cs="Times New Roman"/>
                <w:noProof/>
                <w:sz w:val="24"/>
                <w:szCs w:val="24"/>
              </w:rPr>
              <w:t>Concluding Remarks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_Toc533852533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71</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4" w:history="1">
            <w:r w:rsidR="00324C10" w:rsidRPr="00324C10">
              <w:rPr>
                <w:rStyle w:val="Hyperlink"/>
                <w:rFonts w:ascii="Times New Roman" w:hAnsi="Times New Roman" w:cs="Times New Roman"/>
                <w:noProof/>
                <w:sz w:val="24"/>
                <w:szCs w:val="24"/>
              </w:rPr>
              <w:t>Recommendations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_Toc533852534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75</w:t>
            </w:r>
            <w:r w:rsidR="00324C10" w:rsidRPr="00324C10">
              <w:rPr>
                <w:rFonts w:ascii="Times New Roman" w:hAnsi="Times New Roman" w:cs="Times New Roman"/>
                <w:noProof/>
                <w:webHidden/>
                <w:sz w:val="24"/>
                <w:szCs w:val="24"/>
              </w:rPr>
              <w:fldChar w:fldCharType="end"/>
            </w:r>
          </w:hyperlink>
        </w:p>
        <w:p w:rsidR="00324C10" w:rsidRPr="00324C10" w:rsidRDefault="001D0438" w:rsidP="001B41A9">
          <w:pPr>
            <w:pStyle w:val="TOC2"/>
            <w:rPr>
              <w:rFonts w:eastAsiaTheme="minorEastAsia"/>
              <w:noProof/>
              <w:color w:val="auto"/>
              <w:lang w:val="en-CA"/>
            </w:rPr>
          </w:pPr>
          <w:hyperlink w:anchor="_Toc533852535" w:history="1">
            <w:r w:rsidR="00324C10" w:rsidRPr="00324C10">
              <w:rPr>
                <w:rStyle w:val="Hyperlink"/>
                <w:noProof/>
                <w:sz w:val="24"/>
                <w:szCs w:val="24"/>
              </w:rPr>
              <w:t>Training</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_Toc533852535 \h </w:instrText>
            </w:r>
            <w:r w:rsidR="00324C10" w:rsidRPr="00324C10">
              <w:rPr>
                <w:noProof/>
                <w:webHidden/>
              </w:rPr>
            </w:r>
            <w:r w:rsidR="00324C10" w:rsidRPr="00324C10">
              <w:rPr>
                <w:noProof/>
                <w:webHidden/>
              </w:rPr>
              <w:fldChar w:fldCharType="separate"/>
            </w:r>
            <w:r w:rsidR="00324C10" w:rsidRPr="00324C10">
              <w:rPr>
                <w:noProof/>
                <w:webHidden/>
              </w:rPr>
              <w:t>75</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36" w:history="1">
            <w:r w:rsidR="00324C10" w:rsidRPr="00324C10">
              <w:rPr>
                <w:rStyle w:val="Hyperlink"/>
                <w:noProof/>
                <w:sz w:val="24"/>
                <w:szCs w:val="24"/>
              </w:rPr>
              <w:t>Resources and Assistance</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_Toc533852536 \h </w:instrText>
            </w:r>
            <w:r w:rsidR="00324C10" w:rsidRPr="00324C10">
              <w:rPr>
                <w:noProof/>
                <w:webHidden/>
              </w:rPr>
            </w:r>
            <w:r w:rsidR="00324C10" w:rsidRPr="00324C10">
              <w:rPr>
                <w:noProof/>
                <w:webHidden/>
              </w:rPr>
              <w:fldChar w:fldCharType="separate"/>
            </w:r>
            <w:r w:rsidR="00324C10" w:rsidRPr="00324C10">
              <w:rPr>
                <w:noProof/>
                <w:webHidden/>
              </w:rPr>
              <w:t>75</w:t>
            </w:r>
            <w:r w:rsidR="00324C10" w:rsidRPr="00324C10">
              <w:rPr>
                <w:noProof/>
                <w:webHidden/>
              </w:rPr>
              <w:fldChar w:fldCharType="end"/>
            </w:r>
          </w:hyperlink>
        </w:p>
        <w:p w:rsidR="00324C10" w:rsidRPr="00324C10" w:rsidRDefault="001D0438" w:rsidP="001B41A9">
          <w:pPr>
            <w:pStyle w:val="TOC2"/>
            <w:rPr>
              <w:rFonts w:eastAsiaTheme="minorEastAsia"/>
              <w:noProof/>
              <w:color w:val="auto"/>
              <w:lang w:val="en-CA"/>
            </w:rPr>
          </w:pPr>
          <w:hyperlink w:anchor="_Toc533852537" w:history="1">
            <w:r w:rsidR="00324C10" w:rsidRPr="00324C10">
              <w:rPr>
                <w:rStyle w:val="Hyperlink"/>
                <w:noProof/>
                <w:sz w:val="24"/>
                <w:szCs w:val="24"/>
              </w:rPr>
              <w:t>Policy Evaluation and Modification</w:t>
            </w:r>
            <w:r w:rsidR="00324C10" w:rsidRPr="00324C10">
              <w:rPr>
                <w:noProof/>
                <w:webHidden/>
              </w:rPr>
              <w:tab/>
            </w:r>
            <w:r w:rsidR="00324C10" w:rsidRPr="00324C10">
              <w:rPr>
                <w:noProof/>
                <w:webHidden/>
              </w:rPr>
              <w:fldChar w:fldCharType="begin"/>
            </w:r>
            <w:r w:rsidR="00324C10" w:rsidRPr="00324C10">
              <w:rPr>
                <w:noProof/>
                <w:webHidden/>
              </w:rPr>
              <w:instrText xml:space="preserve"> PAGEREF _Toc533852537 \h </w:instrText>
            </w:r>
            <w:r w:rsidR="00324C10" w:rsidRPr="00324C10">
              <w:rPr>
                <w:noProof/>
                <w:webHidden/>
              </w:rPr>
            </w:r>
            <w:r w:rsidR="00324C10" w:rsidRPr="00324C10">
              <w:rPr>
                <w:noProof/>
                <w:webHidden/>
              </w:rPr>
              <w:fldChar w:fldCharType="separate"/>
            </w:r>
            <w:r w:rsidR="00324C10" w:rsidRPr="00324C10">
              <w:rPr>
                <w:noProof/>
                <w:webHidden/>
              </w:rPr>
              <w:t>76</w:t>
            </w:r>
            <w:r w:rsidR="00324C10" w:rsidRPr="00324C10">
              <w:rPr>
                <w:noProof/>
                <w:webHidden/>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8" w:history="1">
            <w:r w:rsidR="00324C10" w:rsidRPr="00324C10">
              <w:rPr>
                <w:rStyle w:val="Hyperlink"/>
                <w:rFonts w:ascii="Times New Roman" w:hAnsi="Times New Roman" w:cs="Times New Roman"/>
                <w:noProof/>
                <w:sz w:val="24"/>
                <w:szCs w:val="24"/>
              </w:rPr>
              <w:t>Further Research</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_Toc533852538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78</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39" w:history="1">
            <w:r w:rsidR="00324C10" w:rsidRPr="00324C10">
              <w:rPr>
                <w:rStyle w:val="Hyperlink"/>
                <w:rFonts w:ascii="Times New Roman" w:hAnsi="Times New Roman" w:cs="Times New Roman"/>
                <w:noProof/>
                <w:sz w:val="24"/>
                <w:szCs w:val="24"/>
              </w:rPr>
              <w:t>References</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_Toc533852539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79</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40" w:history="1">
            <w:r w:rsidR="00324C10" w:rsidRPr="00324C10">
              <w:rPr>
                <w:rStyle w:val="Hyperlink"/>
                <w:rFonts w:ascii="Times New Roman" w:hAnsi="Times New Roman" w:cs="Times New Roman"/>
                <w:noProof/>
                <w:sz w:val="24"/>
                <w:szCs w:val="24"/>
              </w:rPr>
              <w:t>Appendix A: Research Participant Information and Consent Form</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_Toc533852540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88</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41" w:history="1">
            <w:r w:rsidR="00324C10" w:rsidRPr="00324C10">
              <w:rPr>
                <w:rStyle w:val="Hyperlink"/>
                <w:rFonts w:ascii="Times New Roman" w:hAnsi="Times New Roman" w:cs="Times New Roman"/>
                <w:noProof/>
                <w:sz w:val="24"/>
                <w:szCs w:val="24"/>
              </w:rPr>
              <w:t>Appendix B: Letter of Invitation</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_Toc533852541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93</w:t>
            </w:r>
            <w:r w:rsidR="00324C10" w:rsidRPr="00324C10">
              <w:rPr>
                <w:rFonts w:ascii="Times New Roman" w:hAnsi="Times New Roman" w:cs="Times New Roman"/>
                <w:noProof/>
                <w:webHidden/>
                <w:sz w:val="24"/>
                <w:szCs w:val="24"/>
              </w:rPr>
              <w:fldChar w:fldCharType="end"/>
            </w:r>
          </w:hyperlink>
        </w:p>
        <w:p w:rsidR="00324C10" w:rsidRPr="00324C10" w:rsidRDefault="001D0438" w:rsidP="00324C10">
          <w:pPr>
            <w:pStyle w:val="TOC1"/>
            <w:tabs>
              <w:tab w:val="right" w:leader="dot" w:pos="9350"/>
            </w:tabs>
            <w:spacing w:line="360" w:lineRule="auto"/>
            <w:rPr>
              <w:rFonts w:ascii="Times New Roman" w:eastAsiaTheme="minorEastAsia" w:hAnsi="Times New Roman" w:cs="Times New Roman"/>
              <w:noProof/>
              <w:color w:val="auto"/>
              <w:sz w:val="24"/>
              <w:szCs w:val="24"/>
              <w:lang w:val="en-CA"/>
            </w:rPr>
          </w:pPr>
          <w:hyperlink w:anchor="_Toc533852542" w:history="1">
            <w:r w:rsidR="00324C10" w:rsidRPr="00324C10">
              <w:rPr>
                <w:rStyle w:val="Hyperlink"/>
                <w:rFonts w:ascii="Times New Roman" w:hAnsi="Times New Roman" w:cs="Times New Roman"/>
                <w:noProof/>
                <w:sz w:val="24"/>
                <w:szCs w:val="24"/>
              </w:rPr>
              <w:t>Appendix C: Interview Guide</w:t>
            </w:r>
            <w:r w:rsidR="00324C10" w:rsidRPr="00324C10">
              <w:rPr>
                <w:rFonts w:ascii="Times New Roman" w:hAnsi="Times New Roman" w:cs="Times New Roman"/>
                <w:noProof/>
                <w:webHidden/>
                <w:sz w:val="24"/>
                <w:szCs w:val="24"/>
              </w:rPr>
              <w:tab/>
            </w:r>
            <w:r w:rsidR="00324C10" w:rsidRPr="00324C10">
              <w:rPr>
                <w:rFonts w:ascii="Times New Roman" w:hAnsi="Times New Roman" w:cs="Times New Roman"/>
                <w:noProof/>
                <w:webHidden/>
                <w:sz w:val="24"/>
                <w:szCs w:val="24"/>
              </w:rPr>
              <w:fldChar w:fldCharType="begin"/>
            </w:r>
            <w:r w:rsidR="00324C10" w:rsidRPr="00324C10">
              <w:rPr>
                <w:rFonts w:ascii="Times New Roman" w:hAnsi="Times New Roman" w:cs="Times New Roman"/>
                <w:noProof/>
                <w:webHidden/>
                <w:sz w:val="24"/>
                <w:szCs w:val="24"/>
              </w:rPr>
              <w:instrText xml:space="preserve"> PAGEREF _Toc533852542 \h </w:instrText>
            </w:r>
            <w:r w:rsidR="00324C10" w:rsidRPr="00324C10">
              <w:rPr>
                <w:rFonts w:ascii="Times New Roman" w:hAnsi="Times New Roman" w:cs="Times New Roman"/>
                <w:noProof/>
                <w:webHidden/>
                <w:sz w:val="24"/>
                <w:szCs w:val="24"/>
              </w:rPr>
            </w:r>
            <w:r w:rsidR="00324C10" w:rsidRPr="00324C10">
              <w:rPr>
                <w:rFonts w:ascii="Times New Roman" w:hAnsi="Times New Roman" w:cs="Times New Roman"/>
                <w:noProof/>
                <w:webHidden/>
                <w:sz w:val="24"/>
                <w:szCs w:val="24"/>
              </w:rPr>
              <w:fldChar w:fldCharType="separate"/>
            </w:r>
            <w:r w:rsidR="00324C10" w:rsidRPr="00324C10">
              <w:rPr>
                <w:rFonts w:ascii="Times New Roman" w:hAnsi="Times New Roman" w:cs="Times New Roman"/>
                <w:noProof/>
                <w:webHidden/>
                <w:sz w:val="24"/>
                <w:szCs w:val="24"/>
              </w:rPr>
              <w:t>97</w:t>
            </w:r>
            <w:r w:rsidR="00324C10" w:rsidRPr="00324C10">
              <w:rPr>
                <w:rFonts w:ascii="Times New Roman" w:hAnsi="Times New Roman" w:cs="Times New Roman"/>
                <w:noProof/>
                <w:webHidden/>
                <w:sz w:val="24"/>
                <w:szCs w:val="24"/>
              </w:rPr>
              <w:fldChar w:fldCharType="end"/>
            </w:r>
          </w:hyperlink>
        </w:p>
        <w:p w:rsidR="00DD3744" w:rsidRPr="00DD3744" w:rsidRDefault="005C6640" w:rsidP="001B41A9">
          <w:pPr>
            <w:pStyle w:val="TOC2"/>
            <w:sectPr w:rsidR="00DD3744" w:rsidRPr="00DD3744" w:rsidSect="00DD3744">
              <w:headerReference w:type="even" r:id="rId8"/>
              <w:headerReference w:type="default" r:id="rId9"/>
              <w:footerReference w:type="default" r:id="rId10"/>
              <w:pgSz w:w="12240" w:h="15840"/>
              <w:pgMar w:top="1440" w:right="1440" w:bottom="1440" w:left="1440" w:header="720" w:footer="0" w:gutter="0"/>
              <w:pgNumType w:fmt="lowerRoman" w:start="1"/>
              <w:cols w:space="720"/>
              <w:formProt w:val="0"/>
              <w:titlePg/>
              <w:docGrid w:linePitch="360" w:charSpace="-6145"/>
            </w:sectPr>
          </w:pPr>
          <w:r w:rsidRPr="00324C10">
            <w:fldChar w:fldCharType="end"/>
          </w:r>
        </w:p>
      </w:sdtContent>
    </w:sdt>
    <w:p w:rsidR="00CE73D7" w:rsidRDefault="00CE73D7" w:rsidP="00DD3744">
      <w:pPr>
        <w:spacing w:line="480" w:lineRule="auto"/>
        <w:rPr>
          <w:rFonts w:eastAsiaTheme="majorEastAsia"/>
          <w:b/>
          <w:lang w:val="en-CA"/>
        </w:rPr>
      </w:pPr>
    </w:p>
    <w:p w:rsidR="00AA3D25" w:rsidRDefault="00CE73D7" w:rsidP="00DD3744">
      <w:pPr>
        <w:pStyle w:val="Heading1"/>
        <w:tabs>
          <w:tab w:val="center" w:pos="4680"/>
          <w:tab w:val="left" w:pos="7114"/>
        </w:tabs>
        <w:jc w:val="left"/>
      </w:pPr>
      <w:r>
        <w:tab/>
      </w:r>
      <w:bookmarkStart w:id="5" w:name="_Toc533852498"/>
      <w:r w:rsidR="005C6640">
        <w:t>Introduction</w:t>
      </w:r>
      <w:bookmarkEnd w:id="5"/>
      <w:r>
        <w:tab/>
      </w:r>
    </w:p>
    <w:p w:rsidR="00AA3D25" w:rsidRDefault="005C6640" w:rsidP="00DD3744">
      <w:pPr>
        <w:pStyle w:val="Heading2"/>
      </w:pPr>
      <w:bookmarkStart w:id="6" w:name="_1fob9te"/>
      <w:bookmarkEnd w:id="6"/>
      <w:r>
        <w:t xml:space="preserve"> </w:t>
      </w:r>
      <w:bookmarkStart w:id="7" w:name="_Toc533852499"/>
      <w:r>
        <w:t>Context</w:t>
      </w:r>
      <w:bookmarkEnd w:id="7"/>
    </w:p>
    <w:p w:rsidR="00AA3D25" w:rsidRDefault="005C6640" w:rsidP="00DD3744">
      <w:pPr>
        <w:widowControl w:val="0"/>
        <w:spacing w:line="480" w:lineRule="auto"/>
        <w:ind w:firstLine="720"/>
      </w:pPr>
      <w:bookmarkStart w:id="8" w:name="_3znysh7"/>
      <w:bookmarkEnd w:id="8"/>
      <w:r>
        <w:rPr>
          <w:rFonts w:eastAsia="Times New Roman"/>
          <w:color w:val="000000"/>
        </w:rPr>
        <w:t xml:space="preserve">“Health inequalities can be defined as differences in health status or in the distribution of health determinants between different population groups” (World Health Organization, 2016). People with disability (PWD) have </w:t>
      </w:r>
      <w:r>
        <w:t>contested</w:t>
      </w:r>
      <w:r>
        <w:rPr>
          <w:rFonts w:eastAsia="Times New Roman"/>
          <w:color w:val="000000"/>
        </w:rPr>
        <w:t xml:space="preserve"> systemic marginalization for decades (Oliver, 1996). The marginalization continues from the</w:t>
      </w:r>
      <w:r w:rsidR="00987D2A" w:rsidRPr="00987D2A">
        <w:rPr>
          <w:rFonts w:eastAsia="Times New Roman"/>
          <w:color w:val="000000"/>
        </w:rPr>
        <w:t xml:space="preserve"> </w:t>
      </w:r>
      <w:r w:rsidR="00987D2A">
        <w:rPr>
          <w:rFonts w:eastAsia="Times New Roman"/>
          <w:color w:val="000000"/>
        </w:rPr>
        <w:t>necessities</w:t>
      </w:r>
      <w:r>
        <w:rPr>
          <w:rFonts w:eastAsia="Times New Roman"/>
          <w:color w:val="000000"/>
        </w:rPr>
        <w:t xml:space="preserve"> </w:t>
      </w:r>
      <w:r w:rsidR="00987D2A">
        <w:rPr>
          <w:rFonts w:eastAsia="Times New Roman"/>
          <w:color w:val="000000"/>
        </w:rPr>
        <w:t xml:space="preserve">for </w:t>
      </w:r>
      <w:r>
        <w:rPr>
          <w:rFonts w:eastAsia="Times New Roman"/>
          <w:color w:val="000000"/>
        </w:rPr>
        <w:t xml:space="preserve">basic living </w:t>
      </w:r>
      <w:r w:rsidR="00987D2A">
        <w:rPr>
          <w:rFonts w:eastAsia="Times New Roman"/>
          <w:color w:val="000000"/>
        </w:rPr>
        <w:t>to large health inequities</w:t>
      </w:r>
      <w:r>
        <w:rPr>
          <w:rFonts w:eastAsia="Times New Roman"/>
          <w:color w:val="000000"/>
        </w:rPr>
        <w:t>. The</w:t>
      </w:r>
      <w:r w:rsidR="00987D2A">
        <w:rPr>
          <w:rFonts w:eastAsia="Times New Roman"/>
          <w:color w:val="000000"/>
        </w:rPr>
        <w:t xml:space="preserve"> disability</w:t>
      </w:r>
      <w:r>
        <w:rPr>
          <w:rFonts w:eastAsia="Times New Roman"/>
          <w:color w:val="000000"/>
        </w:rPr>
        <w:t xml:space="preserve"> accommodation</w:t>
      </w:r>
      <w:r w:rsidR="00987D2A">
        <w:rPr>
          <w:rFonts w:eastAsia="Times New Roman"/>
          <w:color w:val="000000"/>
        </w:rPr>
        <w:t>s provided by</w:t>
      </w:r>
      <w:r>
        <w:rPr>
          <w:rFonts w:eastAsia="Times New Roman"/>
          <w:color w:val="000000"/>
        </w:rPr>
        <w:t xml:space="preserve"> </w:t>
      </w:r>
      <w:r w:rsidR="00987D2A">
        <w:rPr>
          <w:rFonts w:eastAsia="Times New Roman"/>
          <w:color w:val="000000"/>
        </w:rPr>
        <w:t>modern society are</w:t>
      </w:r>
      <w:r>
        <w:rPr>
          <w:rFonts w:eastAsia="Times New Roman"/>
          <w:color w:val="000000"/>
        </w:rPr>
        <w:t xml:space="preserve"> basic (Hansen, 2009). Meanwhile, the rate of disability continues to grow. The ageing population has a substantial bearing on the number of disabled people </w:t>
      </w:r>
      <w:r w:rsidR="00987D2A">
        <w:rPr>
          <w:rFonts w:eastAsia="Times New Roman"/>
          <w:color w:val="000000"/>
        </w:rPr>
        <w:t>worldwide</w:t>
      </w:r>
      <w:r>
        <w:rPr>
          <w:rFonts w:eastAsia="Times New Roman"/>
          <w:color w:val="000000"/>
        </w:rPr>
        <w:t xml:space="preserve"> (World Health Report, 2011). Briefly exploring the concepts of different models of disability facilitates in understanding the challenges from a different viewpoint. The dominant (medical) model of disability does little to help the perception of disability. Since disability and medicine are linked to each other, it is understood yet not justifiable, to be defined by the medical perspective alone. Llewellyn explains the conundrum of the prevalent model of disability as “the general framework of the so-called </w:t>
      </w:r>
      <w:r w:rsidR="003018D2">
        <w:rPr>
          <w:rFonts w:eastAsia="Times New Roman"/>
          <w:color w:val="000000"/>
        </w:rPr>
        <w:t>Medical Model</w:t>
      </w:r>
      <w:r>
        <w:rPr>
          <w:rFonts w:eastAsia="Times New Roman"/>
          <w:color w:val="000000"/>
        </w:rPr>
        <w:t xml:space="preserve"> emanates from the disease model used in medicine, which predisposes practitioners to think of a “condition,” which needs appropriate treatment” (Llewellyn &amp; Hogan, 2000). Th</w:t>
      </w:r>
      <w:r w:rsidR="00A52B8D">
        <w:rPr>
          <w:rFonts w:eastAsia="Times New Roman"/>
          <w:color w:val="000000"/>
        </w:rPr>
        <w:t>e</w:t>
      </w:r>
      <w:r>
        <w:rPr>
          <w:rFonts w:eastAsia="Times New Roman"/>
          <w:color w:val="000000"/>
        </w:rPr>
        <w:t xml:space="preserve"> concept </w:t>
      </w:r>
      <w:r w:rsidR="00987D2A">
        <w:rPr>
          <w:rFonts w:eastAsia="Times New Roman"/>
          <w:color w:val="000000"/>
        </w:rPr>
        <w:t>is strongly</w:t>
      </w:r>
      <w:r>
        <w:rPr>
          <w:rFonts w:eastAsia="Times New Roman"/>
          <w:color w:val="000000"/>
        </w:rPr>
        <w:t xml:space="preserve"> opposed by disability activists globally</w:t>
      </w:r>
      <w:r w:rsidR="00987D2A">
        <w:rPr>
          <w:rFonts w:eastAsia="Times New Roman"/>
          <w:color w:val="000000"/>
        </w:rPr>
        <w:t>.</w:t>
      </w:r>
      <w:r>
        <w:rPr>
          <w:rFonts w:eastAsia="Times New Roman"/>
          <w:color w:val="000000"/>
        </w:rPr>
        <w:t xml:space="preserve"> </w:t>
      </w:r>
      <w:r w:rsidR="00987D2A">
        <w:rPr>
          <w:rFonts w:eastAsia="Times New Roman"/>
          <w:color w:val="000000"/>
        </w:rPr>
        <w:t>They</w:t>
      </w:r>
      <w:r>
        <w:rPr>
          <w:rFonts w:eastAsia="Times New Roman"/>
          <w:color w:val="000000"/>
        </w:rPr>
        <w:t xml:space="preserve"> argue that the medicalization of disability </w:t>
      </w:r>
      <w:r w:rsidR="00987D2A">
        <w:rPr>
          <w:rFonts w:eastAsia="Times New Roman"/>
          <w:color w:val="000000"/>
        </w:rPr>
        <w:t>maintains the</w:t>
      </w:r>
      <w:r>
        <w:rPr>
          <w:rFonts w:eastAsia="Times New Roman"/>
          <w:color w:val="000000"/>
        </w:rPr>
        <w:t xml:space="preserve"> stigma of disability, and exacerbates, rather than alleviates, health inequities.</w:t>
      </w:r>
    </w:p>
    <w:p w:rsidR="00AA3D25" w:rsidRDefault="005C6640" w:rsidP="00DD3744">
      <w:pPr>
        <w:widowControl w:val="0"/>
        <w:spacing w:line="480" w:lineRule="auto"/>
        <w:ind w:firstLine="720"/>
      </w:pPr>
      <w:bookmarkStart w:id="9" w:name="_qsh70q"/>
      <w:bookmarkEnd w:id="9"/>
      <w:r>
        <w:t xml:space="preserve">The inherent </w:t>
      </w:r>
      <w:r w:rsidR="000C7958">
        <w:t xml:space="preserve">problem is the </w:t>
      </w:r>
      <w:r>
        <w:t xml:space="preserve">subjective view of the </w:t>
      </w:r>
      <w:r w:rsidR="003018D2">
        <w:t>Medical Model</w:t>
      </w:r>
      <w:r>
        <w:t xml:space="preserve"> of disability is the </w:t>
      </w:r>
      <w:r w:rsidR="00A52B8D">
        <w:t>belief</w:t>
      </w:r>
      <w:r>
        <w:t xml:space="preserve"> that PWD </w:t>
      </w:r>
      <w:r w:rsidR="000C7958">
        <w:t>rarely have productive life.  Whereas the Social Model of disability approaches  it as a</w:t>
      </w:r>
      <w:r>
        <w:t xml:space="preserve"> “political struggle” </w:t>
      </w:r>
      <w:r>
        <w:fldChar w:fldCharType="begin"/>
      </w:r>
      <w:r>
        <w:instrText>ADDIN RW.CITE{{295 Hughes,Bill 1997}}</w:instrText>
      </w:r>
      <w:r>
        <w:fldChar w:fldCharType="separate"/>
      </w:r>
      <w:bookmarkStart w:id="10" w:name="__Fieldmark__432_813835849"/>
      <w:r>
        <w:rPr>
          <w:rStyle w:val="normaltextrun"/>
        </w:rPr>
        <w:t>(</w:t>
      </w:r>
      <w:bookmarkStart w:id="11" w:name="__Fieldmark__437_1675857893"/>
      <w:r>
        <w:rPr>
          <w:rStyle w:val="normaltextrun"/>
        </w:rPr>
        <w:t>Hughes &amp; Paterson, 1997)</w:t>
      </w:r>
      <w:r>
        <w:fldChar w:fldCharType="end"/>
      </w:r>
      <w:bookmarkEnd w:id="10"/>
      <w:bookmarkEnd w:id="11"/>
      <w:r>
        <w:t xml:space="preserve">. At times, PWD are not considered fully </w:t>
      </w:r>
      <w:r>
        <w:lastRenderedPageBreak/>
        <w:t xml:space="preserve">human, and this fact is seldom recognized (Hansen, 2009). In the last thirty years, disability activists have been working to differentiate “impairment” from “disability” and pushing for greater understanding of limitations imposed by society, a notion that ultimately took shape as the </w:t>
      </w:r>
      <w:r w:rsidR="003018D2">
        <w:t>Social Model</w:t>
      </w:r>
      <w:r>
        <w:t xml:space="preserve">of Disability (SMD) (Shakespeare, 2006). It is vital to understand the importance of the SMD, and to work toward it becoming a governing model for medical and other facets of vast healthcare sector, as such a model would promote health equity and help to bring the </w:t>
      </w:r>
      <w:r w:rsidR="00A52B8D">
        <w:t>much-desired</w:t>
      </w:r>
      <w:r>
        <w:t xml:space="preserve"> change in healthcare officials’ outlooks on disability. Within the medical system and society at large, it is generally assumed that PWD require too many accommodations when it comes to current healthcare setup which truly characterizes the </w:t>
      </w:r>
      <w:r w:rsidR="003018D2">
        <w:t>Medical Model</w:t>
      </w:r>
      <w:r>
        <w:t xml:space="preserve"> (Gething &amp; Fethney, 1997) this concept eventually leads to inequity and low standard of care for PWD (Aulagnier et al., 2005; Lin et al., 2008). In </w:t>
      </w:r>
      <w:r w:rsidR="00A52B8D">
        <w:t>contrast</w:t>
      </w:r>
      <w:r>
        <w:t>, the SMD urges healthcare professionals to broaden the health construction and examin</w:t>
      </w:r>
      <w:r w:rsidR="00A52B8D">
        <w:t>e other elements in society such as</w:t>
      </w:r>
      <w:r>
        <w:t xml:space="preserve"> accessibility or socially derived attitudes which are two of the most important barriers for PWD when aiming for basic healthcare needs (Shakespeare &amp; Watson, 1997). Thus, if the </w:t>
      </w:r>
      <w:r w:rsidR="003018D2">
        <w:t>Medical Model</w:t>
      </w:r>
      <w:r>
        <w:t xml:space="preserve"> were to change and the medical system were to take up the SMD, the “personal tragedy theory,” which currently informs the medical system, would give way to a much more useful “social oppression theory” of d</w:t>
      </w:r>
      <w:r w:rsidR="003018D2">
        <w:t>isability theory (Oliver, 1986). T</w:t>
      </w:r>
      <w:r>
        <w:t>hereby the focus would move from individual PWD to the ways in which society in general creates and enforces disabilities through a lack of access.</w:t>
      </w:r>
      <w:r>
        <w:br/>
      </w:r>
      <w:r>
        <w:rPr>
          <w:rStyle w:val="Heading2Char"/>
        </w:rPr>
        <w:t>Statement of Research</w:t>
      </w:r>
      <w:r>
        <w:rPr>
          <w:rFonts w:eastAsia="Times New Roman"/>
          <w:b/>
        </w:rPr>
        <w:t> </w:t>
      </w:r>
    </w:p>
    <w:p w:rsidR="00AA3D25" w:rsidRDefault="000C7958" w:rsidP="00DD3744">
      <w:pPr>
        <w:widowControl w:val="0"/>
        <w:spacing w:line="480" w:lineRule="auto"/>
        <w:ind w:firstLine="720"/>
      </w:pPr>
      <w:bookmarkStart w:id="12" w:name="_3as4poj"/>
      <w:bookmarkEnd w:id="12"/>
      <w:r>
        <w:t>T</w:t>
      </w:r>
      <w:r w:rsidR="005C6640">
        <w:t xml:space="preserve">he 1974 Lalonde’s report set the stage for Canada as the leader in health promotion, followed by the First International Conference on Health Promotion being held in Ottawa and the adoption of the Ottawa Charter (Hancock, 2011). These reports argued that the overarching goals of health promotion should be social justice and equity along with other key components (Epp, </w:t>
      </w:r>
      <w:r w:rsidR="005C6640">
        <w:lastRenderedPageBreak/>
        <w:t xml:space="preserve">1987). Unlike traditional concept of health, it emphasizes on looking at health in a broader context while focusing on social determinants as well (Robertson, 1998). Despite the popularity of this focus on health equity for all populations through health promotion, vulnerable populations such as the disability community, remains sidelined and are still advocating for basic health-related rights including accessibility (Robertson, 1998). </w:t>
      </w:r>
    </w:p>
    <w:p w:rsidR="00AA3D25" w:rsidRDefault="005C6640" w:rsidP="00DD3744">
      <w:pPr>
        <w:widowControl w:val="0"/>
        <w:spacing w:line="480" w:lineRule="auto"/>
        <w:ind w:firstLine="720"/>
      </w:pPr>
      <w:r>
        <w:t xml:space="preserve">Physicians play a pivotal role </w:t>
      </w:r>
      <w:r w:rsidR="003018D2">
        <w:t>in</w:t>
      </w:r>
      <w:r>
        <w:t xml:space="preserve"> the healthcare industry, and </w:t>
      </w:r>
      <w:r w:rsidR="003018D2">
        <w:t xml:space="preserve">they </w:t>
      </w:r>
      <w:r>
        <w:t xml:space="preserve">are </w:t>
      </w:r>
      <w:r w:rsidR="003018D2">
        <w:t xml:space="preserve">at </w:t>
      </w:r>
      <w:r>
        <w:t>times the only tangible contact for patients, and thus serve as gatekeepers for other healthcare services (Gething &amp; Fethney, 1997; Lennox, Diggens, &amp; Ugoni, 1997). For all kinds of specialists input PWD need a physician’s referral. It is therefore critical for physicians, as well as other healthcare professionals and service providers, to be in agreement regarding the multi-disciplinary care required for the complete physical and mental well-being of patients with disabilities.</w:t>
      </w:r>
    </w:p>
    <w:p w:rsidR="00AA3D25" w:rsidRDefault="005C6640" w:rsidP="00DD3744">
      <w:pPr>
        <w:spacing w:line="480" w:lineRule="auto"/>
        <w:ind w:firstLine="720"/>
      </w:pPr>
      <w:r>
        <w:t>Although, recent literature shows that there has been an emerging practice regarding integration, health promotion and health equity for PWD, such as brief seminars for medical students (Tracy &amp; Iacono, 2008), little work has been done within medicine to understand disability and access of healthcare for PWD. The multi-faceted</w:t>
      </w:r>
      <w:r w:rsidR="003018D2">
        <w:t xml:space="preserve">, often </w:t>
      </w:r>
      <w:r>
        <w:t xml:space="preserve">troubled patient-physician relationship has been neglected. </w:t>
      </w:r>
      <w:r w:rsidR="003018D2">
        <w:t>Furthermore</w:t>
      </w:r>
      <w:r>
        <w:t>,</w:t>
      </w:r>
      <w:r w:rsidR="003C0F55">
        <w:t xml:space="preserve"> there is</w:t>
      </w:r>
      <w:r>
        <w:t xml:space="preserve"> insufficient </w:t>
      </w:r>
      <w:r w:rsidR="003C0F55">
        <w:t xml:space="preserve">research to </w:t>
      </w:r>
      <w:r>
        <w:t>explore physicians’ perspectives concerning disability and access to healthcare for PWD.</w:t>
      </w:r>
    </w:p>
    <w:p w:rsidR="00AA3D25" w:rsidRDefault="005C6640" w:rsidP="00DD3744">
      <w:pPr>
        <w:spacing w:line="480" w:lineRule="auto"/>
        <w:ind w:firstLine="720"/>
      </w:pPr>
      <w:r>
        <w:t>In</w:t>
      </w:r>
      <w:r w:rsidR="003C0F55">
        <w:t xml:space="preserve"> the thesis research, I explore Winnipeg </w:t>
      </w:r>
      <w:r>
        <w:t>Family Physicians’ perception of disability, with a specific focus on how the SMD is or is not understood by physicians and incorporated into their practice. This research facilitates the process of knowledge translation between the medical community and the disability community, and re-orients the current perspective on healthcare delivery that centers on the “normal” body, to one that is more inclusive, equitable, and accessible for people with all types of bodies.</w:t>
      </w:r>
    </w:p>
    <w:p w:rsidR="00AA3D25" w:rsidRDefault="005C6640" w:rsidP="00DD3744">
      <w:pPr>
        <w:pStyle w:val="Heading2"/>
      </w:pPr>
      <w:bookmarkStart w:id="13" w:name="_2et92p0"/>
      <w:bookmarkStart w:id="14" w:name="_Toc533852500"/>
      <w:bookmarkEnd w:id="13"/>
      <w:r>
        <w:lastRenderedPageBreak/>
        <w:t>Purpose Statement</w:t>
      </w:r>
      <w:bookmarkEnd w:id="14"/>
    </w:p>
    <w:p w:rsidR="00AA3D25" w:rsidRDefault="005C6640" w:rsidP="00DD3744">
      <w:pPr>
        <w:widowControl w:val="0"/>
        <w:spacing w:line="480" w:lineRule="auto"/>
        <w:ind w:firstLine="720"/>
      </w:pPr>
      <w:r>
        <w:rPr>
          <w:rFonts w:eastAsia="Calibri"/>
        </w:rPr>
        <w:t xml:space="preserve">The purpose of this research was to explore, through qualitative research methods, </w:t>
      </w:r>
      <w:r>
        <w:t>multiple physicians’ individual</w:t>
      </w:r>
      <w:r>
        <w:rPr>
          <w:rFonts w:eastAsia="Calibri"/>
        </w:rPr>
        <w:t xml:space="preserve"> perspectives on providing </w:t>
      </w:r>
      <w:r>
        <w:t>health-</w:t>
      </w:r>
      <w:r>
        <w:rPr>
          <w:rFonts w:eastAsia="Calibri"/>
        </w:rPr>
        <w:t>care for</w:t>
      </w:r>
      <w:r>
        <w:t>, and educating</w:t>
      </w:r>
      <w:r>
        <w:rPr>
          <w:rFonts w:eastAsia="Calibri"/>
        </w:rPr>
        <w:t xml:space="preserve"> the healthcare access of PWD. Further, the study ascertained </w:t>
      </w:r>
      <w:r>
        <w:t>these physicians’ knowledge about</w:t>
      </w:r>
      <w:r>
        <w:rPr>
          <w:rFonts w:eastAsia="Calibri"/>
        </w:rPr>
        <w:t xml:space="preserve"> resources for PWD in context of the contemporary healthcare system. Identifying gaps in physician knowledge would help guide physician education in the area of disability.</w:t>
      </w:r>
    </w:p>
    <w:p w:rsidR="00AA3D25" w:rsidRDefault="005C6640" w:rsidP="00DD3744">
      <w:pPr>
        <w:pStyle w:val="Heading2"/>
      </w:pPr>
      <w:bookmarkStart w:id="15" w:name="_tyjcwt"/>
      <w:bookmarkStart w:id="16" w:name="_Toc533852501"/>
      <w:bookmarkEnd w:id="15"/>
      <w:r>
        <w:t>Research Objectives</w:t>
      </w:r>
      <w:bookmarkEnd w:id="16"/>
      <w:r>
        <w:t xml:space="preserve"> </w:t>
      </w:r>
    </w:p>
    <w:p w:rsidR="00AA3D25" w:rsidRDefault="005C6640" w:rsidP="00DD3744">
      <w:pPr>
        <w:widowControl w:val="0"/>
        <w:spacing w:line="480" w:lineRule="auto"/>
        <w:ind w:firstLine="360"/>
        <w:rPr>
          <w:rFonts w:eastAsia="Calibri"/>
        </w:rPr>
      </w:pPr>
      <w:r>
        <w:rPr>
          <w:rFonts w:eastAsia="Calibri"/>
        </w:rPr>
        <w:t>The research objectives for this study were as follows:</w:t>
      </w:r>
    </w:p>
    <w:p w:rsidR="00AA3D25" w:rsidRDefault="005C6640" w:rsidP="00DD3744">
      <w:pPr>
        <w:widowControl w:val="0"/>
        <w:numPr>
          <w:ilvl w:val="0"/>
          <w:numId w:val="10"/>
        </w:numPr>
        <w:spacing w:line="480" w:lineRule="auto"/>
        <w:contextualSpacing/>
        <w:rPr>
          <w:rFonts w:eastAsia="Calibri"/>
        </w:rPr>
      </w:pPr>
      <w:r>
        <w:rPr>
          <w:rFonts w:eastAsia="Calibri"/>
        </w:rPr>
        <w:t>To explore physicians’ outlook on the present state of access to optimal healthcare for PWD.</w:t>
      </w:r>
    </w:p>
    <w:p w:rsidR="00AA3D25" w:rsidRDefault="005C6640" w:rsidP="00DD3744">
      <w:pPr>
        <w:widowControl w:val="0"/>
        <w:numPr>
          <w:ilvl w:val="0"/>
          <w:numId w:val="10"/>
        </w:numPr>
        <w:spacing w:line="480" w:lineRule="auto"/>
        <w:contextualSpacing/>
        <w:rPr>
          <w:rFonts w:eastAsia="Calibri"/>
        </w:rPr>
      </w:pPr>
      <w:r>
        <w:rPr>
          <w:rFonts w:eastAsia="Calibri"/>
        </w:rPr>
        <w:t xml:space="preserve">To identify physicians’ awareness about numerous resources </w:t>
      </w:r>
      <w:r>
        <w:t>available in the</w:t>
      </w:r>
      <w:r>
        <w:rPr>
          <w:rFonts w:eastAsia="Calibri"/>
        </w:rPr>
        <w:t xml:space="preserve"> community for PWD, and to allow physicians to reflect on their role as gatekeeper to such services.</w:t>
      </w:r>
    </w:p>
    <w:p w:rsidR="00AA3D25" w:rsidRDefault="005C6640" w:rsidP="00DD3744">
      <w:pPr>
        <w:widowControl w:val="0"/>
        <w:numPr>
          <w:ilvl w:val="0"/>
          <w:numId w:val="10"/>
        </w:numPr>
        <w:spacing w:line="480" w:lineRule="auto"/>
        <w:contextualSpacing/>
        <w:rPr>
          <w:rFonts w:eastAsia="Calibri"/>
        </w:rPr>
      </w:pPr>
      <w:r>
        <w:rPr>
          <w:rFonts w:eastAsia="Calibri"/>
        </w:rPr>
        <w:t>To retrospectively ascertain if the amount of training regarding PWD in the medical curriculum and conventional teaching methods were sufficient.</w:t>
      </w:r>
    </w:p>
    <w:p w:rsidR="00AA3D25" w:rsidRDefault="005C6640" w:rsidP="00DD3744">
      <w:pPr>
        <w:widowControl w:val="0"/>
        <w:numPr>
          <w:ilvl w:val="0"/>
          <w:numId w:val="10"/>
        </w:numPr>
        <w:spacing w:line="480" w:lineRule="auto"/>
        <w:contextualSpacing/>
        <w:rPr>
          <w:rFonts w:eastAsia="Calibri"/>
        </w:rPr>
      </w:pPr>
      <w:r>
        <w:rPr>
          <w:rFonts w:eastAsia="Calibri"/>
        </w:rPr>
        <w:t>To highlight possibi</w:t>
      </w:r>
      <w:r w:rsidR="003C0F55">
        <w:rPr>
          <w:rFonts w:eastAsia="Calibri"/>
        </w:rPr>
        <w:t>lities to improve the physician</w:t>
      </w:r>
      <w:r>
        <w:rPr>
          <w:rFonts w:eastAsia="Calibri"/>
        </w:rPr>
        <w:t>-patient relationship that would subsequently</w:t>
      </w:r>
      <w:r w:rsidR="003C0F55">
        <w:rPr>
          <w:rFonts w:eastAsia="Calibri"/>
        </w:rPr>
        <w:t xml:space="preserve"> create </w:t>
      </w:r>
      <w:r>
        <w:rPr>
          <w:rFonts w:eastAsia="Calibri"/>
        </w:rPr>
        <w:t>a better continuum of care for PWD, as well as well-integrated, competent healthcare system for PWD.</w:t>
      </w:r>
    </w:p>
    <w:p w:rsidR="00AA3D25" w:rsidRDefault="005C6640" w:rsidP="00DD3744">
      <w:pPr>
        <w:pStyle w:val="Heading2"/>
      </w:pPr>
      <w:bookmarkStart w:id="17" w:name="_3dy6vkm"/>
      <w:bookmarkStart w:id="18" w:name="_Toc533852502"/>
      <w:bookmarkEnd w:id="17"/>
      <w:r>
        <w:t>Research Questions</w:t>
      </w:r>
      <w:bookmarkEnd w:id="18"/>
    </w:p>
    <w:p w:rsidR="00AA3D25" w:rsidRDefault="005C6640" w:rsidP="00DD3744">
      <w:pPr>
        <w:widowControl w:val="0"/>
        <w:spacing w:line="480" w:lineRule="auto"/>
        <w:ind w:left="360"/>
        <w:rPr>
          <w:rFonts w:eastAsia="Calibri"/>
        </w:rPr>
      </w:pPr>
      <w:r>
        <w:rPr>
          <w:rFonts w:eastAsia="Calibri"/>
        </w:rPr>
        <w:t xml:space="preserve">The primary research question for this study </w:t>
      </w:r>
      <w:r w:rsidR="003C0F55">
        <w:rPr>
          <w:rFonts w:eastAsia="Calibri"/>
        </w:rPr>
        <w:t>is</w:t>
      </w:r>
      <w:r w:rsidR="000C7958">
        <w:rPr>
          <w:rFonts w:eastAsia="Calibri"/>
        </w:rPr>
        <w:t xml:space="preserve"> h</w:t>
      </w:r>
      <w:r>
        <w:rPr>
          <w:rFonts w:eastAsia="Calibri"/>
        </w:rPr>
        <w:t xml:space="preserve">ow do physicians navigate through the traditional dominant </w:t>
      </w:r>
      <w:r w:rsidR="003018D2">
        <w:rPr>
          <w:rFonts w:eastAsia="Calibri"/>
        </w:rPr>
        <w:t>Medical Model</w:t>
      </w:r>
      <w:r>
        <w:rPr>
          <w:rFonts w:eastAsia="Calibri"/>
        </w:rPr>
        <w:t xml:space="preserve"> of disability while interacting with PWD? Further secondary questions were:</w:t>
      </w:r>
    </w:p>
    <w:p w:rsidR="00AA3D25" w:rsidRDefault="003C0F55" w:rsidP="00DD3744">
      <w:pPr>
        <w:widowControl w:val="0"/>
        <w:numPr>
          <w:ilvl w:val="0"/>
          <w:numId w:val="9"/>
        </w:numPr>
        <w:spacing w:line="480" w:lineRule="auto"/>
        <w:contextualSpacing/>
        <w:rPr>
          <w:rFonts w:eastAsia="Calibri"/>
        </w:rPr>
      </w:pPr>
      <w:r>
        <w:rPr>
          <w:rFonts w:eastAsia="Calibri"/>
        </w:rPr>
        <w:t>Did physicians recognize</w:t>
      </w:r>
      <w:r w:rsidR="005C6640">
        <w:rPr>
          <w:rFonts w:eastAsia="Calibri"/>
        </w:rPr>
        <w:t xml:space="preserve"> the SMD while working in the healthcare sector?</w:t>
      </w:r>
    </w:p>
    <w:p w:rsidR="00AA3D25" w:rsidRDefault="005C6640" w:rsidP="00DD3744">
      <w:pPr>
        <w:widowControl w:val="0"/>
        <w:numPr>
          <w:ilvl w:val="0"/>
          <w:numId w:val="9"/>
        </w:numPr>
        <w:spacing w:line="480" w:lineRule="auto"/>
        <w:contextualSpacing/>
        <w:rPr>
          <w:rFonts w:eastAsia="Calibri"/>
        </w:rPr>
      </w:pPr>
      <w:r>
        <w:rPr>
          <w:rFonts w:eastAsia="Calibri"/>
        </w:rPr>
        <w:lastRenderedPageBreak/>
        <w:t>Did physicians have sufficient information about the resources in community for integration of PWD in contemporary healthcare system?</w:t>
      </w:r>
    </w:p>
    <w:p w:rsidR="00AA3D25" w:rsidRDefault="005C6640" w:rsidP="00DD3744">
      <w:pPr>
        <w:widowControl w:val="0"/>
        <w:numPr>
          <w:ilvl w:val="0"/>
          <w:numId w:val="9"/>
        </w:numPr>
        <w:spacing w:line="480" w:lineRule="auto"/>
        <w:contextualSpacing/>
        <w:rPr>
          <w:rFonts w:eastAsia="Calibri"/>
        </w:rPr>
      </w:pPr>
      <w:r>
        <w:rPr>
          <w:rFonts w:eastAsia="Calibri"/>
        </w:rPr>
        <w:t>How might we improve the traditional medical teaching program to help diminish the barriers for PWD and to promote policies for health equity and an integrated healthcare system?</w:t>
      </w:r>
    </w:p>
    <w:p w:rsidR="00AA3D25" w:rsidRDefault="005C6640" w:rsidP="00DD3744">
      <w:pPr>
        <w:spacing w:line="480" w:lineRule="auto"/>
        <w:rPr>
          <w:b/>
        </w:rPr>
      </w:pPr>
      <w:bookmarkStart w:id="19" w:name="_1t3h5sf"/>
      <w:bookmarkEnd w:id="19"/>
      <w:r>
        <w:br w:type="page"/>
      </w:r>
    </w:p>
    <w:p w:rsidR="00AA3D25" w:rsidRDefault="005C6640" w:rsidP="00DD3744">
      <w:pPr>
        <w:pStyle w:val="Heading1"/>
      </w:pPr>
      <w:bookmarkStart w:id="20" w:name="_Toc533852503"/>
      <w:r>
        <w:lastRenderedPageBreak/>
        <w:t>Literature Review</w:t>
      </w:r>
      <w:bookmarkEnd w:id="20"/>
    </w:p>
    <w:p w:rsidR="00AA3D25" w:rsidRDefault="005C6640" w:rsidP="00DD3744">
      <w:pPr>
        <w:spacing w:line="480" w:lineRule="auto"/>
        <w:ind w:firstLine="720"/>
      </w:pPr>
      <w:r>
        <w:t>Apparently, the interplay of disability and the contemporary healthcare</w:t>
      </w:r>
      <w:r w:rsidR="003C0F55">
        <w:t xml:space="preserve"> system is extremely complex. S</w:t>
      </w:r>
      <w:r>
        <w:t>ocial relations and understandings of disabilit</w:t>
      </w:r>
      <w:r w:rsidR="003C0F55">
        <w:t>y pervade the healthcare system. I</w:t>
      </w:r>
      <w:r>
        <w:t xml:space="preserve">t </w:t>
      </w:r>
      <w:r w:rsidR="003C0F55">
        <w:t>is</w:t>
      </w:r>
      <w:r>
        <w:t xml:space="preserve"> imperative to understand the SMD, in order to</w:t>
      </w:r>
      <w:r w:rsidR="007650E7">
        <w:t xml:space="preserve"> provide </w:t>
      </w:r>
      <w:r>
        <w:t xml:space="preserve">the complete contextual background to the interaction of PWD with the healthcare system. </w:t>
      </w:r>
      <w:r>
        <w:rPr>
          <w:color w:val="000000"/>
        </w:rPr>
        <w:t xml:space="preserve">The literature review </w:t>
      </w:r>
      <w:r w:rsidR="007650E7">
        <w:rPr>
          <w:color w:val="000000"/>
        </w:rPr>
        <w:t>is divided</w:t>
      </w:r>
      <w:r>
        <w:rPr>
          <w:color w:val="000000"/>
        </w:rPr>
        <w:t xml:space="preserve"> into two parts:  part one focuses on, the often overlooked, disability literature </w:t>
      </w:r>
      <w:r>
        <w:t>while</w:t>
      </w:r>
      <w:r>
        <w:rPr>
          <w:color w:val="000000"/>
        </w:rPr>
        <w:t xml:space="preserve"> part two explores deeply into the physicians’ perspective </w:t>
      </w:r>
      <w:r>
        <w:t>about</w:t>
      </w:r>
      <w:r>
        <w:rPr>
          <w:color w:val="000000"/>
        </w:rPr>
        <w:t xml:space="preserve"> healthcare service for PWD.</w:t>
      </w:r>
    </w:p>
    <w:p w:rsidR="00AA3D25" w:rsidRDefault="005C6640" w:rsidP="00DD3744">
      <w:pPr>
        <w:spacing w:line="480" w:lineRule="auto"/>
        <w:ind w:firstLine="720"/>
      </w:pPr>
      <w:r>
        <w:t xml:space="preserve">  Without a full understanding of the SMD, the hierarchical nature of healthcare access and inequity involved in long term, longitudinal healthcare continuation fo</w:t>
      </w:r>
      <w:r w:rsidR="007650E7">
        <w:t xml:space="preserve">r PWD is impossible. </w:t>
      </w:r>
      <w:r>
        <w:t xml:space="preserve">I outline the general research in the area of physicians’ perspectives of providing care for PWD, and, a PWD’s experiences regarding that care.   </w:t>
      </w:r>
    </w:p>
    <w:p w:rsidR="00AA3D25" w:rsidRDefault="005C6640" w:rsidP="00DD3744">
      <w:pPr>
        <w:pStyle w:val="Heading2"/>
      </w:pPr>
      <w:bookmarkStart w:id="21" w:name="_4d34og8"/>
      <w:bookmarkStart w:id="22" w:name="_Toc533852504"/>
      <w:bookmarkEnd w:id="21"/>
      <w:r>
        <w:t>Search Strategy</w:t>
      </w:r>
      <w:bookmarkEnd w:id="22"/>
    </w:p>
    <w:p w:rsidR="00AA3D25" w:rsidRDefault="005C6640" w:rsidP="00DD3744">
      <w:pPr>
        <w:spacing w:line="480" w:lineRule="auto"/>
        <w:ind w:firstLine="720"/>
      </w:pPr>
      <w:r>
        <w:t xml:space="preserve">I completed the literature search principally using the following databases: PubMed, Scopus, CINAHL, Psych INFO, and Google Scholar. Key words such as “medical education*, medical training*, physicians* AND training, continuing education*, gatekeeper* health and disability*, physician* AND attitude*, disab* AND inequity, physicians* AND </w:t>
      </w:r>
      <w:r w:rsidR="003018D2">
        <w:t>Social Model</w:t>
      </w:r>
      <w:r w:rsidR="007650E7">
        <w:t xml:space="preserve"> </w:t>
      </w:r>
      <w:r>
        <w:t xml:space="preserve">of disability*, physicians* AND disability* were used. Applying the filter for English gave 473 documents. Abstracts were scanned and 52 full articles were identified. While reviewing the full articles, additional relevant articles were shortlisted from the reference list. Using the same keywords used in journal search, I used Google to access the key grey literature (such as reports and complete government policy documents) on healthcare access for PWD. </w:t>
      </w:r>
    </w:p>
    <w:p w:rsidR="00AA3D25" w:rsidRDefault="005C6640" w:rsidP="00DD3744">
      <w:pPr>
        <w:pStyle w:val="Heading2"/>
      </w:pPr>
      <w:bookmarkStart w:id="23" w:name="_2s8eyo1"/>
      <w:bookmarkStart w:id="24" w:name="_Toc533852505"/>
      <w:bookmarkEnd w:id="23"/>
      <w:r>
        <w:lastRenderedPageBreak/>
        <w:t>Long-Standing Negative Assumptions about Disability in Society</w:t>
      </w:r>
      <w:bookmarkEnd w:id="24"/>
      <w:r>
        <w:t xml:space="preserve"> </w:t>
      </w:r>
    </w:p>
    <w:p w:rsidR="00AA3D25" w:rsidRDefault="005C6640" w:rsidP="00DD3744">
      <w:pPr>
        <w:spacing w:line="480" w:lineRule="auto"/>
        <w:ind w:firstLine="720"/>
      </w:pPr>
      <w:bookmarkStart w:id="25" w:name="_49x2ik5"/>
      <w:bookmarkEnd w:id="25"/>
      <w:r>
        <w:t>A large amount of literature focuses on social marginalization and negative assumptions about disability, are long rooted in society. For a very long time PWD have been advocating against their “systematic” social exclusion, (Oliver, 1996), which is not only limited to social attitudes and physical architecture, but also impacts education, (Hurst, 1992; Khudorenko, 2011) and, employment (Hurst, 1992; Ville &amp; Ravaud, 1998). This results in tangible negative consequences such as poor health outcomes and ever-increasing health inequities (Aulagnier et al., 2005; Dovey &amp; Webb, 2000; Kerr, Dunstan, &amp; Thapar, 1996; Lin et al., 2008) that are partially rooted in the patient-physician relationship. The patient-physician relationship is important</w:t>
      </w:r>
      <w:r w:rsidR="007650E7">
        <w:t>.</w:t>
      </w:r>
      <w:r>
        <w:t xml:space="preserve"> </w:t>
      </w:r>
      <w:r w:rsidR="007650E7">
        <w:t>However, for</w:t>
      </w:r>
      <w:r>
        <w:t xml:space="preserve"> PWD, General Physicians (GPs,) a</w:t>
      </w:r>
      <w:r w:rsidR="007650E7">
        <w:t xml:space="preserve">lso known as Family Physicians </w:t>
      </w:r>
      <w:r>
        <w:t>are usually the first point of contact (Dovey &amp; Webb, 2000; Lennox et al.</w:t>
      </w:r>
      <w:r w:rsidR="007650E7">
        <w:t>, 1997). Therefore,</w:t>
      </w:r>
      <w:r>
        <w:t xml:space="preserve"> negative feelings toward physicians and the general healthcare setup may be much more sensitive for a PWD from a health </w:t>
      </w:r>
      <w:r w:rsidR="007650E7">
        <w:t>standpoint</w:t>
      </w:r>
      <w:r>
        <w:t xml:space="preserve"> than for an able-bodied person.  PWD often need the approval from physicians for numerous resources, from disabled parking spaces, to requesting job accommodations. Consequently, PWD rely on their family physicians to have proper access to resources (Aulagnier et al., 2005; Beange, 1996; Dovey &amp; Webb, 2000; Gething &amp; Fethney, 1997). Moreover, already having an inaccessible architecture of healthcare spaces makes it difficult for PWD to access healthcare facilities. </w:t>
      </w:r>
    </w:p>
    <w:p w:rsidR="00AA3D25" w:rsidRDefault="005C6640" w:rsidP="00DD3744">
      <w:pPr>
        <w:spacing w:line="480" w:lineRule="auto"/>
        <w:ind w:firstLine="720"/>
      </w:pPr>
      <w:r>
        <w:rPr>
          <w:lang w:val="en-CA"/>
        </w:rPr>
        <w:t xml:space="preserve">The literature also shows that it is vital to understand the association between social assumptions about PWD and the quality of healthcare they receive. Often, the crucial physician-patient relationship is </w:t>
      </w:r>
      <w:r w:rsidR="00AA271E">
        <w:rPr>
          <w:lang w:val="en-CA"/>
        </w:rPr>
        <w:t>impacted</w:t>
      </w:r>
      <w:r>
        <w:rPr>
          <w:lang w:val="en-CA"/>
        </w:rPr>
        <w:t xml:space="preserve"> by ne</w:t>
      </w:r>
      <w:r w:rsidR="00AA271E">
        <w:rPr>
          <w:lang w:val="en-CA"/>
        </w:rPr>
        <w:t>gative assumptions of physician</w:t>
      </w:r>
      <w:r>
        <w:rPr>
          <w:lang w:val="en-CA"/>
        </w:rPr>
        <w:t xml:space="preserve"> regarding disability (Kerstholt, De Boer, &amp; Jansen, 2006). These assumptions may result in flawed judgment and compromises patient care (World Health Organization, 2011).  A study completed in France </w:t>
      </w:r>
      <w:r>
        <w:lastRenderedPageBreak/>
        <w:fldChar w:fldCharType="begin"/>
      </w:r>
      <w:r>
        <w:instrText>ADDIN RW.CITE{{247 Aulagnier,M. 2005 /o}}</w:instrText>
      </w:r>
      <w:r>
        <w:fldChar w:fldCharType="separate"/>
      </w:r>
      <w:bookmarkStart w:id="26" w:name="__Fieldmark__533_813835849"/>
      <w:r>
        <w:rPr>
          <w:lang w:val="en-CA"/>
        </w:rPr>
        <w:t>(</w:t>
      </w:r>
      <w:bookmarkStart w:id="27" w:name="__Fieldmark__576_1675857893"/>
      <w:r>
        <w:rPr>
          <w:lang w:val="en-CA"/>
        </w:rPr>
        <w:t>A</w:t>
      </w:r>
      <w:bookmarkStart w:id="28" w:name="__Fieldmark__603_857931355"/>
      <w:r>
        <w:rPr>
          <w:lang w:val="en-CA"/>
        </w:rPr>
        <w:t>u</w:t>
      </w:r>
      <w:bookmarkStart w:id="29" w:name="__Fieldmark__130_1186368443"/>
      <w:bookmarkStart w:id="30" w:name="__Fieldmark__409_206014555"/>
      <w:r>
        <w:rPr>
          <w:lang w:val="en-CA"/>
        </w:rPr>
        <w:t>lagnier et al., 2005)</w:t>
      </w:r>
      <w:r>
        <w:fldChar w:fldCharType="end"/>
      </w:r>
      <w:bookmarkEnd w:id="26"/>
      <w:bookmarkEnd w:id="27"/>
      <w:bookmarkEnd w:id="28"/>
      <w:bookmarkEnd w:id="29"/>
      <w:bookmarkEnd w:id="30"/>
      <w:r>
        <w:t xml:space="preserve"> </w:t>
      </w:r>
      <w:r>
        <w:rPr>
          <w:lang w:val="en-CA"/>
        </w:rPr>
        <w:t xml:space="preserve">regarding GP attitudes toward PWDs found that the discomfort physicians feel in dealing with PWD could be due to two main factors: First, the inexperience of physicians in working with PWD and; second, physicians’ attitudes toward PWDs. Most of the time, the attitude of a physician not only mirrors society’s view, but also provides an opportunity to observe the strong medicalized perspective of policies and guidelines currently in place, e.g. equating disability with a “medical condition” needing a cure </w:t>
      </w:r>
      <w:r>
        <w:fldChar w:fldCharType="begin"/>
      </w:r>
      <w:r>
        <w:instrText>ADDIN RW.CITE{{303 Morris,Jenny 1991}}</w:instrText>
      </w:r>
      <w:r>
        <w:fldChar w:fldCharType="separate"/>
      </w:r>
      <w:bookmarkStart w:id="31" w:name="__Fieldmark__551_813835849"/>
      <w:r>
        <w:rPr>
          <w:lang w:val="en-CA"/>
        </w:rPr>
        <w:t>(</w:t>
      </w:r>
      <w:bookmarkStart w:id="32" w:name="__Fieldmark__595_1675857893"/>
      <w:r>
        <w:rPr>
          <w:lang w:val="en-CA"/>
        </w:rPr>
        <w:t>M</w:t>
      </w:r>
      <w:bookmarkStart w:id="33" w:name="__Fieldmark__616_857931355"/>
      <w:r>
        <w:rPr>
          <w:lang w:val="en-CA"/>
        </w:rPr>
        <w:t>orris, 1991)</w:t>
      </w:r>
      <w:r>
        <w:fldChar w:fldCharType="end"/>
      </w:r>
      <w:bookmarkEnd w:id="31"/>
      <w:bookmarkEnd w:id="32"/>
      <w:bookmarkEnd w:id="33"/>
      <w:r>
        <w:rPr>
          <w:lang w:val="en-CA"/>
        </w:rPr>
        <w:t xml:space="preserve"> or ignoring the effect of society on PWD </w:t>
      </w:r>
      <w:r>
        <w:fldChar w:fldCharType="begin"/>
      </w:r>
      <w:r>
        <w:instrText>ADDIN RW.CITE{{304 Crow,Liz 1996}}</w:instrText>
      </w:r>
      <w:r>
        <w:fldChar w:fldCharType="separate"/>
      </w:r>
      <w:bookmarkStart w:id="34" w:name="__Fieldmark__562_813835849"/>
      <w:r>
        <w:rPr>
          <w:lang w:val="en-CA"/>
        </w:rPr>
        <w:t>(</w:t>
      </w:r>
      <w:bookmarkStart w:id="35" w:name="__Fieldmark__602_1675857893"/>
      <w:r>
        <w:rPr>
          <w:lang w:val="en-CA"/>
        </w:rPr>
        <w:t>C</w:t>
      </w:r>
      <w:bookmarkStart w:id="36" w:name="__Fieldmark__622_857931355"/>
      <w:r>
        <w:rPr>
          <w:lang w:val="en-CA"/>
        </w:rPr>
        <w:t>row, 1996)</w:t>
      </w:r>
      <w:r>
        <w:fldChar w:fldCharType="end"/>
      </w:r>
      <w:bookmarkEnd w:id="34"/>
      <w:bookmarkEnd w:id="35"/>
      <w:bookmarkEnd w:id="36"/>
      <w:r>
        <w:rPr>
          <w:lang w:val="en-CA"/>
        </w:rPr>
        <w:t>. The inability to understand a PWD position in societal context reduces the chances of having a trustworthy patient-physician relationship.</w:t>
      </w:r>
    </w:p>
    <w:p w:rsidR="00AA3D25" w:rsidRDefault="005C6640" w:rsidP="00DD3744">
      <w:pPr>
        <w:spacing w:line="480" w:lineRule="auto"/>
        <w:ind w:firstLine="720"/>
      </w:pPr>
      <w:r>
        <w:rPr>
          <w:lang w:val="en-CA"/>
        </w:rPr>
        <w:t xml:space="preserve">PWD acknowledge the importance of </w:t>
      </w:r>
      <w:r w:rsidR="00AA271E">
        <w:rPr>
          <w:lang w:val="en-CA"/>
        </w:rPr>
        <w:t>a GPs’ role</w:t>
      </w:r>
      <w:r>
        <w:rPr>
          <w:lang w:val="en-CA"/>
        </w:rPr>
        <w:t xml:space="preserve"> in their lives. However, they believe it is important to know the difference between the need for medical advice reg</w:t>
      </w:r>
      <w:r w:rsidR="00AA271E">
        <w:rPr>
          <w:lang w:val="en-CA"/>
        </w:rPr>
        <w:t>arding their disability and</w:t>
      </w:r>
      <w:r>
        <w:rPr>
          <w:lang w:val="en-CA"/>
        </w:rPr>
        <w:t xml:space="preserve"> treatment</w:t>
      </w:r>
      <w:r w:rsidR="00AA271E">
        <w:rPr>
          <w:lang w:val="en-CA"/>
        </w:rPr>
        <w:t xml:space="preserve"> when it</w:t>
      </w:r>
      <w:r>
        <w:rPr>
          <w:lang w:val="en-CA"/>
        </w:rPr>
        <w:t xml:space="preserve"> is needed </w:t>
      </w:r>
      <w:r>
        <w:fldChar w:fldCharType="begin"/>
      </w:r>
      <w:r>
        <w:instrText>ADDIN RW.CITE{{278 Oliver,Mike 1996}}</w:instrText>
      </w:r>
      <w:r>
        <w:fldChar w:fldCharType="separate"/>
      </w:r>
      <w:bookmarkStart w:id="37" w:name="__Fieldmark__577_813835849"/>
      <w:r>
        <w:rPr>
          <w:lang w:val="en-CA"/>
        </w:rPr>
        <w:t>(</w:t>
      </w:r>
      <w:bookmarkStart w:id="38" w:name="__Fieldmark__618_1675857893"/>
      <w:r>
        <w:rPr>
          <w:lang w:val="en-CA"/>
        </w:rPr>
        <w:t>O</w:t>
      </w:r>
      <w:bookmarkStart w:id="39" w:name="__Fieldmark__629_857931355"/>
      <w:r>
        <w:rPr>
          <w:lang w:val="en-CA"/>
        </w:rPr>
        <w:t>l</w:t>
      </w:r>
      <w:bookmarkStart w:id="40" w:name="__Fieldmark__443_206014555"/>
      <w:r>
        <w:rPr>
          <w:lang w:val="en-CA"/>
        </w:rPr>
        <w:t>i</w:t>
      </w:r>
      <w:bookmarkStart w:id="41" w:name="__Fieldmark__139_1186368443"/>
      <w:r>
        <w:rPr>
          <w:lang w:val="en-CA"/>
        </w:rPr>
        <w:t>ver, 1996)</w:t>
      </w:r>
      <w:r>
        <w:fldChar w:fldCharType="end"/>
      </w:r>
      <w:bookmarkEnd w:id="37"/>
      <w:bookmarkEnd w:id="38"/>
      <w:bookmarkEnd w:id="39"/>
      <w:bookmarkEnd w:id="40"/>
      <w:bookmarkEnd w:id="41"/>
      <w:r>
        <w:rPr>
          <w:lang w:val="en-CA"/>
        </w:rPr>
        <w:t xml:space="preserve">. For example, research focusing on children with disability found that physicians concentrate more on the health-issues relating to mortality and disability of the patients, while also expecting dependence and multiple hospitalizations </w:t>
      </w:r>
      <w:r>
        <w:fldChar w:fldCharType="begin"/>
      </w:r>
      <w:r>
        <w:instrText>ADDIN RW.CITE{{194 Nolan,R. 2014}}</w:instrText>
      </w:r>
      <w:r>
        <w:fldChar w:fldCharType="separate"/>
      </w:r>
      <w:bookmarkStart w:id="42" w:name="__Fieldmark__596_813835849"/>
      <w:r>
        <w:rPr>
          <w:lang w:val="en-CA"/>
        </w:rPr>
        <w:t>(</w:t>
      </w:r>
      <w:bookmarkStart w:id="43" w:name="__Fieldmark__635_1675857893"/>
      <w:r>
        <w:rPr>
          <w:lang w:val="en-CA"/>
        </w:rPr>
        <w:t>N</w:t>
      </w:r>
      <w:bookmarkStart w:id="44" w:name="__Fieldmark__640_857931355"/>
      <w:r>
        <w:rPr>
          <w:lang w:val="en-CA"/>
        </w:rPr>
        <w:t>o</w:t>
      </w:r>
      <w:bookmarkStart w:id="45" w:name="__Fieldmark__451_206014555"/>
      <w:r>
        <w:rPr>
          <w:lang w:val="en-CA"/>
        </w:rPr>
        <w:t>lan, Luther, Young, &amp; Murphy, 2014)</w:t>
      </w:r>
      <w:r>
        <w:fldChar w:fldCharType="end"/>
      </w:r>
      <w:bookmarkEnd w:id="42"/>
      <w:bookmarkEnd w:id="43"/>
      <w:bookmarkEnd w:id="44"/>
      <w:bookmarkEnd w:id="45"/>
      <w:r>
        <w:rPr>
          <w:lang w:val="en-CA"/>
        </w:rPr>
        <w:t xml:space="preserve">.  A similar pattern of attitudes </w:t>
      </w:r>
      <w:r w:rsidR="00AA271E">
        <w:rPr>
          <w:lang w:val="en-CA"/>
        </w:rPr>
        <w:t>can be</w:t>
      </w:r>
      <w:r>
        <w:rPr>
          <w:lang w:val="en-CA"/>
        </w:rPr>
        <w:t xml:space="preserve"> in adult populations with disability </w:t>
      </w:r>
      <w:r>
        <w:fldChar w:fldCharType="begin"/>
      </w:r>
      <w:r>
        <w:instrText>ADDIN RW.CITE{{198 Iezzoni,L.I. 2012}}</w:instrText>
      </w:r>
      <w:r>
        <w:fldChar w:fldCharType="separate"/>
      </w:r>
      <w:bookmarkStart w:id="46" w:name="__Fieldmark__613_813835849"/>
      <w:r>
        <w:rPr>
          <w:lang w:val="en-CA"/>
        </w:rPr>
        <w:t>(</w:t>
      </w:r>
      <w:bookmarkStart w:id="47" w:name="__Fieldmark__650_1675857893"/>
      <w:r>
        <w:rPr>
          <w:lang w:val="en-CA"/>
        </w:rPr>
        <w:t>I</w:t>
      </w:r>
      <w:bookmarkStart w:id="48" w:name="__Fieldmark__647_857931355"/>
      <w:r>
        <w:rPr>
          <w:lang w:val="en-CA"/>
        </w:rPr>
        <w:t>e</w:t>
      </w:r>
      <w:bookmarkStart w:id="49" w:name="__Fieldmark__458_206014555"/>
      <w:r>
        <w:rPr>
          <w:lang w:val="en-CA"/>
        </w:rPr>
        <w:t>zzoni &amp; Long-Bellil, 2012)</w:t>
      </w:r>
      <w:r>
        <w:fldChar w:fldCharType="end"/>
      </w:r>
      <w:bookmarkEnd w:id="46"/>
      <w:bookmarkEnd w:id="47"/>
      <w:bookmarkEnd w:id="48"/>
      <w:bookmarkEnd w:id="49"/>
      <w:r>
        <w:rPr>
          <w:lang w:val="en-CA"/>
        </w:rPr>
        <w:t xml:space="preserve">. The </w:t>
      </w:r>
      <w:r w:rsidR="003018D2">
        <w:rPr>
          <w:lang w:val="en-CA"/>
        </w:rPr>
        <w:t>Medical Model</w:t>
      </w:r>
      <w:r>
        <w:rPr>
          <w:lang w:val="en-CA"/>
        </w:rPr>
        <w:t xml:space="preserve"> of Disability focuses on “pain, body, impairment and medicines </w:t>
      </w:r>
      <w:r>
        <w:fldChar w:fldCharType="begin"/>
      </w:r>
      <w:r>
        <w:instrText>ADDIN RW.CITE{{295 Hughes,Bill 1997}}</w:instrText>
      </w:r>
      <w:r>
        <w:fldChar w:fldCharType="separate"/>
      </w:r>
      <w:bookmarkStart w:id="50" w:name="__Fieldmark__628_813835849"/>
      <w:r>
        <w:rPr>
          <w:rStyle w:val="normaltextrun"/>
          <w:lang w:val="en-CA"/>
        </w:rPr>
        <w:t>(</w:t>
      </w:r>
      <w:bookmarkStart w:id="51" w:name="__Fieldmark__664_1675857893"/>
      <w:r>
        <w:rPr>
          <w:rStyle w:val="normaltextrun"/>
          <w:lang w:val="en-CA"/>
        </w:rPr>
        <w:t>Hughes &amp; Paterson, 1997)</w:t>
      </w:r>
      <w:r>
        <w:fldChar w:fldCharType="end"/>
      </w:r>
      <w:bookmarkEnd w:id="50"/>
      <w:bookmarkEnd w:id="51"/>
      <w:r>
        <w:t xml:space="preserve">. </w:t>
      </w:r>
      <w:r>
        <w:rPr>
          <w:color w:val="000000" w:themeColor="text1"/>
        </w:rPr>
        <w:t xml:space="preserve">Disability in the health </w:t>
      </w:r>
      <w:r>
        <w:t xml:space="preserve">sector is used in lieu of an incurable disease where people can never be cured </w:t>
      </w:r>
      <w:r>
        <w:fldChar w:fldCharType="begin"/>
      </w:r>
      <w:r>
        <w:instrText>ADDIN RW.CITE{{255 Gething,L. 1997}}</w:instrText>
      </w:r>
      <w:r>
        <w:fldChar w:fldCharType="separate"/>
      </w:r>
      <w:bookmarkStart w:id="52" w:name="__Fieldmark__637_813835849"/>
      <w:r>
        <w:rPr>
          <w:lang w:val="en-CA"/>
        </w:rPr>
        <w:t>(</w:t>
      </w:r>
      <w:bookmarkStart w:id="53" w:name="__Fieldmark__676_1675857893"/>
      <w:r>
        <w:rPr>
          <w:lang w:val="en-CA"/>
        </w:rPr>
        <w:t>Gething &amp; Fethney, 1997)</w:t>
      </w:r>
      <w:r>
        <w:fldChar w:fldCharType="end"/>
      </w:r>
      <w:bookmarkEnd w:id="52"/>
      <w:bookmarkEnd w:id="53"/>
      <w:r>
        <w:t>.</w:t>
      </w:r>
    </w:p>
    <w:p w:rsidR="00AA3D25" w:rsidRDefault="005C6640" w:rsidP="00DD3744">
      <w:pPr>
        <w:spacing w:line="480" w:lineRule="auto"/>
        <w:ind w:firstLine="720"/>
      </w:pPr>
      <w:r>
        <w:rPr>
          <w:lang w:val="en-CA"/>
        </w:rPr>
        <w:t xml:space="preserve">These findings demonstrate that medicalization can have a real impact for PWD accessing care. Underpinning the concept of medicalization is that of “normality” and the urge to move as close to the “norm” as possible; and in Western society, “normal” is equated with “able-bodied.” Disability has been connected to “medical problems” or “personal tragedy” </w:t>
      </w:r>
      <w:r>
        <w:fldChar w:fldCharType="begin"/>
      </w:r>
      <w:r>
        <w:instrText>ADDIN RW.CITE{{279 Barnes,Colin 2012}}</w:instrText>
      </w:r>
      <w:r>
        <w:fldChar w:fldCharType="separate"/>
      </w:r>
      <w:bookmarkStart w:id="54" w:name="__Fieldmark__646_813835849"/>
      <w:r>
        <w:rPr>
          <w:lang w:val="en-CA"/>
        </w:rPr>
        <w:t>(</w:t>
      </w:r>
      <w:bookmarkStart w:id="55" w:name="__Fieldmark__687_1675857893"/>
      <w:r>
        <w:rPr>
          <w:lang w:val="en-CA"/>
        </w:rPr>
        <w:t>B</w:t>
      </w:r>
      <w:bookmarkStart w:id="56" w:name="__Fieldmark__668_857931355"/>
      <w:r>
        <w:rPr>
          <w:lang w:val="en-CA"/>
        </w:rPr>
        <w:t>a</w:t>
      </w:r>
      <w:bookmarkStart w:id="57" w:name="__Fieldmark__481_206014555"/>
      <w:r>
        <w:rPr>
          <w:lang w:val="en-CA"/>
        </w:rPr>
        <w:t>r</w:t>
      </w:r>
      <w:bookmarkStart w:id="58" w:name="__Fieldmark__149_1186368443"/>
      <w:r>
        <w:rPr>
          <w:lang w:val="en-CA"/>
        </w:rPr>
        <w:t>nes, 2009)</w:t>
      </w:r>
      <w:r>
        <w:fldChar w:fldCharType="end"/>
      </w:r>
      <w:bookmarkEnd w:id="54"/>
      <w:bookmarkEnd w:id="55"/>
      <w:bookmarkEnd w:id="56"/>
      <w:bookmarkEnd w:id="57"/>
      <w:bookmarkEnd w:id="58"/>
      <w:r>
        <w:rPr>
          <w:lang w:val="en-CA"/>
        </w:rPr>
        <w:t xml:space="preserve">, or “incurable” and someone who would never be seen as “truly healthy” </w:t>
      </w:r>
      <w:r>
        <w:fldChar w:fldCharType="begin"/>
      </w:r>
      <w:r>
        <w:instrText>ADDIN RW.CITE{{255 Gething,L. 1997}}</w:instrText>
      </w:r>
      <w:r>
        <w:fldChar w:fldCharType="separate"/>
      </w:r>
      <w:bookmarkStart w:id="59" w:name="__Fieldmark__665_813835849"/>
      <w:r>
        <w:rPr>
          <w:lang w:val="en-CA"/>
        </w:rPr>
        <w:t>(</w:t>
      </w:r>
      <w:bookmarkStart w:id="60" w:name="__Fieldmark__704_1675857893"/>
      <w:r>
        <w:rPr>
          <w:lang w:val="en-CA"/>
        </w:rPr>
        <w:t>G</w:t>
      </w:r>
      <w:bookmarkStart w:id="61" w:name="__Fieldmark__680_857931355"/>
      <w:r>
        <w:rPr>
          <w:lang w:val="en-CA"/>
        </w:rPr>
        <w:t>e</w:t>
      </w:r>
      <w:bookmarkStart w:id="62" w:name="__Fieldmark__489_206014555"/>
      <w:r>
        <w:rPr>
          <w:lang w:val="en-CA"/>
        </w:rPr>
        <w:t xml:space="preserve">thing &amp; </w:t>
      </w:r>
      <w:r>
        <w:rPr>
          <w:lang w:val="en-CA"/>
        </w:rPr>
        <w:lastRenderedPageBreak/>
        <w:t>Fethney, 1997)</w:t>
      </w:r>
      <w:r>
        <w:fldChar w:fldCharType="end"/>
      </w:r>
      <w:bookmarkEnd w:id="59"/>
      <w:bookmarkEnd w:id="60"/>
      <w:bookmarkEnd w:id="61"/>
      <w:bookmarkEnd w:id="62"/>
      <w:r>
        <w:rPr>
          <w:lang w:val="en-CA"/>
        </w:rPr>
        <w:t xml:space="preserve"> the result of which has been negative experiences such as feeling “disrespected”, “devalued”, and “insensitivity” in the healthcare system for PWD. Given these experiences, PWD avoid healthcare settings, thus leading to under- and mis-diagnoses of medical issues </w:t>
      </w:r>
      <w:r>
        <w:fldChar w:fldCharType="begin"/>
      </w:r>
      <w:r>
        <w:instrText>ADDIN RW.CITE{{274 WorldHealthOrganization 2011}}</w:instrText>
      </w:r>
      <w:r>
        <w:fldChar w:fldCharType="separate"/>
      </w:r>
      <w:bookmarkStart w:id="63" w:name="__Fieldmark__680_813835849"/>
      <w:r>
        <w:rPr>
          <w:lang w:val="en-CA"/>
        </w:rPr>
        <w:t>(</w:t>
      </w:r>
      <w:bookmarkStart w:id="64" w:name="__Fieldmark__725_1675857893"/>
      <w:r>
        <w:rPr>
          <w:lang w:val="en-CA"/>
        </w:rPr>
        <w:t>W</w:t>
      </w:r>
      <w:bookmarkStart w:id="65" w:name="__Fieldmark__695_857931355"/>
      <w:r>
        <w:rPr>
          <w:lang w:val="en-CA"/>
        </w:rPr>
        <w:t>o</w:t>
      </w:r>
      <w:bookmarkStart w:id="66" w:name="__Fieldmark__500_206014555"/>
      <w:r>
        <w:rPr>
          <w:lang w:val="en-CA"/>
        </w:rPr>
        <w:t>r</w:t>
      </w:r>
      <w:bookmarkStart w:id="67" w:name="__Fieldmark__157_1186368443"/>
      <w:r>
        <w:rPr>
          <w:lang w:val="en-CA"/>
        </w:rPr>
        <w:t>ld Health Organization, 2011)</w:t>
      </w:r>
      <w:r>
        <w:fldChar w:fldCharType="end"/>
      </w:r>
      <w:bookmarkEnd w:id="63"/>
      <w:bookmarkEnd w:id="64"/>
      <w:bookmarkEnd w:id="65"/>
      <w:bookmarkEnd w:id="66"/>
      <w:bookmarkEnd w:id="67"/>
      <w:r>
        <w:rPr>
          <w:lang w:val="en-CA"/>
        </w:rPr>
        <w:t xml:space="preserve">. Literature clearly demonstrates that in order for health and healthcare equity to be achieved for PWD, physicians need to “de-program” themselves with respect to what they have learned (or not learned) about PWD, and to challenge their assumptions of PWDs as “sick” and “abnormal.” Table </w:t>
      </w:r>
      <w:r w:rsidR="00937A55">
        <w:rPr>
          <w:lang w:val="en-CA"/>
        </w:rPr>
        <w:t>1</w:t>
      </w:r>
      <w:r>
        <w:rPr>
          <w:lang w:val="en-CA"/>
        </w:rPr>
        <w:t xml:space="preserve"> summarizes the barriers reported by the physicians in a table format.</w:t>
      </w:r>
    </w:p>
    <w:p w:rsidR="00AA3D25" w:rsidRDefault="005C6640" w:rsidP="00DD3744">
      <w:pPr>
        <w:spacing w:line="480" w:lineRule="auto"/>
        <w:jc w:val="both"/>
        <w:rPr>
          <w:color w:val="000000" w:themeColor="text1"/>
          <w:lang w:val="en-CA"/>
        </w:rPr>
      </w:pPr>
      <w:r>
        <w:rPr>
          <w:color w:val="000000" w:themeColor="text1"/>
          <w:lang w:val="en-CA"/>
        </w:rPr>
        <w:t>Table 1</w:t>
      </w:r>
    </w:p>
    <w:p w:rsidR="00AA3D25" w:rsidRDefault="005C6640" w:rsidP="00DD3744">
      <w:pPr>
        <w:spacing w:line="480" w:lineRule="auto"/>
        <w:jc w:val="both"/>
        <w:rPr>
          <w:color w:val="000000" w:themeColor="text1"/>
          <w:lang w:val="en-CA"/>
        </w:rPr>
      </w:pPr>
      <w:r>
        <w:rPr>
          <w:color w:val="000000" w:themeColor="text1"/>
          <w:lang w:val="en-CA"/>
        </w:rPr>
        <w:t xml:space="preserve"> Barriers reported by the physicians </w:t>
      </w:r>
    </w:p>
    <w:tbl>
      <w:tblPr>
        <w:tblStyle w:val="TableGrid"/>
        <w:tblW w:w="5000" w:type="pct"/>
        <w:tblInd w:w="-10" w:type="dxa"/>
        <w:tblCellMar>
          <w:left w:w="98" w:type="dxa"/>
        </w:tblCellMar>
        <w:tblLook w:val="04A0" w:firstRow="1" w:lastRow="0" w:firstColumn="1" w:lastColumn="0" w:noHBand="0" w:noVBand="1"/>
      </w:tblPr>
      <w:tblGrid>
        <w:gridCol w:w="3130"/>
        <w:gridCol w:w="555"/>
        <w:gridCol w:w="5665"/>
      </w:tblGrid>
      <w:tr w:rsidR="00AA3D25">
        <w:trPr>
          <w:trHeight w:val="423"/>
        </w:trPr>
        <w:tc>
          <w:tcPr>
            <w:tcW w:w="3688" w:type="dxa"/>
            <w:gridSpan w:val="2"/>
            <w:tcBorders>
              <w:top w:val="single" w:sz="4" w:space="0" w:color="000001"/>
              <w:left w:val="single" w:sz="4" w:space="0" w:color="FFFFFF"/>
              <w:bottom w:val="single" w:sz="4" w:space="0" w:color="000001"/>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 xml:space="preserve">Barriers felt by the physicians </w:t>
            </w:r>
          </w:p>
        </w:tc>
        <w:tc>
          <w:tcPr>
            <w:tcW w:w="5671" w:type="dxa"/>
            <w:tcBorders>
              <w:top w:val="single" w:sz="4" w:space="0" w:color="000001"/>
              <w:left w:val="single" w:sz="4" w:space="0" w:color="FFFFFF"/>
              <w:bottom w:val="single" w:sz="4" w:space="0" w:color="000001"/>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References</w:t>
            </w:r>
          </w:p>
        </w:tc>
      </w:tr>
      <w:tr w:rsidR="00AA3D25">
        <w:trPr>
          <w:trHeight w:val="967"/>
        </w:trPr>
        <w:tc>
          <w:tcPr>
            <w:tcW w:w="3132" w:type="dxa"/>
            <w:tcBorders>
              <w:top w:val="single" w:sz="4" w:space="0" w:color="000001"/>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Discomfort</w:t>
            </w:r>
          </w:p>
          <w:p w:rsidR="00AA3D25" w:rsidRDefault="00AA3D25" w:rsidP="00DD3744">
            <w:pPr>
              <w:spacing w:line="480" w:lineRule="auto"/>
              <w:rPr>
                <w:lang w:val="en-CA"/>
              </w:rPr>
            </w:pPr>
          </w:p>
          <w:p w:rsidR="00AA3D25" w:rsidRDefault="00AA3D25" w:rsidP="00DD3744">
            <w:pPr>
              <w:spacing w:line="480" w:lineRule="auto"/>
              <w:jc w:val="right"/>
              <w:rPr>
                <w:lang w:val="en-CA"/>
              </w:rPr>
            </w:pPr>
          </w:p>
        </w:tc>
        <w:tc>
          <w:tcPr>
            <w:tcW w:w="6227" w:type="dxa"/>
            <w:gridSpan w:val="2"/>
            <w:tcBorders>
              <w:top w:val="single" w:sz="4" w:space="0" w:color="000001"/>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Aulagnier et al., 2005; Bond, Kerr, Dunstan, &amp; Thapar, 1997; Lennox et al., 1997; Lin et al., 2008</w:t>
            </w:r>
          </w:p>
        </w:tc>
      </w:tr>
      <w:tr w:rsidR="00AA3D25">
        <w:trPr>
          <w:trHeight w:val="1652"/>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Time constraints</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Aulagnier et al., 2005; Beange, 1996; Bond et al., 1997; Dovey &amp; Webb, 2000; Downs, Wile, Krahn, &amp; Turner, 2004; Kerins, Petrovic, Gianesini, Keilty, &amp; Bruder, 2004; Lennox et al., 1997; Lin et al., 2008; Woodard, Havercamp, Zwygart, &amp; Perkins, 2012</w:t>
            </w:r>
          </w:p>
        </w:tc>
      </w:tr>
      <w:tr w:rsidR="00AA3D25">
        <w:trPr>
          <w:trHeight w:val="898"/>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Poor care over time or poor continuity of care</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Kerins et al., 2004; Lennox et al., 1997</w:t>
            </w:r>
          </w:p>
        </w:tc>
      </w:tr>
      <w:tr w:rsidR="00AA3D25">
        <w:trPr>
          <w:trHeight w:val="1429"/>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lastRenderedPageBreak/>
              <w:t>Difficulty in understanding and communicating between doctor and patients</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pPr>
            <w:r>
              <w:fldChar w:fldCharType="begin"/>
            </w:r>
            <w:r>
              <w:instrText>ADDIN RW.CITE{{247 Aulagnier,M. 2005 /o; 262 Barker,M. 1990 /o; 264 Beange,HP. 1996 /o; 263 Howells,G. 1986 /o; 211 Kerins,G. 2004 /o; 258 Lennox,N.G. 1997 /o}}</w:instrText>
            </w:r>
            <w:r>
              <w:fldChar w:fldCharType="separate"/>
            </w:r>
            <w:bookmarkStart w:id="68" w:name="__Fieldmark__712_813835849"/>
            <w:r>
              <w:rPr>
                <w:color w:val="000000" w:themeColor="text1"/>
                <w:lang w:val="en-CA"/>
              </w:rPr>
              <w:t>A</w:t>
            </w:r>
            <w:bookmarkStart w:id="69" w:name="__Fieldmark__775_1675857893"/>
            <w:r>
              <w:rPr>
                <w:color w:val="000000" w:themeColor="text1"/>
                <w:lang w:val="en-CA"/>
              </w:rPr>
              <w:t>u</w:t>
            </w:r>
            <w:bookmarkStart w:id="70" w:name="__Fieldmark__723_857931355"/>
            <w:r>
              <w:rPr>
                <w:color w:val="000000" w:themeColor="text1"/>
                <w:lang w:val="en-CA"/>
              </w:rPr>
              <w:t>lagnier et al., 2005; Barker &amp; Howells, 1990; Beange, 1996; Howells, 1986; Kerins et al., 2004; Lennox et al., 1997</w:t>
            </w:r>
            <w:bookmarkEnd w:id="68"/>
            <w:bookmarkEnd w:id="69"/>
            <w:bookmarkEnd w:id="70"/>
            <w:r>
              <w:fldChar w:fldCharType="end"/>
            </w:r>
          </w:p>
        </w:tc>
      </w:tr>
      <w:tr w:rsidR="00AA3D25">
        <w:trPr>
          <w:trHeight w:val="953"/>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Difficulties accessing healthcare</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pPr>
            <w:r>
              <w:rPr>
                <w:color w:val="000000" w:themeColor="text1"/>
                <w:lang w:val="en-CA"/>
              </w:rPr>
              <w:t xml:space="preserve">Howells, 1986; Cumella et al., 1992; Beange, 1996; </w:t>
            </w:r>
            <w:r>
              <w:fldChar w:fldCharType="begin"/>
            </w:r>
            <w:r>
              <w:instrText>ADDIN RW.CITE{{211 Kerins,G. 2004; 276 Mudrick,NancyR 2012}}</w:instrText>
            </w:r>
            <w:r>
              <w:fldChar w:fldCharType="separate"/>
            </w:r>
            <w:bookmarkStart w:id="71" w:name="__Fieldmark__725_813835849"/>
            <w:r>
              <w:rPr>
                <w:color w:val="000000" w:themeColor="text1"/>
                <w:lang w:val="en-CA"/>
              </w:rPr>
              <w:t>K</w:t>
            </w:r>
            <w:bookmarkStart w:id="72" w:name="__Fieldmark__788_1675857893"/>
            <w:r>
              <w:rPr>
                <w:color w:val="000000" w:themeColor="text1"/>
                <w:lang w:val="en-CA"/>
              </w:rPr>
              <w:t>e</w:t>
            </w:r>
            <w:bookmarkStart w:id="73" w:name="__Fieldmark__730_857931355"/>
            <w:r>
              <w:rPr>
                <w:color w:val="000000" w:themeColor="text1"/>
                <w:lang w:val="en-CA"/>
              </w:rPr>
              <w:t>rins et al., 2004; Mudrick et al., 2012</w:t>
            </w:r>
            <w:bookmarkEnd w:id="71"/>
            <w:bookmarkEnd w:id="72"/>
            <w:bookmarkEnd w:id="73"/>
            <w:r>
              <w:fldChar w:fldCharType="end"/>
            </w:r>
          </w:p>
        </w:tc>
      </w:tr>
      <w:tr w:rsidR="00AA3D25">
        <w:trPr>
          <w:trHeight w:val="1470"/>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Lack of training, experience or awareness on the part of the physician</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Aulagnier et al., 2005; Dovey &amp; Webb, 2000; Kerins et al., 2004; Lennox et al., 1997; Lin et al., 2008</w:t>
            </w:r>
          </w:p>
        </w:tc>
      </w:tr>
      <w:tr w:rsidR="00AA3D25">
        <w:trPr>
          <w:trHeight w:val="1360"/>
        </w:trPr>
        <w:tc>
          <w:tcPr>
            <w:tcW w:w="3132" w:type="dxa"/>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pPr>
            <w:r>
              <w:rPr>
                <w:color w:val="000000" w:themeColor="text1"/>
                <w:lang w:val="en-CA"/>
              </w:rPr>
              <w:t>Inexperience due to small number of patients compared with “able-bodied” patients</w:t>
            </w:r>
          </w:p>
        </w:tc>
        <w:tc>
          <w:tcPr>
            <w:tcW w:w="6227" w:type="dxa"/>
            <w:gridSpan w:val="2"/>
            <w:tcBorders>
              <w:top w:val="single" w:sz="4" w:space="0" w:color="FFFFFF"/>
              <w:left w:val="single" w:sz="4" w:space="0" w:color="FFFFFF"/>
              <w:bottom w:val="single" w:sz="4" w:space="0" w:color="FFFFFF"/>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Dovey &amp; Webb, 2000; Lennox et al., 1997</w:t>
            </w:r>
          </w:p>
        </w:tc>
      </w:tr>
      <w:tr w:rsidR="00AA3D25">
        <w:trPr>
          <w:trHeight w:val="1067"/>
        </w:trPr>
        <w:tc>
          <w:tcPr>
            <w:tcW w:w="3132" w:type="dxa"/>
            <w:tcBorders>
              <w:top w:val="single" w:sz="4" w:space="0" w:color="FFFFFF"/>
              <w:left w:val="single" w:sz="4" w:space="0" w:color="FFFFFF"/>
              <w:bottom w:val="single" w:sz="4" w:space="0" w:color="000001"/>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Lack of assistance while examining PWD</w:t>
            </w:r>
          </w:p>
        </w:tc>
        <w:tc>
          <w:tcPr>
            <w:tcW w:w="6227" w:type="dxa"/>
            <w:gridSpan w:val="2"/>
            <w:tcBorders>
              <w:top w:val="single" w:sz="4" w:space="0" w:color="FFFFFF"/>
              <w:left w:val="single" w:sz="4" w:space="0" w:color="FFFFFF"/>
              <w:bottom w:val="single" w:sz="4" w:space="0" w:color="000001"/>
              <w:right w:val="single" w:sz="4" w:space="0" w:color="FFFFFF"/>
            </w:tcBorders>
            <w:shd w:val="clear" w:color="auto" w:fill="auto"/>
            <w:tcMar>
              <w:left w:w="98" w:type="dxa"/>
            </w:tcMar>
          </w:tcPr>
          <w:p w:rsidR="00AA3D25" w:rsidRDefault="005C6640" w:rsidP="00DD3744">
            <w:pPr>
              <w:spacing w:line="480" w:lineRule="auto"/>
              <w:rPr>
                <w:color w:val="000000" w:themeColor="text1"/>
                <w:lang w:val="en-CA"/>
              </w:rPr>
            </w:pPr>
            <w:r>
              <w:rPr>
                <w:color w:val="000000" w:themeColor="text1"/>
                <w:lang w:val="en-CA"/>
              </w:rPr>
              <w:t>Aulagnier et al., 2005; Bond et al., 1997; Kerins et al., 2004; Kerr et al., 1996; Lennox et al., 1997</w:t>
            </w:r>
          </w:p>
        </w:tc>
      </w:tr>
    </w:tbl>
    <w:p w:rsidR="00AA3D25" w:rsidRDefault="00AA3D25" w:rsidP="00DD3744">
      <w:pPr>
        <w:spacing w:line="480" w:lineRule="auto"/>
        <w:ind w:firstLine="720"/>
        <w:rPr>
          <w:color w:val="000000" w:themeColor="text1"/>
          <w:lang w:val="en-CA"/>
        </w:rPr>
      </w:pPr>
    </w:p>
    <w:p w:rsidR="00AA3D25" w:rsidRDefault="00AA3D25" w:rsidP="00DD3744">
      <w:pPr>
        <w:spacing w:line="480" w:lineRule="auto"/>
        <w:ind w:firstLine="720"/>
      </w:pPr>
    </w:p>
    <w:p w:rsidR="00AA3D25" w:rsidRDefault="005C6640" w:rsidP="00DD3744">
      <w:pPr>
        <w:pStyle w:val="Heading2"/>
      </w:pPr>
      <w:bookmarkStart w:id="74" w:name="_Toc533852506"/>
      <w:r>
        <w:t>Criticism of Current Healthcare Set Up</w:t>
      </w:r>
      <w:bookmarkEnd w:id="74"/>
      <w:r>
        <w:t xml:space="preserve"> </w:t>
      </w:r>
    </w:p>
    <w:p w:rsidR="00AA3D25" w:rsidRDefault="005C6640" w:rsidP="00DD3744">
      <w:pPr>
        <w:spacing w:line="480" w:lineRule="auto"/>
        <w:ind w:firstLine="720"/>
      </w:pPr>
      <w:r>
        <w:rPr>
          <w:lang w:val="en-CA"/>
        </w:rPr>
        <w:t>Since the 19</w:t>
      </w:r>
      <w:r>
        <w:rPr>
          <w:vertAlign w:val="superscript"/>
          <w:lang w:val="en-CA"/>
        </w:rPr>
        <w:t>th</w:t>
      </w:r>
      <w:r>
        <w:rPr>
          <w:lang w:val="en-CA"/>
        </w:rPr>
        <w:t xml:space="preserve"> century, the traditional role of a physician with regard to PWD has been to work as a </w:t>
      </w:r>
      <w:r w:rsidR="00937A55">
        <w:rPr>
          <w:lang w:val="en-CA"/>
        </w:rPr>
        <w:t>gatekeeper</w:t>
      </w:r>
      <w:r>
        <w:rPr>
          <w:lang w:val="en-CA"/>
        </w:rPr>
        <w:t xml:space="preserve"> to the healthcare resources </w:t>
      </w:r>
      <w:r>
        <w:fldChar w:fldCharType="begin"/>
      </w:r>
      <w:r>
        <w:instrText>ADDIN RW.CITE{{247 Aulagnier,M. 2005 /o; 255 Gething,L. 1997 /o; 198 Iezzoni,L.I. 2012 /o}}</w:instrText>
      </w:r>
      <w:r>
        <w:fldChar w:fldCharType="separate"/>
      </w:r>
      <w:bookmarkStart w:id="75" w:name="__Fieldmark__787_813835849"/>
      <w:r>
        <w:rPr>
          <w:lang w:val="en-CA"/>
        </w:rPr>
        <w:t>(</w:t>
      </w:r>
      <w:bookmarkStart w:id="76" w:name="__Fieldmark__858_1675857893"/>
      <w:r>
        <w:rPr>
          <w:lang w:val="en-CA"/>
        </w:rPr>
        <w:t>A</w:t>
      </w:r>
      <w:bookmarkStart w:id="77" w:name="__Fieldmark__786_857931355"/>
      <w:r>
        <w:rPr>
          <w:lang w:val="en-CA"/>
        </w:rPr>
        <w:t>u</w:t>
      </w:r>
      <w:bookmarkStart w:id="78" w:name="__Fieldmark__169_1186368443"/>
      <w:bookmarkStart w:id="79" w:name="__Fieldmark__520_206014555"/>
      <w:r>
        <w:rPr>
          <w:lang w:val="en-CA"/>
        </w:rPr>
        <w:t>lagnier et al., 2005; Gething &amp; Fethney, 1997; Iezzoni &amp; Long-Bellil, 2012)</w:t>
      </w:r>
      <w:r>
        <w:fldChar w:fldCharType="end"/>
      </w:r>
      <w:bookmarkEnd w:id="75"/>
      <w:bookmarkEnd w:id="76"/>
      <w:bookmarkEnd w:id="77"/>
      <w:bookmarkEnd w:id="78"/>
      <w:bookmarkEnd w:id="79"/>
      <w:r>
        <w:t xml:space="preserve"> or as a primary health provider </w:t>
      </w:r>
      <w:r>
        <w:fldChar w:fldCharType="begin"/>
      </w:r>
      <w:r>
        <w:instrText>ADDIN RW.CITE{{258 Lennox,N.G. 1997}}</w:instrText>
      </w:r>
      <w:r>
        <w:fldChar w:fldCharType="separate"/>
      </w:r>
      <w:bookmarkStart w:id="80" w:name="__Fieldmark__804_813835849"/>
      <w:r>
        <w:t>(</w:t>
      </w:r>
      <w:bookmarkStart w:id="81" w:name="__Fieldmark__873_1675857893"/>
      <w:r>
        <w:t>L</w:t>
      </w:r>
      <w:bookmarkStart w:id="82" w:name="__Fieldmark__795_857931355"/>
      <w:r>
        <w:t>e</w:t>
      </w:r>
      <w:bookmarkStart w:id="83" w:name="__Fieldmark__531_206014555"/>
      <w:r>
        <w:t>nnox et al., 1997)</w:t>
      </w:r>
      <w:r>
        <w:fldChar w:fldCharType="end"/>
      </w:r>
      <w:bookmarkEnd w:id="80"/>
      <w:bookmarkEnd w:id="81"/>
      <w:bookmarkEnd w:id="82"/>
      <w:bookmarkEnd w:id="83"/>
      <w:r>
        <w:t>. T</w:t>
      </w:r>
      <w:r>
        <w:rPr>
          <w:lang w:val="en-CA"/>
        </w:rPr>
        <w:t>he history</w:t>
      </w:r>
      <w:r w:rsidR="00937A55">
        <w:rPr>
          <w:lang w:val="en-CA"/>
        </w:rPr>
        <w:t xml:space="preserve"> of forced institutionalization;</w:t>
      </w:r>
      <w:r>
        <w:rPr>
          <w:lang w:val="en-CA"/>
        </w:rPr>
        <w:t xml:space="preserve"> mandatory medical procedures; such as sterilization among other egregious practices; does not help to ease the tense relationship between physicians and PWD </w:t>
      </w:r>
      <w:r>
        <w:fldChar w:fldCharType="begin"/>
      </w:r>
      <w:r>
        <w:instrText>ADDIN RW.CITE{{274 WorldHealthOrganization 2011}}</w:instrText>
      </w:r>
      <w:r>
        <w:fldChar w:fldCharType="separate"/>
      </w:r>
      <w:bookmarkStart w:id="84" w:name="__Fieldmark__820_813835849"/>
      <w:r>
        <w:rPr>
          <w:lang w:val="en-CA"/>
        </w:rPr>
        <w:t>(</w:t>
      </w:r>
      <w:bookmarkStart w:id="85" w:name="__Fieldmark__889_1675857893"/>
      <w:r>
        <w:rPr>
          <w:lang w:val="en-CA"/>
        </w:rPr>
        <w:t>W</w:t>
      </w:r>
      <w:bookmarkStart w:id="86" w:name="__Fieldmark__803_857931355"/>
      <w:r>
        <w:rPr>
          <w:lang w:val="en-CA"/>
        </w:rPr>
        <w:t>o</w:t>
      </w:r>
      <w:bookmarkStart w:id="87" w:name="__Fieldmark__543_206014555"/>
      <w:r>
        <w:rPr>
          <w:lang w:val="en-CA"/>
        </w:rPr>
        <w:t>r</w:t>
      </w:r>
      <w:bookmarkStart w:id="88" w:name="__Fieldmark__174_1186368443"/>
      <w:r>
        <w:rPr>
          <w:lang w:val="en-CA"/>
        </w:rPr>
        <w:t>ld Health Organization, 2011)</w:t>
      </w:r>
      <w:r>
        <w:fldChar w:fldCharType="end"/>
      </w:r>
      <w:bookmarkEnd w:id="84"/>
      <w:bookmarkEnd w:id="85"/>
      <w:bookmarkEnd w:id="86"/>
      <w:bookmarkEnd w:id="87"/>
      <w:bookmarkEnd w:id="88"/>
      <w:r>
        <w:rPr>
          <w:lang w:val="en-CA"/>
        </w:rPr>
        <w:t xml:space="preserve">. PWD have shown active resistance to such unfair practices and have been working to make people notice the inferior quality of health care that </w:t>
      </w:r>
      <w:r>
        <w:rPr>
          <w:lang w:val="en-CA"/>
        </w:rPr>
        <w:lastRenderedPageBreak/>
        <w:t xml:space="preserve">continues to exist </w:t>
      </w:r>
      <w:r>
        <w:fldChar w:fldCharType="begin"/>
      </w:r>
      <w:r>
        <w:instrText>ADDIN RW.CITE{{247 Aulagnier,M. 2005 /o; 308 Drainoni,Mari-Lynn 2006 /o; 310 Iezzoni,LisaI 2006 /o; 242 Lin,J. 2008 /o; 311 Neri,MelindaT 2003 /o}}</w:instrText>
      </w:r>
      <w:r>
        <w:fldChar w:fldCharType="separate"/>
      </w:r>
      <w:bookmarkStart w:id="89" w:name="__Fieldmark__839_813835849"/>
      <w:r>
        <w:rPr>
          <w:lang w:val="en-CA"/>
        </w:rPr>
        <w:t>(</w:t>
      </w:r>
      <w:bookmarkStart w:id="90" w:name="__Fieldmark__905_1675857893"/>
      <w:r>
        <w:rPr>
          <w:lang w:val="en-CA"/>
        </w:rPr>
        <w:t>A</w:t>
      </w:r>
      <w:bookmarkStart w:id="91" w:name="__Fieldmark__817_857931355"/>
      <w:r>
        <w:rPr>
          <w:lang w:val="en-CA"/>
        </w:rPr>
        <w:t>u</w:t>
      </w:r>
      <w:bookmarkStart w:id="92" w:name="__Fieldmark__179_1186368443"/>
      <w:bookmarkStart w:id="93" w:name="__Fieldmark__564_206014555"/>
      <w:r>
        <w:rPr>
          <w:lang w:val="en-CA"/>
        </w:rPr>
        <w:t>lagnier et al., 2005; Drainoni et al., 2006; Iezzoni &amp; O'Day, 2006; Lin et al., 2008; Neri &amp; Kroll, 2003)</w:t>
      </w:r>
      <w:r>
        <w:fldChar w:fldCharType="end"/>
      </w:r>
      <w:bookmarkEnd w:id="89"/>
      <w:bookmarkEnd w:id="90"/>
      <w:bookmarkEnd w:id="91"/>
      <w:bookmarkEnd w:id="92"/>
      <w:bookmarkEnd w:id="93"/>
      <w:r>
        <w:t>.</w:t>
      </w:r>
      <w:r>
        <w:rPr>
          <w:lang w:val="en-CA"/>
        </w:rPr>
        <w:t xml:space="preserve"> </w:t>
      </w:r>
    </w:p>
    <w:p w:rsidR="00AA3D25" w:rsidRDefault="005C6640" w:rsidP="00DD3744">
      <w:pPr>
        <w:spacing w:line="480" w:lineRule="auto"/>
        <w:ind w:firstLine="720"/>
      </w:pPr>
      <w:r>
        <w:rPr>
          <w:lang w:val="en-CA"/>
        </w:rPr>
        <w:t xml:space="preserve">Inaccessibility has been one of the most serious problems PWD have been up against </w:t>
      </w:r>
      <w:r>
        <w:fldChar w:fldCharType="begin"/>
      </w:r>
      <w:r>
        <w:instrText>ADDIN RW.CITE{{276 Mudrick,NancyR 2012; 305 Shakespeare,Tom 1997}}</w:instrText>
      </w:r>
      <w:r>
        <w:fldChar w:fldCharType="separate"/>
      </w:r>
      <w:bookmarkStart w:id="94" w:name="__Fieldmark__859_813835849"/>
      <w:r>
        <w:rPr>
          <w:lang w:val="en-CA"/>
        </w:rPr>
        <w:t>(</w:t>
      </w:r>
      <w:bookmarkStart w:id="95" w:name="__Fieldmark__921_1675857893"/>
      <w:r>
        <w:rPr>
          <w:lang w:val="en-CA"/>
        </w:rPr>
        <w:t>M</w:t>
      </w:r>
      <w:bookmarkStart w:id="96" w:name="__Fieldmark__836_857931355"/>
      <w:r>
        <w:rPr>
          <w:lang w:val="en-CA"/>
        </w:rPr>
        <w:t>u</w:t>
      </w:r>
      <w:bookmarkStart w:id="97" w:name="__Fieldmark__184_1186368443"/>
      <w:bookmarkStart w:id="98" w:name="__Fieldmark__580_206014555"/>
      <w:r>
        <w:rPr>
          <w:lang w:val="en-CA"/>
        </w:rPr>
        <w:t>drick, Breslin, Liang, &amp; Yee, 2012; Shakespeare &amp; Watson, 1997)</w:t>
      </w:r>
      <w:r>
        <w:fldChar w:fldCharType="end"/>
      </w:r>
      <w:bookmarkEnd w:id="94"/>
      <w:bookmarkEnd w:id="95"/>
      <w:bookmarkEnd w:id="96"/>
      <w:bookmarkEnd w:id="97"/>
      <w:bookmarkEnd w:id="98"/>
      <w:r>
        <w:rPr>
          <w:lang w:val="en-CA"/>
        </w:rPr>
        <w:t xml:space="preserve">. For example, a study done in America showed only 8.4% of the physicians had adjustable examination tables and only 3.6% of sites had an accessible weighing scale </w:t>
      </w:r>
      <w:r>
        <w:fldChar w:fldCharType="begin"/>
      </w:r>
      <w:r>
        <w:instrText>ADDIN RW.CITE{{276 Mudrick,NancyR 2012}}</w:instrText>
      </w:r>
      <w:r>
        <w:fldChar w:fldCharType="separate"/>
      </w:r>
      <w:bookmarkStart w:id="99" w:name="__Fieldmark__876_813835849"/>
      <w:r>
        <w:rPr>
          <w:lang w:val="en-CA"/>
        </w:rPr>
        <w:t>(</w:t>
      </w:r>
      <w:bookmarkStart w:id="100" w:name="__Fieldmark__940_1675857893"/>
      <w:r>
        <w:rPr>
          <w:lang w:val="en-CA"/>
        </w:rPr>
        <w:t>M</w:t>
      </w:r>
      <w:bookmarkStart w:id="101" w:name="__Fieldmark__845_857931355"/>
      <w:r>
        <w:rPr>
          <w:lang w:val="en-CA"/>
        </w:rPr>
        <w:t>u</w:t>
      </w:r>
      <w:bookmarkStart w:id="102" w:name="__Fieldmark__598_206014555"/>
      <w:r>
        <w:rPr>
          <w:lang w:val="en-CA"/>
        </w:rPr>
        <w:t>drick et al., 2012)</w:t>
      </w:r>
      <w:r>
        <w:fldChar w:fldCharType="end"/>
      </w:r>
      <w:bookmarkEnd w:id="99"/>
      <w:bookmarkEnd w:id="100"/>
      <w:bookmarkEnd w:id="101"/>
      <w:bookmarkEnd w:id="102"/>
      <w:r>
        <w:rPr>
          <w:lang w:val="en-CA"/>
        </w:rPr>
        <w:t xml:space="preserve">. Similarly, a study conducted in UK showed that 21% of PWD find emergency units to be inaccessible, which was 50 times more, in comparison with, able-bodied population </w:t>
      </w:r>
      <w:r>
        <w:fldChar w:fldCharType="begin"/>
      </w:r>
      <w:r>
        <w:instrText>ADDIN RW.CITE{{336 Campion,Joanna 2003}}</w:instrText>
      </w:r>
      <w:r>
        <w:fldChar w:fldCharType="separate"/>
      </w:r>
      <w:bookmarkStart w:id="103" w:name="__Fieldmark__891_813835849"/>
      <w:r>
        <w:rPr>
          <w:lang w:val="en-CA"/>
        </w:rPr>
        <w:t>(</w:t>
      </w:r>
      <w:bookmarkStart w:id="104" w:name="__Fieldmark__959_1675857893"/>
      <w:r>
        <w:rPr>
          <w:lang w:val="en-CA"/>
        </w:rPr>
        <w:t>C</w:t>
      </w:r>
      <w:bookmarkStart w:id="105" w:name="__Fieldmark__852_857931355"/>
      <w:r>
        <w:rPr>
          <w:lang w:val="en-CA"/>
        </w:rPr>
        <w:t>a</w:t>
      </w:r>
      <w:bookmarkStart w:id="106" w:name="__Fieldmark__604_206014555"/>
      <w:r>
        <w:rPr>
          <w:lang w:val="en-CA"/>
        </w:rPr>
        <w:t>mpion, 2003)</w:t>
      </w:r>
      <w:r>
        <w:fldChar w:fldCharType="end"/>
      </w:r>
      <w:bookmarkEnd w:id="103"/>
      <w:bookmarkEnd w:id="104"/>
      <w:bookmarkEnd w:id="105"/>
      <w:bookmarkEnd w:id="106"/>
      <w:r>
        <w:rPr>
          <w:lang w:val="en-CA"/>
        </w:rPr>
        <w:t xml:space="preserve">.  It is important to determine if these findings hold true in Canada. Yet, there is no national database showing number or percentage of architecturally accessible healthcare facilities in Canada. Absence of any such information results in a serious gap in access and continuity of healthcare for PWD </w:t>
      </w:r>
      <w:r>
        <w:fldChar w:fldCharType="begin"/>
      </w:r>
      <w:r>
        <w:instrText>ADDIN RW.CITE{{276 Mudrick,NancyR 2012}}</w:instrText>
      </w:r>
      <w:r>
        <w:fldChar w:fldCharType="separate"/>
      </w:r>
      <w:bookmarkStart w:id="107" w:name="__Fieldmark__906_813835849"/>
      <w:r>
        <w:rPr>
          <w:lang w:val="en-CA"/>
        </w:rPr>
        <w:t>(</w:t>
      </w:r>
      <w:bookmarkStart w:id="108" w:name="__Fieldmark__976_1675857893"/>
      <w:r>
        <w:rPr>
          <w:lang w:val="en-CA"/>
        </w:rPr>
        <w:t>M</w:t>
      </w:r>
      <w:bookmarkStart w:id="109" w:name="__Fieldmark__861_857931355"/>
      <w:r>
        <w:rPr>
          <w:lang w:val="en-CA"/>
        </w:rPr>
        <w:t>u</w:t>
      </w:r>
      <w:bookmarkStart w:id="110" w:name="__Fieldmark__619_206014555"/>
      <w:r>
        <w:rPr>
          <w:lang w:val="en-CA"/>
        </w:rPr>
        <w:t>d</w:t>
      </w:r>
      <w:bookmarkStart w:id="111" w:name="__Fieldmark__230_1186368443"/>
      <w:r>
        <w:rPr>
          <w:lang w:val="en-CA"/>
        </w:rPr>
        <w:t>rick et al., 2012)</w:t>
      </w:r>
      <w:r>
        <w:fldChar w:fldCharType="end"/>
      </w:r>
      <w:bookmarkEnd w:id="107"/>
      <w:bookmarkEnd w:id="108"/>
      <w:bookmarkEnd w:id="109"/>
      <w:bookmarkEnd w:id="110"/>
      <w:bookmarkEnd w:id="111"/>
      <w:r>
        <w:rPr>
          <w:lang w:val="en-CA"/>
        </w:rPr>
        <w:t xml:space="preserve">. </w:t>
      </w:r>
    </w:p>
    <w:p w:rsidR="00AA3D25" w:rsidRDefault="005C6640" w:rsidP="00DD3744">
      <w:pPr>
        <w:pStyle w:val="Heading2"/>
      </w:pPr>
      <w:bookmarkStart w:id="112" w:name="_Toc533852507"/>
      <w:r>
        <w:t>Obstacles While Providing Ideal Healthcare to PWD from the Physicians’ Perspective</w:t>
      </w:r>
      <w:bookmarkEnd w:id="112"/>
    </w:p>
    <w:p w:rsidR="00AA3D25" w:rsidRDefault="005C6640" w:rsidP="00DD3744">
      <w:pPr>
        <w:spacing w:line="480" w:lineRule="auto"/>
        <w:ind w:firstLine="720"/>
      </w:pPr>
      <w:r>
        <w:rPr>
          <w:lang w:val="en-CA"/>
        </w:rPr>
        <w:t xml:space="preserve">For almost two decades, research has been highlighting the discomfort felt by physicians while interacting with PWD </w:t>
      </w:r>
      <w:r>
        <w:fldChar w:fldCharType="begin"/>
      </w:r>
      <w:r>
        <w:instrText>ADDIN RW.CITE{{247 Aulagnier,M. 2005; 258 Lennox,N.G. 1997; 257 Bond,L 1997; 242 Lin,J. 2008}}</w:instrText>
      </w:r>
      <w:r>
        <w:fldChar w:fldCharType="separate"/>
      </w:r>
      <w:bookmarkStart w:id="113" w:name="__Fieldmark__931_813835849"/>
      <w:r>
        <w:rPr>
          <w:lang w:val="en-CA"/>
        </w:rPr>
        <w:t>(</w:t>
      </w:r>
      <w:bookmarkStart w:id="114" w:name="__Fieldmark__1000_1675857893"/>
      <w:r>
        <w:rPr>
          <w:lang w:val="en-CA"/>
        </w:rPr>
        <w:t>A</w:t>
      </w:r>
      <w:bookmarkStart w:id="115" w:name="__Fieldmark__877_857931355"/>
      <w:r>
        <w:rPr>
          <w:lang w:val="en-CA"/>
        </w:rPr>
        <w:t>u</w:t>
      </w:r>
      <w:bookmarkStart w:id="116" w:name="__Fieldmark__255_1186368443"/>
      <w:bookmarkStart w:id="117" w:name="__Fieldmark__633_206014555"/>
      <w:r>
        <w:rPr>
          <w:lang w:val="en-CA"/>
        </w:rPr>
        <w:t>lagnier et al., 2005; Bond, Kerr, Dunstan, &amp; Thapar, 1997; Lennox et al., 1997; Lin et al., 2008)</w:t>
      </w:r>
      <w:r>
        <w:fldChar w:fldCharType="end"/>
      </w:r>
      <w:bookmarkEnd w:id="113"/>
      <w:bookmarkEnd w:id="114"/>
      <w:bookmarkEnd w:id="115"/>
      <w:bookmarkEnd w:id="116"/>
      <w:bookmarkEnd w:id="117"/>
      <w:r>
        <w:rPr>
          <w:lang w:val="en-CA"/>
        </w:rPr>
        <w:t>. Most research demonstrates these discomf</w:t>
      </w:r>
      <w:r w:rsidR="00937A55">
        <w:rPr>
          <w:lang w:val="en-CA"/>
        </w:rPr>
        <w:t xml:space="preserve">orts as the following: </w:t>
      </w:r>
      <w:r>
        <w:rPr>
          <w:lang w:val="en-CA"/>
        </w:rPr>
        <w:t xml:space="preserve"> time constraint</w:t>
      </w:r>
      <w:r w:rsidR="00937A55">
        <w:rPr>
          <w:lang w:val="en-CA"/>
        </w:rPr>
        <w:t>s</w:t>
      </w:r>
      <w:r>
        <w:rPr>
          <w:lang w:val="en-CA"/>
        </w:rPr>
        <w:t xml:space="preserve"> </w:t>
      </w:r>
      <w:r>
        <w:fldChar w:fldCharType="begin"/>
      </w:r>
      <w:r>
        <w:instrText>ADDIN RW.CITE{{247 Aulagnier,M. 2005 /o; 264 Beange,HP. 1996 /o; 257 Bond,L 1997 /o; 269 Dovey,S. 2000 /o; 256 Downs,A. 2004 /o; 211 Kerins,G. 2004 /o; 258 Lennox,N.G. 1997 /o; 242 Lin,J. 2008 /o; 199 Woodard,L.J. 2012 /o}}</w:instrText>
      </w:r>
      <w:r>
        <w:fldChar w:fldCharType="separate"/>
      </w:r>
      <w:bookmarkStart w:id="118" w:name="__Fieldmark__948_813835849"/>
      <w:r>
        <w:rPr>
          <w:lang w:val="en-CA"/>
        </w:rPr>
        <w:t>(</w:t>
      </w:r>
      <w:bookmarkStart w:id="119" w:name="__Fieldmark__1019_1675857893"/>
      <w:r>
        <w:rPr>
          <w:lang w:val="en-CA"/>
        </w:rPr>
        <w:t>A</w:t>
      </w:r>
      <w:bookmarkStart w:id="120" w:name="__Fieldmark__891_857931355"/>
      <w:r>
        <w:rPr>
          <w:lang w:val="en-CA"/>
        </w:rPr>
        <w:t>u</w:t>
      </w:r>
      <w:bookmarkStart w:id="121" w:name="__Fieldmark__295_1186368443"/>
      <w:bookmarkStart w:id="122" w:name="__Fieldmark__651_206014555"/>
      <w:r>
        <w:rPr>
          <w:lang w:val="en-CA"/>
        </w:rPr>
        <w:t>lagnier et al., 2005; Beange, 1996; Bond et al., 1997; Dovey &amp; Webb, 2000; Downs, Wile, Krahn, &amp; Turner, 2004; Kerins, Petrovic, Gianesini, Keilty, &amp; Bruder, 2004; Lennox et al., 1997; Lin et al., 2008; Woodard, Havercamp, Zwygart, &amp; Perkins, 2012)</w:t>
      </w:r>
      <w:r>
        <w:fldChar w:fldCharType="end"/>
      </w:r>
      <w:bookmarkEnd w:id="118"/>
      <w:bookmarkEnd w:id="119"/>
      <w:bookmarkEnd w:id="120"/>
      <w:bookmarkEnd w:id="121"/>
      <w:bookmarkEnd w:id="122"/>
      <w:r>
        <w:t>;</w:t>
      </w:r>
      <w:r>
        <w:rPr>
          <w:lang w:val="en-CA"/>
        </w:rPr>
        <w:t xml:space="preserve"> poor care over time or “poor continuity of care” </w:t>
      </w:r>
      <w:r>
        <w:fldChar w:fldCharType="begin"/>
      </w:r>
      <w:r>
        <w:instrText>ADDIN RW.CITE{{258 Lennox,N.G. 1997; 211 Kerins,G. 2004}}</w:instrText>
      </w:r>
      <w:r>
        <w:fldChar w:fldCharType="separate"/>
      </w:r>
      <w:bookmarkStart w:id="123" w:name="__Fieldmark__966_813835849"/>
      <w:r>
        <w:rPr>
          <w:lang w:val="en-CA"/>
        </w:rPr>
        <w:t>(</w:t>
      </w:r>
      <w:bookmarkStart w:id="124" w:name="__Fieldmark__1033_1675857893"/>
      <w:r>
        <w:rPr>
          <w:lang w:val="en-CA"/>
        </w:rPr>
        <w:t>K</w:t>
      </w:r>
      <w:bookmarkStart w:id="125" w:name="__Fieldmark__904_857931355"/>
      <w:r>
        <w:rPr>
          <w:lang w:val="en-CA"/>
        </w:rPr>
        <w:t>e</w:t>
      </w:r>
      <w:bookmarkStart w:id="126" w:name="__Fieldmark__660_206014555"/>
      <w:r>
        <w:rPr>
          <w:lang w:val="en-CA"/>
        </w:rPr>
        <w:t>r</w:t>
      </w:r>
      <w:bookmarkStart w:id="127" w:name="__Fieldmark__305_1186368443"/>
      <w:r>
        <w:rPr>
          <w:lang w:val="en-CA"/>
        </w:rPr>
        <w:t>ins et al., 2004; Lennox et al., 1997)</w:t>
      </w:r>
      <w:r>
        <w:fldChar w:fldCharType="end"/>
      </w:r>
      <w:bookmarkEnd w:id="123"/>
      <w:bookmarkEnd w:id="124"/>
      <w:bookmarkEnd w:id="125"/>
      <w:bookmarkEnd w:id="126"/>
      <w:bookmarkEnd w:id="127"/>
      <w:r>
        <w:t>;</w:t>
      </w:r>
      <w:r>
        <w:rPr>
          <w:lang w:val="en-CA"/>
        </w:rPr>
        <w:t xml:space="preserve"> difficulty in understanding and communicating between doctor and patients </w:t>
      </w:r>
      <w:r>
        <w:fldChar w:fldCharType="begin"/>
      </w:r>
      <w:r>
        <w:instrText>ADDIN RW.CITE{{247 Aulagnier,M. 2005 /o; 262 Barker,M. 1990 /o; 264 Beange,HP. 1996 /o; 263 Howells,G. 1986 /o; 211 Kerins,G. 2004 /o; 258 Lennox,N.G. 1997 /o}}</w:instrText>
      </w:r>
      <w:r>
        <w:fldChar w:fldCharType="separate"/>
      </w:r>
      <w:bookmarkStart w:id="128" w:name="__Fieldmark__986_813835849"/>
      <w:r>
        <w:rPr>
          <w:lang w:val="en-CA"/>
        </w:rPr>
        <w:t>(</w:t>
      </w:r>
      <w:bookmarkStart w:id="129" w:name="__Fieldmark__1049_1675857893"/>
      <w:r>
        <w:rPr>
          <w:lang w:val="en-CA"/>
        </w:rPr>
        <w:t>A</w:t>
      </w:r>
      <w:bookmarkStart w:id="130" w:name="__Fieldmark__917_857931355"/>
      <w:r>
        <w:rPr>
          <w:lang w:val="en-CA"/>
        </w:rPr>
        <w:t>u</w:t>
      </w:r>
      <w:bookmarkStart w:id="131" w:name="__Fieldmark__310_1186368443"/>
      <w:bookmarkStart w:id="132" w:name="__Fieldmark__667_206014555"/>
      <w:r>
        <w:rPr>
          <w:lang w:val="en-CA"/>
        </w:rPr>
        <w:t>lagnier et al., 2005; Barker &amp; Howells, 1990; Beange, 1996; Howells, 1986; Kerins et al., 2004; Lennox et al., 1997)</w:t>
      </w:r>
      <w:r>
        <w:fldChar w:fldCharType="end"/>
      </w:r>
      <w:bookmarkEnd w:id="128"/>
      <w:bookmarkEnd w:id="129"/>
      <w:bookmarkEnd w:id="130"/>
      <w:bookmarkEnd w:id="131"/>
      <w:bookmarkEnd w:id="132"/>
      <w:r>
        <w:t>;</w:t>
      </w:r>
      <w:r>
        <w:rPr>
          <w:lang w:val="en-CA"/>
        </w:rPr>
        <w:t xml:space="preserve"> difficulties accessing healthcare (Howells, 1986; Cumella et al., 1992; Beange, 1996; </w:t>
      </w:r>
      <w:r>
        <w:lastRenderedPageBreak/>
        <w:fldChar w:fldCharType="begin"/>
      </w:r>
      <w:r>
        <w:instrText>ADDIN RW.CITE{{211 Kerins,G. 2004; 276 Mudrick,NancyR 2012}}</w:instrText>
      </w:r>
      <w:r>
        <w:fldChar w:fldCharType="separate"/>
      </w:r>
      <w:bookmarkStart w:id="133" w:name="__Fieldmark__1004_813835849"/>
      <w:r>
        <w:rPr>
          <w:lang w:val="en-CA"/>
        </w:rPr>
        <w:t>K</w:t>
      </w:r>
      <w:bookmarkStart w:id="134" w:name="__Fieldmark__1067_1675857893"/>
      <w:r>
        <w:rPr>
          <w:lang w:val="en-CA"/>
        </w:rPr>
        <w:t>e</w:t>
      </w:r>
      <w:bookmarkStart w:id="135" w:name="__Fieldmark__926_857931355"/>
      <w:r>
        <w:rPr>
          <w:lang w:val="en-CA"/>
        </w:rPr>
        <w:t>r</w:t>
      </w:r>
      <w:bookmarkStart w:id="136" w:name="__Fieldmark__327_1186368443"/>
      <w:bookmarkStart w:id="137" w:name="__Fieldmark__692_206014555"/>
      <w:r>
        <w:rPr>
          <w:lang w:val="en-CA"/>
        </w:rPr>
        <w:t>ins et al., 2004; Mudrick et al., 2012)</w:t>
      </w:r>
      <w:r>
        <w:fldChar w:fldCharType="end"/>
      </w:r>
      <w:bookmarkEnd w:id="133"/>
      <w:bookmarkEnd w:id="134"/>
      <w:bookmarkEnd w:id="135"/>
      <w:bookmarkEnd w:id="136"/>
      <w:bookmarkEnd w:id="137"/>
      <w:r>
        <w:rPr>
          <w:lang w:val="en-CA"/>
        </w:rPr>
        <w:t xml:space="preserve">; and lack of training, experience or awareness on the part of the physician </w:t>
      </w:r>
      <w:r>
        <w:fldChar w:fldCharType="begin"/>
      </w:r>
      <w:r>
        <w:instrText>ADDIN RW.CITE{{247 Aulagnier,M. 2005 /o; 269 Dovey,S. 2000 /o; 211 Kerins,G. 2004 /o; 258 Lennox,N.G. 1997 /o; 242 Lin,J. 2008 /o}}</w:instrText>
      </w:r>
      <w:r>
        <w:fldChar w:fldCharType="separate"/>
      </w:r>
      <w:bookmarkStart w:id="138" w:name="__Fieldmark__1021_813835849"/>
      <w:r>
        <w:rPr>
          <w:lang w:val="en-CA"/>
        </w:rPr>
        <w:t>(</w:t>
      </w:r>
      <w:bookmarkStart w:id="139" w:name="__Fieldmark__1082_1675857893"/>
      <w:r>
        <w:rPr>
          <w:lang w:val="en-CA"/>
        </w:rPr>
        <w:t>A</w:t>
      </w:r>
      <w:bookmarkStart w:id="140" w:name="__Fieldmark__936_857931355"/>
      <w:r>
        <w:rPr>
          <w:lang w:val="en-CA"/>
        </w:rPr>
        <w:t>u</w:t>
      </w:r>
      <w:bookmarkStart w:id="141" w:name="__Fieldmark__336_1186368443"/>
      <w:bookmarkStart w:id="142" w:name="__Fieldmark__701_206014555"/>
      <w:r>
        <w:rPr>
          <w:lang w:val="en-CA"/>
        </w:rPr>
        <w:t>lagnier et al., 2005; Dovey &amp; Webb, 2000; Kerins et al., 2004; Lennox et al., 1997; Lin et al., 2008)</w:t>
      </w:r>
      <w:r>
        <w:fldChar w:fldCharType="end"/>
      </w:r>
      <w:bookmarkEnd w:id="138"/>
      <w:bookmarkEnd w:id="139"/>
      <w:bookmarkEnd w:id="140"/>
      <w:bookmarkEnd w:id="141"/>
      <w:bookmarkEnd w:id="142"/>
      <w:r>
        <w:rPr>
          <w:lang w:val="en-CA"/>
        </w:rPr>
        <w:t xml:space="preserve">. Some research discussed the reluctance and lack of assistance while examining PWD </w:t>
      </w:r>
      <w:r>
        <w:fldChar w:fldCharType="begin"/>
      </w:r>
      <w:r>
        <w:instrText>ADDIN RW.CITE{{247 Aulagnier,M. 2005 /o; 257 Bond,L 1997 /o; 211 Kerins,G. 2004 /o; 270 Kerr,M. 1996 /o; 258 Lennox,N.G. 1997 /o}}</w:instrText>
      </w:r>
      <w:r>
        <w:fldChar w:fldCharType="separate"/>
      </w:r>
      <w:bookmarkStart w:id="143" w:name="__Fieldmark__1038_813835849"/>
      <w:r>
        <w:rPr>
          <w:lang w:val="en-CA"/>
        </w:rPr>
        <w:t>(</w:t>
      </w:r>
      <w:bookmarkStart w:id="144" w:name="__Fieldmark__1095_1675857893"/>
      <w:r>
        <w:rPr>
          <w:lang w:val="en-CA"/>
        </w:rPr>
        <w:t>A</w:t>
      </w:r>
      <w:bookmarkStart w:id="145" w:name="__Fieldmark__945_857931355"/>
      <w:r>
        <w:rPr>
          <w:lang w:val="en-CA"/>
        </w:rPr>
        <w:t>u</w:t>
      </w:r>
      <w:bookmarkStart w:id="146" w:name="__Fieldmark__341_1186368443"/>
      <w:bookmarkStart w:id="147" w:name="__Fieldmark__710_206014555"/>
      <w:r>
        <w:rPr>
          <w:lang w:val="en-CA"/>
        </w:rPr>
        <w:t>lagnier et al., 2005; Bond et al., 1997; Kerins et al., 2004; Kerr et al., 1996; Lennox et al., 1997)</w:t>
      </w:r>
      <w:r>
        <w:fldChar w:fldCharType="end"/>
      </w:r>
      <w:bookmarkEnd w:id="143"/>
      <w:bookmarkEnd w:id="144"/>
      <w:bookmarkEnd w:id="145"/>
      <w:bookmarkEnd w:id="146"/>
      <w:bookmarkEnd w:id="147"/>
      <w:r>
        <w:rPr>
          <w:lang w:val="en-CA"/>
        </w:rPr>
        <w:t xml:space="preserve">, and inexperience due to small number of patients compared to the “able-bodied” patient </w:t>
      </w:r>
      <w:r>
        <w:fldChar w:fldCharType="begin"/>
      </w:r>
      <w:r>
        <w:instrText>ADDIN RW.CITE{{269 Dovey,S. 2000; 258 Lennox,N.G. 1997}}</w:instrText>
      </w:r>
      <w:r>
        <w:fldChar w:fldCharType="separate"/>
      </w:r>
      <w:bookmarkStart w:id="148" w:name="__Fieldmark__1055_813835849"/>
      <w:r>
        <w:rPr>
          <w:lang w:val="en-CA"/>
        </w:rPr>
        <w:t>(</w:t>
      </w:r>
      <w:bookmarkStart w:id="149" w:name="__Fieldmark__1108_1675857893"/>
      <w:r>
        <w:rPr>
          <w:lang w:val="en-CA"/>
        </w:rPr>
        <w:t>D</w:t>
      </w:r>
      <w:bookmarkStart w:id="150" w:name="__Fieldmark__959_857931355"/>
      <w:r>
        <w:rPr>
          <w:lang w:val="en-CA"/>
        </w:rPr>
        <w:t>o</w:t>
      </w:r>
      <w:bookmarkStart w:id="151" w:name="__Fieldmark__346_1186368443"/>
      <w:bookmarkStart w:id="152" w:name="__Fieldmark__717_206014555"/>
      <w:r>
        <w:rPr>
          <w:lang w:val="en-CA"/>
        </w:rPr>
        <w:t>vey &amp; Webb, 2000; Lennox et al., 1997)</w:t>
      </w:r>
      <w:r>
        <w:fldChar w:fldCharType="end"/>
      </w:r>
      <w:bookmarkEnd w:id="148"/>
      <w:bookmarkEnd w:id="149"/>
      <w:bookmarkEnd w:id="150"/>
      <w:bookmarkEnd w:id="151"/>
      <w:bookmarkEnd w:id="152"/>
      <w:r>
        <w:t>.</w:t>
      </w:r>
      <w:r>
        <w:rPr>
          <w:lang w:val="en-CA"/>
        </w:rPr>
        <w:t xml:space="preserve"> In all of these studies, the response rate of physicians-based research varied from very low 16% </w:t>
      </w:r>
      <w:r>
        <w:fldChar w:fldCharType="begin"/>
      </w:r>
      <w:r>
        <w:instrText>ADDIN RW.CITE{{242 Lin,J. 2008}}</w:instrText>
      </w:r>
      <w:r>
        <w:fldChar w:fldCharType="separate"/>
      </w:r>
      <w:bookmarkStart w:id="153" w:name="__Fieldmark__1073_813835849"/>
      <w:r>
        <w:rPr>
          <w:lang w:val="en-CA"/>
        </w:rPr>
        <w:t>(</w:t>
      </w:r>
      <w:bookmarkStart w:id="154" w:name="__Fieldmark__1124_1675857893"/>
      <w:r>
        <w:rPr>
          <w:lang w:val="en-CA"/>
        </w:rPr>
        <w:t>L</w:t>
      </w:r>
      <w:bookmarkStart w:id="155" w:name="__Fieldmark__970_857931355"/>
      <w:r>
        <w:rPr>
          <w:lang w:val="en-CA"/>
        </w:rPr>
        <w:t>i</w:t>
      </w:r>
      <w:bookmarkStart w:id="156" w:name="__Fieldmark__726_206014555"/>
      <w:r>
        <w:rPr>
          <w:lang w:val="en-CA"/>
        </w:rPr>
        <w:t>n</w:t>
      </w:r>
      <w:bookmarkStart w:id="157" w:name="__Fieldmark__351_1186368443"/>
      <w:r>
        <w:rPr>
          <w:lang w:val="en-CA"/>
        </w:rPr>
        <w:t xml:space="preserve"> et al., 2008)</w:t>
      </w:r>
      <w:r>
        <w:fldChar w:fldCharType="end"/>
      </w:r>
      <w:bookmarkEnd w:id="153"/>
      <w:bookmarkEnd w:id="154"/>
      <w:bookmarkEnd w:id="155"/>
      <w:bookmarkEnd w:id="156"/>
      <w:bookmarkEnd w:id="157"/>
      <w:r>
        <w:rPr>
          <w:lang w:val="en-CA"/>
        </w:rPr>
        <w:t xml:space="preserve"> to 65% </w:t>
      </w:r>
      <w:r>
        <w:fldChar w:fldCharType="begin"/>
      </w:r>
      <w:r>
        <w:instrText>ADDIN RW.CITE{{269 Dovey,S. 2000}}</w:instrText>
      </w:r>
      <w:r>
        <w:fldChar w:fldCharType="separate"/>
      </w:r>
      <w:bookmarkStart w:id="158" w:name="__Fieldmark__1092_813835849"/>
      <w:r>
        <w:rPr>
          <w:lang w:val="en-CA"/>
        </w:rPr>
        <w:t>(</w:t>
      </w:r>
      <w:bookmarkStart w:id="159" w:name="__Fieldmark__1139_1675857893"/>
      <w:r>
        <w:rPr>
          <w:lang w:val="en-CA"/>
        </w:rPr>
        <w:t>D</w:t>
      </w:r>
      <w:bookmarkStart w:id="160" w:name="__Fieldmark__981_857931355"/>
      <w:r>
        <w:rPr>
          <w:lang w:val="en-CA"/>
        </w:rPr>
        <w:t>o</w:t>
      </w:r>
      <w:bookmarkStart w:id="161" w:name="__Fieldmark__356_1186368443"/>
      <w:bookmarkStart w:id="162" w:name="__Fieldmark__733_206014555"/>
      <w:r>
        <w:rPr>
          <w:lang w:val="en-CA"/>
        </w:rPr>
        <w:t>vey &amp; Webb, 2000)</w:t>
      </w:r>
      <w:r>
        <w:fldChar w:fldCharType="end"/>
      </w:r>
      <w:bookmarkEnd w:id="158"/>
      <w:bookmarkEnd w:id="159"/>
      <w:bookmarkEnd w:id="160"/>
      <w:bookmarkEnd w:id="161"/>
      <w:bookmarkEnd w:id="162"/>
      <w:r>
        <w:rPr>
          <w:lang w:val="en-CA"/>
        </w:rPr>
        <w:t>. The common trend demonstrates a great deal of stigma and hesitation when it comes to disability and accessibility related research in society.</w:t>
      </w:r>
      <w:r>
        <w:rPr>
          <w:color w:val="000000" w:themeColor="text1"/>
          <w:lang w:val="en-CA"/>
        </w:rPr>
        <w:t xml:space="preserve"> I would further argue that the uptake would have been likely associated with the personal interest of a physician in accessibility related issues.</w:t>
      </w:r>
    </w:p>
    <w:p w:rsidR="00AA3D25" w:rsidRDefault="005C6640" w:rsidP="00DD3744">
      <w:pPr>
        <w:spacing w:line="480" w:lineRule="auto"/>
        <w:ind w:firstLine="720"/>
      </w:pPr>
      <w:r>
        <w:rPr>
          <w:lang w:val="en-CA"/>
        </w:rPr>
        <w:t>Bond et al., (1997) compared disabilit</w:t>
      </w:r>
      <w:r w:rsidR="00937A55">
        <w:rPr>
          <w:lang w:val="en-CA"/>
        </w:rPr>
        <w:t xml:space="preserve">y attitude questionnaires from </w:t>
      </w:r>
      <w:r>
        <w:rPr>
          <w:lang w:val="en-CA"/>
        </w:rPr>
        <w:t>different parts of the United Kingdom, Gwent (Wales) and Glouceste</w:t>
      </w:r>
      <w:r w:rsidR="00937A55">
        <w:rPr>
          <w:lang w:val="en-CA"/>
        </w:rPr>
        <w:t>rshire (England). In this study, GPs identify their role</w:t>
      </w:r>
      <w:r>
        <w:rPr>
          <w:lang w:val="en-CA"/>
        </w:rPr>
        <w:t xml:space="preserve"> as an important healthcare facilitator</w:t>
      </w:r>
      <w:r w:rsidR="00937A55">
        <w:rPr>
          <w:lang w:val="en-CA"/>
        </w:rPr>
        <w:t>. However</w:t>
      </w:r>
      <w:r w:rsidR="004F15AF">
        <w:rPr>
          <w:lang w:val="en-CA"/>
        </w:rPr>
        <w:t>, they</w:t>
      </w:r>
      <w:r>
        <w:rPr>
          <w:lang w:val="en-CA"/>
        </w:rPr>
        <w:t xml:space="preserve"> were against health promotion and health screening initiatives as a part of their responsibility. Remarkably, almost two decades ago, this study noted how physicians interpreted having PWD in their practice as a factor increasing their workload and identified the need for people from “a community learning disability team” to coordinate thoroughly with physicians and be mindful of their workload.</w:t>
      </w:r>
    </w:p>
    <w:p w:rsidR="00AA3D25" w:rsidRDefault="005C6640" w:rsidP="00DD3744">
      <w:pPr>
        <w:spacing w:line="480" w:lineRule="auto"/>
        <w:ind w:firstLine="720"/>
      </w:pPr>
      <w:r>
        <w:rPr>
          <w:lang w:val="en-CA"/>
        </w:rPr>
        <w:t>Lennox et al., (1997) randomly selected 912 GPs in Australia, where only 0.7% of GPs’ practice population had any kind of intellectual disability. 81</w:t>
      </w:r>
      <w:r w:rsidR="004F15AF">
        <w:rPr>
          <w:lang w:val="en-CA"/>
        </w:rPr>
        <w:t xml:space="preserve">% of </w:t>
      </w:r>
      <w:r>
        <w:rPr>
          <w:lang w:val="en-CA"/>
        </w:rPr>
        <w:t xml:space="preserve">GPs considered </w:t>
      </w:r>
      <w:r w:rsidR="004F15AF">
        <w:rPr>
          <w:lang w:val="en-CA"/>
        </w:rPr>
        <w:t xml:space="preserve">it more difficult to provide optimal care to PWD than to </w:t>
      </w:r>
      <w:r>
        <w:rPr>
          <w:lang w:val="en-CA"/>
        </w:rPr>
        <w:t xml:space="preserve">non-disabled people. Similar reactions were seen in a study done by </w:t>
      </w:r>
      <w:r>
        <w:fldChar w:fldCharType="begin"/>
      </w:r>
      <w:r>
        <w:instrText>ADDIN RW.CITE{{247 Aulagnier,M. 2005}}</w:instrText>
      </w:r>
      <w:r>
        <w:fldChar w:fldCharType="separate"/>
      </w:r>
      <w:bookmarkStart w:id="163" w:name="__Fieldmark__1113_813835849"/>
      <w:r>
        <w:rPr>
          <w:lang w:val="en-CA"/>
        </w:rPr>
        <w:t>(</w:t>
      </w:r>
      <w:bookmarkStart w:id="164" w:name="__Fieldmark__1158_1675857893"/>
      <w:r>
        <w:rPr>
          <w:lang w:val="en-CA"/>
        </w:rPr>
        <w:t>A</w:t>
      </w:r>
      <w:bookmarkStart w:id="165" w:name="__Fieldmark__1009_857931355"/>
      <w:r>
        <w:rPr>
          <w:lang w:val="en-CA"/>
        </w:rPr>
        <w:t>u</w:t>
      </w:r>
      <w:bookmarkStart w:id="166" w:name="__Fieldmark__369_1186368443"/>
      <w:bookmarkStart w:id="167" w:name="__Fieldmark__748_206014555"/>
      <w:r>
        <w:rPr>
          <w:lang w:val="en-CA"/>
        </w:rPr>
        <w:t>lagnier et al., 2005)</w:t>
      </w:r>
      <w:r>
        <w:fldChar w:fldCharType="end"/>
      </w:r>
      <w:bookmarkEnd w:id="163"/>
      <w:bookmarkEnd w:id="164"/>
      <w:bookmarkEnd w:id="165"/>
      <w:bookmarkEnd w:id="166"/>
      <w:bookmarkEnd w:id="167"/>
      <w:r>
        <w:rPr>
          <w:lang w:val="en-CA"/>
        </w:rPr>
        <w:t xml:space="preserve">, concluding 21.3% of the GPs who completed their cross-sectional survey felt discomfort while dealing with mental illness and 8.2 % felt </w:t>
      </w:r>
      <w:r>
        <w:rPr>
          <w:lang w:val="en-CA"/>
        </w:rPr>
        <w:lastRenderedPageBreak/>
        <w:t xml:space="preserve">uncomfortable while treating physical disabilities. It is important to note that these statistics are from the 55.8% (600) of the GPs who agreed to participate in the survey. The study claimed that “discomfort,” was associated with the lack of teaching and training about disabilities </w:t>
      </w:r>
      <w:r>
        <w:fldChar w:fldCharType="begin"/>
      </w:r>
      <w:r>
        <w:instrText>ADDIN RW.CITE{{247 Aulagnier,M. 2005}}</w:instrText>
      </w:r>
      <w:r>
        <w:fldChar w:fldCharType="separate"/>
      </w:r>
      <w:bookmarkStart w:id="168" w:name="__Fieldmark__1130_813835849"/>
      <w:r>
        <w:rPr>
          <w:lang w:val="en-CA"/>
        </w:rPr>
        <w:t>(</w:t>
      </w:r>
      <w:bookmarkStart w:id="169" w:name="__Fieldmark__1176_1675857893"/>
      <w:r>
        <w:rPr>
          <w:lang w:val="en-CA"/>
        </w:rPr>
        <w:t>A</w:t>
      </w:r>
      <w:bookmarkStart w:id="170" w:name="__Fieldmark__1022_857931355"/>
      <w:r>
        <w:rPr>
          <w:lang w:val="en-CA"/>
        </w:rPr>
        <w:t>u</w:t>
      </w:r>
      <w:bookmarkStart w:id="171" w:name="__Fieldmark__374_1186368443"/>
      <w:bookmarkStart w:id="172" w:name="__Fieldmark__756_206014555"/>
      <w:r>
        <w:rPr>
          <w:lang w:val="en-CA"/>
        </w:rPr>
        <w:t>lagnier et al., 2005)</w:t>
      </w:r>
      <w:r>
        <w:fldChar w:fldCharType="end"/>
      </w:r>
      <w:bookmarkEnd w:id="168"/>
      <w:bookmarkEnd w:id="169"/>
      <w:bookmarkEnd w:id="170"/>
      <w:bookmarkEnd w:id="171"/>
      <w:bookmarkEnd w:id="172"/>
      <w:r>
        <w:rPr>
          <w:lang w:val="en-CA"/>
        </w:rPr>
        <w:t xml:space="preserve">. In New Zealand, Dovey &amp; Webb (2000) showed that GPs agreed that they have a vital role in the life of PWD and recognized that the overall history of PWD within the medical system is a critical component that continues </w:t>
      </w:r>
      <w:r w:rsidR="004F15AF">
        <w:rPr>
          <w:lang w:val="en-CA"/>
        </w:rPr>
        <w:t xml:space="preserve">to influence care. Overall, </w:t>
      </w:r>
      <w:r>
        <w:rPr>
          <w:lang w:val="en-CA"/>
        </w:rPr>
        <w:t xml:space="preserve">it seems that while medicalization and </w:t>
      </w:r>
      <w:r w:rsidR="00206EC9">
        <w:rPr>
          <w:lang w:val="en-CA"/>
        </w:rPr>
        <w:t xml:space="preserve">physicians </w:t>
      </w:r>
      <w:r>
        <w:rPr>
          <w:lang w:val="en-CA"/>
        </w:rPr>
        <w:t xml:space="preserve">attitudes </w:t>
      </w:r>
      <w:r w:rsidR="00206EC9">
        <w:rPr>
          <w:lang w:val="en-CA"/>
        </w:rPr>
        <w:t>may act as</w:t>
      </w:r>
      <w:r>
        <w:rPr>
          <w:lang w:val="en-CA"/>
        </w:rPr>
        <w:t xml:space="preserve"> barriers to quality care for PWD, at times physicians do wish to provide good healthcare for PWD but are h</w:t>
      </w:r>
      <w:r w:rsidR="00206EC9">
        <w:rPr>
          <w:lang w:val="en-CA"/>
        </w:rPr>
        <w:t xml:space="preserve">’/ </w:t>
      </w:r>
      <w:r w:rsidR="000C7958">
        <w:rPr>
          <w:lang w:val="en-CA"/>
        </w:rPr>
        <w:t>hindered</w:t>
      </w:r>
      <w:r>
        <w:rPr>
          <w:lang w:val="en-CA"/>
        </w:rPr>
        <w:t xml:space="preserve"> by a lack of knowledge and inadequate medical education.</w:t>
      </w:r>
    </w:p>
    <w:p w:rsidR="00AA3D25" w:rsidRDefault="005C6640" w:rsidP="00DD3744">
      <w:pPr>
        <w:spacing w:line="480" w:lineRule="auto"/>
        <w:ind w:firstLine="720"/>
      </w:pPr>
      <w:r>
        <w:rPr>
          <w:lang w:val="en-CA"/>
        </w:rPr>
        <w:t xml:space="preserve">A study from Taiwan </w:t>
      </w:r>
      <w:r>
        <w:fldChar w:fldCharType="begin"/>
      </w:r>
      <w:r>
        <w:instrText>ADDIN RW.CITE{{242 Lin,J. 2008}}</w:instrText>
      </w:r>
      <w:r>
        <w:fldChar w:fldCharType="separate"/>
      </w:r>
      <w:bookmarkStart w:id="173" w:name="__Fieldmark__1149_813835849"/>
      <w:r>
        <w:rPr>
          <w:lang w:val="en-CA"/>
        </w:rPr>
        <w:t>(</w:t>
      </w:r>
      <w:bookmarkStart w:id="174" w:name="__Fieldmark__1201_1675857893"/>
      <w:r>
        <w:rPr>
          <w:lang w:val="en-CA"/>
        </w:rPr>
        <w:t>L</w:t>
      </w:r>
      <w:bookmarkStart w:id="175" w:name="__Fieldmark__1045_857931355"/>
      <w:r>
        <w:rPr>
          <w:lang w:val="en-CA"/>
        </w:rPr>
        <w:t>i</w:t>
      </w:r>
      <w:bookmarkStart w:id="176" w:name="__Fieldmark__769_206014555"/>
      <w:r>
        <w:rPr>
          <w:lang w:val="en-CA"/>
        </w:rPr>
        <w:t>n</w:t>
      </w:r>
      <w:bookmarkStart w:id="177" w:name="__Fieldmark__388_1186368443"/>
      <w:r>
        <w:rPr>
          <w:lang w:val="en-CA"/>
        </w:rPr>
        <w:t xml:space="preserve"> et al., 2008)</w:t>
      </w:r>
      <w:r>
        <w:fldChar w:fldCharType="end"/>
      </w:r>
      <w:bookmarkEnd w:id="173"/>
      <w:bookmarkEnd w:id="174"/>
      <w:bookmarkEnd w:id="175"/>
      <w:bookmarkEnd w:id="176"/>
      <w:bookmarkEnd w:id="177"/>
      <w:r>
        <w:rPr>
          <w:lang w:val="en-CA"/>
        </w:rPr>
        <w:t xml:space="preserve"> noted a lack of a multidisciplinary approach as one of the barriers as well. The study used a gap-analysis approach to prioritize the areas where there is an opportunity for policy makers. The gap-analysis approach focuses on the variance between the “importance and satisfaction” </w:t>
      </w:r>
      <w:r>
        <w:fldChar w:fldCharType="begin"/>
      </w:r>
      <w:r>
        <w:instrText>ADDIN RW.CITE{{242 Lin,J. 2008}}</w:instrText>
      </w:r>
      <w:r>
        <w:fldChar w:fldCharType="separate"/>
      </w:r>
      <w:bookmarkStart w:id="178" w:name="__Fieldmark__1168_813835849"/>
      <w:r>
        <w:rPr>
          <w:lang w:val="en-CA"/>
        </w:rPr>
        <w:t>(</w:t>
      </w:r>
      <w:bookmarkStart w:id="179" w:name="__Fieldmark__1222_1675857893"/>
      <w:r>
        <w:rPr>
          <w:lang w:val="en-CA"/>
        </w:rPr>
        <w:t>L</w:t>
      </w:r>
      <w:bookmarkStart w:id="180" w:name="__Fieldmark__1056_857931355"/>
      <w:r>
        <w:rPr>
          <w:lang w:val="en-CA"/>
        </w:rPr>
        <w:t>i</w:t>
      </w:r>
      <w:bookmarkStart w:id="181" w:name="__Fieldmark__776_206014555"/>
      <w:r>
        <w:rPr>
          <w:lang w:val="en-CA"/>
        </w:rPr>
        <w:t>n</w:t>
      </w:r>
      <w:bookmarkStart w:id="182" w:name="__Fieldmark__393_1186368443"/>
      <w:r>
        <w:rPr>
          <w:lang w:val="en-CA"/>
        </w:rPr>
        <w:t xml:space="preserve"> et al., 2008)</w:t>
      </w:r>
      <w:r>
        <w:fldChar w:fldCharType="end"/>
      </w:r>
      <w:bookmarkEnd w:id="178"/>
      <w:bookmarkEnd w:id="179"/>
      <w:bookmarkEnd w:id="180"/>
      <w:bookmarkEnd w:id="181"/>
      <w:bookmarkEnd w:id="182"/>
      <w:r>
        <w:rPr>
          <w:lang w:val="en-CA"/>
        </w:rPr>
        <w:t xml:space="preserve">. A survey-based research to understand GPs’ beliefs about the provision of adequate healthcare resources to PWD. Lin et al., (2008) also found that gender and education level of GPs were statistically significant, regarding importance of lived experiences and concerns specific to PWD. In this study </w:t>
      </w:r>
      <w:r>
        <w:fldChar w:fldCharType="begin"/>
      </w:r>
      <w:r>
        <w:instrText>ADDIN RW.CITE{{242 Lin,J. 2008}}</w:instrText>
      </w:r>
      <w:r>
        <w:fldChar w:fldCharType="separate"/>
      </w:r>
      <w:bookmarkStart w:id="183" w:name="__Fieldmark__1187_813835849"/>
      <w:r>
        <w:rPr>
          <w:lang w:val="en-CA"/>
        </w:rPr>
        <w:t>(</w:t>
      </w:r>
      <w:bookmarkStart w:id="184" w:name="__Fieldmark__1245_1675857893"/>
      <w:r>
        <w:rPr>
          <w:lang w:val="en-CA"/>
        </w:rPr>
        <w:t>L</w:t>
      </w:r>
      <w:bookmarkStart w:id="185" w:name="__Fieldmark__1067_857931355"/>
      <w:r>
        <w:rPr>
          <w:lang w:val="en-CA"/>
        </w:rPr>
        <w:t>i</w:t>
      </w:r>
      <w:bookmarkStart w:id="186" w:name="__Fieldmark__784_206014555"/>
      <w:r>
        <w:rPr>
          <w:lang w:val="en-CA"/>
        </w:rPr>
        <w:t>n et al., 2008)</w:t>
      </w:r>
      <w:r>
        <w:fldChar w:fldCharType="end"/>
      </w:r>
      <w:bookmarkEnd w:id="183"/>
      <w:bookmarkEnd w:id="184"/>
      <w:bookmarkEnd w:id="185"/>
      <w:bookmarkEnd w:id="186"/>
      <w:r>
        <w:t>,</w:t>
      </w:r>
      <w:r>
        <w:rPr>
          <w:lang w:val="en-CA"/>
        </w:rPr>
        <w:t xml:space="preserve"> males responded significantly more than females. Once </w:t>
      </w:r>
      <w:r w:rsidR="000C7958">
        <w:rPr>
          <w:lang w:val="en-CA"/>
        </w:rPr>
        <w:t>again,</w:t>
      </w:r>
      <w:r>
        <w:rPr>
          <w:lang w:val="en-CA"/>
        </w:rPr>
        <w:t xml:space="preserve"> PWD were largely missing in assessing the validity of such statistically significant results.</w:t>
      </w:r>
    </w:p>
    <w:p w:rsidR="00AA3D25" w:rsidRDefault="005C6640" w:rsidP="00DD3744">
      <w:pPr>
        <w:pStyle w:val="Heading2"/>
      </w:pPr>
      <w:bookmarkStart w:id="187" w:name="_Toc533852508"/>
      <w:r>
        <w:t>Suggested Quality Measures in from the Physicians’ Perspective</w:t>
      </w:r>
      <w:bookmarkEnd w:id="187"/>
      <w:r>
        <w:t xml:space="preserve"> </w:t>
      </w:r>
    </w:p>
    <w:p w:rsidR="00AA3D25" w:rsidRDefault="005C6640" w:rsidP="00DD3744">
      <w:pPr>
        <w:spacing w:line="480" w:lineRule="auto"/>
        <w:ind w:firstLine="720"/>
      </w:pPr>
      <w:r>
        <w:rPr>
          <w:lang w:val="en-CA"/>
        </w:rPr>
        <w:t xml:space="preserve">It is not surprising that in a society constructed to centre around the needs of “the able-bodied” and in a society that may actively exclude PWD, traditional healthcare arrangements may not be any different; PWD can have higher and different needs that are not usually included in current healthcare development </w:t>
      </w:r>
      <w:r>
        <w:fldChar w:fldCharType="begin"/>
      </w:r>
      <w:r>
        <w:instrText>ADDIN RW.CITE{{264 Beange,HP. 1996; 270 Kerr,M. 1996}}</w:instrText>
      </w:r>
      <w:r>
        <w:fldChar w:fldCharType="separate"/>
      </w:r>
      <w:bookmarkStart w:id="188" w:name="__Fieldmark__1209_813835849"/>
      <w:r>
        <w:rPr>
          <w:lang w:val="en-CA"/>
        </w:rPr>
        <w:t>(</w:t>
      </w:r>
      <w:bookmarkStart w:id="189" w:name="__Fieldmark__1275_1675857893"/>
      <w:r>
        <w:rPr>
          <w:lang w:val="en-CA"/>
        </w:rPr>
        <w:t>B</w:t>
      </w:r>
      <w:bookmarkStart w:id="190" w:name="__Fieldmark__1089_857931355"/>
      <w:r>
        <w:rPr>
          <w:lang w:val="en-CA"/>
        </w:rPr>
        <w:t>e</w:t>
      </w:r>
      <w:bookmarkStart w:id="191" w:name="__Fieldmark__807_206014555"/>
      <w:r>
        <w:rPr>
          <w:lang w:val="en-CA"/>
        </w:rPr>
        <w:t>a</w:t>
      </w:r>
      <w:bookmarkStart w:id="192" w:name="__Fieldmark__402_1186368443"/>
      <w:r>
        <w:rPr>
          <w:lang w:val="en-CA"/>
        </w:rPr>
        <w:t>nge, 1996; Kerr et al., 1996)</w:t>
      </w:r>
      <w:r>
        <w:fldChar w:fldCharType="end"/>
      </w:r>
      <w:bookmarkEnd w:id="188"/>
      <w:bookmarkEnd w:id="189"/>
      <w:bookmarkEnd w:id="190"/>
      <w:bookmarkEnd w:id="191"/>
      <w:bookmarkEnd w:id="192"/>
      <w:r>
        <w:rPr>
          <w:lang w:val="en-CA"/>
        </w:rPr>
        <w:t xml:space="preserve"> and most of the needs of </w:t>
      </w:r>
      <w:r>
        <w:rPr>
          <w:lang w:val="en-CA"/>
        </w:rPr>
        <w:lastRenderedPageBreak/>
        <w:t xml:space="preserve">PWD go unnoticed </w:t>
      </w:r>
      <w:r>
        <w:fldChar w:fldCharType="begin"/>
      </w:r>
      <w:r>
        <w:instrText>ADDIN RW.CITE{{271 [NoInformation] 1990; 264 Beange,HP. 1996}}</w:instrText>
      </w:r>
      <w:r>
        <w:fldChar w:fldCharType="separate"/>
      </w:r>
      <w:bookmarkStart w:id="193" w:name="__Fieldmark__1228_813835849"/>
      <w:r>
        <w:rPr>
          <w:lang w:val="en-CA"/>
        </w:rPr>
        <w:t>(</w:t>
      </w:r>
      <w:bookmarkStart w:id="194" w:name="__Fieldmark__1291_1675857893"/>
      <w:r>
        <w:rPr>
          <w:lang w:val="en-CA"/>
        </w:rPr>
        <w:t>P</w:t>
      </w:r>
      <w:bookmarkStart w:id="195" w:name="__Fieldmark__1104_857931355"/>
      <w:r>
        <w:rPr>
          <w:lang w:val="en-CA"/>
        </w:rPr>
        <w:t>r</w:t>
      </w:r>
      <w:bookmarkStart w:id="196" w:name="__Fieldmark__814_206014555"/>
      <w:r>
        <w:rPr>
          <w:lang w:val="en-CA"/>
        </w:rPr>
        <w:t>i</w:t>
      </w:r>
      <w:bookmarkStart w:id="197" w:name="__Fieldmark__407_1186368443"/>
      <w:r>
        <w:rPr>
          <w:lang w:val="en-CA"/>
        </w:rPr>
        <w:t>mary care for people with a mental handicap recommendations.1990; Beange, 1996)</w:t>
      </w:r>
      <w:r>
        <w:fldChar w:fldCharType="end"/>
      </w:r>
      <w:bookmarkEnd w:id="193"/>
      <w:bookmarkEnd w:id="194"/>
      <w:bookmarkEnd w:id="195"/>
      <w:bookmarkEnd w:id="196"/>
      <w:bookmarkEnd w:id="197"/>
      <w:r>
        <w:rPr>
          <w:lang w:val="en-CA"/>
        </w:rPr>
        <w:t>.</w:t>
      </w:r>
    </w:p>
    <w:p w:rsidR="00AA3D25" w:rsidRDefault="005C6640" w:rsidP="00DD3744">
      <w:pPr>
        <w:spacing w:line="480" w:lineRule="auto"/>
        <w:ind w:firstLine="720"/>
      </w:pPr>
      <w:r>
        <w:rPr>
          <w:lang w:val="en-CA"/>
        </w:rPr>
        <w:t xml:space="preserve">Numerous studies to date </w:t>
      </w:r>
      <w:r>
        <w:fldChar w:fldCharType="begin"/>
      </w:r>
      <w:r>
        <w:instrText>ADDIN RW.CITE{{247 Aulagnier,M. 2005 /o; 264 Beange,HP. 1996 /o; 256 Downs,A. 2004 /o; 198 Iezzoni,L.I. 2012 /o; 211 Kerins,G. 2004 /o; 258 Lennox,N.G. 1997 /o; 242 Lin,J. 2008 /o; 271 [NoInformation] 1990 /o}}</w:instrText>
      </w:r>
      <w:r>
        <w:fldChar w:fldCharType="separate"/>
      </w:r>
      <w:bookmarkStart w:id="198" w:name="__Fieldmark__1249_813835849"/>
      <w:r>
        <w:rPr>
          <w:lang w:val="en-CA"/>
        </w:rPr>
        <w:t>(</w:t>
      </w:r>
      <w:bookmarkStart w:id="199" w:name="__Fieldmark__1312_1675857893"/>
      <w:r>
        <w:rPr>
          <w:lang w:val="en-CA"/>
        </w:rPr>
        <w:t>A</w:t>
      </w:r>
      <w:bookmarkStart w:id="200" w:name="__Fieldmark__1118_857931355"/>
      <w:r>
        <w:rPr>
          <w:lang w:val="en-CA"/>
        </w:rPr>
        <w:t>u</w:t>
      </w:r>
      <w:bookmarkStart w:id="201" w:name="__Fieldmark__414_1186368443"/>
      <w:bookmarkStart w:id="202" w:name="__Fieldmark__823_206014555"/>
      <w:r>
        <w:rPr>
          <w:lang w:val="en-CA"/>
        </w:rPr>
        <w:t>lagnier et al., 2005; Beange, 1996; Downs et al., 2004; Iezzoni &amp; Long-Bellil, 2012; Kerins et al., 2004; Lennox et al., 1997; Lin et al., 2008; Primary care for people with a mental handicap recommendations, 1990)</w:t>
      </w:r>
      <w:r>
        <w:fldChar w:fldCharType="end"/>
      </w:r>
      <w:bookmarkEnd w:id="198"/>
      <w:bookmarkEnd w:id="199"/>
      <w:bookmarkEnd w:id="200"/>
      <w:bookmarkEnd w:id="201"/>
      <w:bookmarkEnd w:id="202"/>
      <w:r>
        <w:rPr>
          <w:lang w:val="en-CA"/>
        </w:rPr>
        <w:t xml:space="preserve"> have put forward solutions presented by GPs to educate society and ease delivery, for example: different modalities of training seminars, producing guides outlining local resources for PWD, and access to journal articles. Most of the GPs were in favour of a handbook summarizing the literature on healthcare of PWD or specific guidelines about the resources and services provided in society </w:t>
      </w:r>
      <w:r>
        <w:fldChar w:fldCharType="begin"/>
      </w:r>
      <w:r>
        <w:instrText>ADDIN RW.CITE{{258 Lennox,N.G. 1997}}</w:instrText>
      </w:r>
      <w:r>
        <w:fldChar w:fldCharType="separate"/>
      </w:r>
      <w:bookmarkStart w:id="203" w:name="__Fieldmark__1266_813835849"/>
      <w:r>
        <w:rPr>
          <w:lang w:val="en-CA"/>
        </w:rPr>
        <w:t>(</w:t>
      </w:r>
      <w:bookmarkStart w:id="204" w:name="__Fieldmark__1335_1675857893"/>
      <w:r>
        <w:rPr>
          <w:lang w:val="en-CA"/>
        </w:rPr>
        <w:t>L</w:t>
      </w:r>
      <w:bookmarkStart w:id="205" w:name="__Fieldmark__1134_857931355"/>
      <w:r>
        <w:rPr>
          <w:lang w:val="en-CA"/>
        </w:rPr>
        <w:t>e</w:t>
      </w:r>
      <w:bookmarkStart w:id="206" w:name="__Fieldmark__841_206014555"/>
      <w:r>
        <w:rPr>
          <w:lang w:val="en-CA"/>
        </w:rPr>
        <w:t>nnox et al., 1997)</w:t>
      </w:r>
      <w:r>
        <w:fldChar w:fldCharType="end"/>
      </w:r>
      <w:bookmarkEnd w:id="203"/>
      <w:bookmarkEnd w:id="204"/>
      <w:bookmarkEnd w:id="205"/>
      <w:bookmarkEnd w:id="206"/>
      <w:r>
        <w:t>.</w:t>
      </w:r>
      <w:r>
        <w:rPr>
          <w:lang w:val="en-CA"/>
        </w:rPr>
        <w:t xml:space="preserve"> They also had an opinion about forming a close network with other allied health care professionals in providing care for PWD </w:t>
      </w:r>
      <w:r>
        <w:fldChar w:fldCharType="begin"/>
      </w:r>
      <w:r>
        <w:instrText>ADDIN RW.CITE{{258 Lennox,N.G. 1997; 269 Dovey,S. 2000; 257 Bond,L 1997}}</w:instrText>
      </w:r>
      <w:r>
        <w:fldChar w:fldCharType="separate"/>
      </w:r>
      <w:bookmarkStart w:id="207" w:name="__Fieldmark__1282_813835849"/>
      <w:r>
        <w:rPr>
          <w:lang w:val="en-CA"/>
        </w:rPr>
        <w:t>(</w:t>
      </w:r>
      <w:bookmarkStart w:id="208" w:name="__Fieldmark__1349_1675857893"/>
      <w:r>
        <w:rPr>
          <w:lang w:val="en-CA"/>
        </w:rPr>
        <w:t>B</w:t>
      </w:r>
      <w:bookmarkStart w:id="209" w:name="__Fieldmark__1141_857931355"/>
      <w:r>
        <w:rPr>
          <w:lang w:val="en-CA"/>
        </w:rPr>
        <w:t>o</w:t>
      </w:r>
      <w:bookmarkStart w:id="210" w:name="__Fieldmark__849_206014555"/>
      <w:r>
        <w:rPr>
          <w:lang w:val="en-CA"/>
        </w:rPr>
        <w:t>nd et al., 1997; Dovey &amp; Webb, 2000; Lennox et al., 1997)</w:t>
      </w:r>
      <w:r>
        <w:fldChar w:fldCharType="end"/>
      </w:r>
      <w:bookmarkEnd w:id="207"/>
      <w:bookmarkEnd w:id="208"/>
      <w:bookmarkEnd w:id="209"/>
      <w:bookmarkEnd w:id="210"/>
      <w:r>
        <w:rPr>
          <w:lang w:val="en-CA"/>
        </w:rPr>
        <w:t>.</w:t>
      </w:r>
      <w:r>
        <w:t xml:space="preserve"> </w:t>
      </w:r>
      <w:r w:rsidR="00280240">
        <w:rPr>
          <w:lang w:val="en-CA"/>
        </w:rPr>
        <w:t xml:space="preserve">Increasing </w:t>
      </w:r>
      <w:r>
        <w:rPr>
          <w:lang w:val="en-CA"/>
        </w:rPr>
        <w:t xml:space="preserve">consultation time and better remuneration for the increased time was also mentioned as an option </w:t>
      </w:r>
      <w:r>
        <w:fldChar w:fldCharType="begin"/>
      </w:r>
      <w:r>
        <w:instrText>ADDIN RW.CITE{{247 Aulagnier,M. 2005 /o; 264 Beange,HP. 1996 /o; 269 Dovey,S. 2000 /o; 211 Kerins,G. 2004 /o; 258 Lennox,N.G. 1997 /o}}</w:instrText>
      </w:r>
      <w:r>
        <w:fldChar w:fldCharType="separate"/>
      </w:r>
      <w:bookmarkStart w:id="211" w:name="__Fieldmark__1299_813835849"/>
      <w:r>
        <w:rPr>
          <w:lang w:val="en-CA"/>
        </w:rPr>
        <w:t>(</w:t>
      </w:r>
      <w:bookmarkStart w:id="212" w:name="__Fieldmark__1362_1675857893"/>
      <w:r>
        <w:rPr>
          <w:lang w:val="en-CA"/>
        </w:rPr>
        <w:t>A</w:t>
      </w:r>
      <w:bookmarkStart w:id="213" w:name="__Fieldmark__1150_857931355"/>
      <w:r>
        <w:rPr>
          <w:lang w:val="en-CA"/>
        </w:rPr>
        <w:t>u</w:t>
      </w:r>
      <w:bookmarkStart w:id="214" w:name="__Fieldmark__421_1186368443"/>
      <w:bookmarkStart w:id="215" w:name="__Fieldmark__862_206014555"/>
      <w:r>
        <w:rPr>
          <w:lang w:val="en-CA"/>
        </w:rPr>
        <w:t>lagnier et al., 2005; Beange, 1996; Dovey &amp; Webb, 2000; Kerins et al., 2004; Lennox et al., 1997)</w:t>
      </w:r>
      <w:r>
        <w:fldChar w:fldCharType="end"/>
      </w:r>
      <w:bookmarkEnd w:id="211"/>
      <w:bookmarkEnd w:id="212"/>
      <w:bookmarkEnd w:id="213"/>
      <w:bookmarkEnd w:id="214"/>
      <w:bookmarkEnd w:id="215"/>
      <w:r>
        <w:rPr>
          <w:lang w:val="en-CA"/>
        </w:rPr>
        <w:t>. In the exploratory survey-based research about physicians’ attitudes towards PWD, Lennox et al., (1997) stated that the average time spent with a patient was 7 minutes. The research further suggested that this inadequate amount of examination time might be due to low reimbursement rates.</w:t>
      </w:r>
    </w:p>
    <w:p w:rsidR="00AA3D25" w:rsidRDefault="005C6640" w:rsidP="00DD3744">
      <w:pPr>
        <w:pStyle w:val="Heading2"/>
      </w:pPr>
      <w:bookmarkStart w:id="216" w:name="_Toc533852509"/>
      <w:r>
        <w:t>Gaps in the Literature</w:t>
      </w:r>
      <w:bookmarkEnd w:id="216"/>
    </w:p>
    <w:p w:rsidR="00AA3D25" w:rsidRDefault="005C6640" w:rsidP="00DD3744">
      <w:pPr>
        <w:spacing w:line="480" w:lineRule="auto"/>
        <w:ind w:firstLine="720"/>
      </w:pPr>
      <w:r>
        <w:t xml:space="preserve">To date, there have been few studies done on GPs attitudes and perceptions regarding PWD namely in the United Kingdom </w:t>
      </w:r>
      <w:r>
        <w:fldChar w:fldCharType="begin"/>
      </w:r>
      <w:r>
        <w:instrText>ADDIN RW.CITE{{257 Bond,L 1997}}</w:instrText>
      </w:r>
      <w:r>
        <w:fldChar w:fldCharType="separate"/>
      </w:r>
      <w:bookmarkStart w:id="217" w:name="__Fieldmark__1326_813835849"/>
      <w:r>
        <w:t>(</w:t>
      </w:r>
      <w:bookmarkStart w:id="218" w:name="__Fieldmark__1390_1675857893"/>
      <w:r>
        <w:t>B</w:t>
      </w:r>
      <w:bookmarkStart w:id="219" w:name="__Fieldmark__1169_857931355"/>
      <w:r>
        <w:t>o</w:t>
      </w:r>
      <w:bookmarkStart w:id="220" w:name="__Fieldmark__900_206014555"/>
      <w:r>
        <w:t>n</w:t>
      </w:r>
      <w:bookmarkStart w:id="221" w:name="__Fieldmark__478_1186368443"/>
      <w:r>
        <w:t>d et al., 1997)</w:t>
      </w:r>
      <w:r>
        <w:fldChar w:fldCharType="end"/>
      </w:r>
      <w:bookmarkEnd w:id="217"/>
      <w:bookmarkEnd w:id="218"/>
      <w:bookmarkEnd w:id="219"/>
      <w:bookmarkEnd w:id="220"/>
      <w:bookmarkEnd w:id="221"/>
      <w:r>
        <w:t xml:space="preserve">, Australia </w:t>
      </w:r>
      <w:r>
        <w:fldChar w:fldCharType="begin"/>
      </w:r>
      <w:r>
        <w:instrText>ADDIN RW.CITE{{258 Lennox,N.G. 1997}}</w:instrText>
      </w:r>
      <w:r>
        <w:fldChar w:fldCharType="separate"/>
      </w:r>
      <w:bookmarkStart w:id="222" w:name="__Fieldmark__1345_813835849"/>
      <w:r>
        <w:t>(</w:t>
      </w:r>
      <w:bookmarkStart w:id="223" w:name="__Fieldmark__1405_1675857893"/>
      <w:r>
        <w:t>L</w:t>
      </w:r>
      <w:bookmarkStart w:id="224" w:name="__Fieldmark__1180_857931355"/>
      <w:r>
        <w:t>e</w:t>
      </w:r>
      <w:bookmarkStart w:id="225" w:name="__Fieldmark__907_206014555"/>
      <w:r>
        <w:t>n</w:t>
      </w:r>
      <w:bookmarkStart w:id="226" w:name="__Fieldmark__483_1186368443"/>
      <w:r>
        <w:t>nox et al., 1997)</w:t>
      </w:r>
      <w:r>
        <w:fldChar w:fldCharType="end"/>
      </w:r>
      <w:bookmarkEnd w:id="222"/>
      <w:bookmarkEnd w:id="223"/>
      <w:bookmarkEnd w:id="224"/>
      <w:bookmarkEnd w:id="225"/>
      <w:bookmarkEnd w:id="226"/>
      <w:r>
        <w:t xml:space="preserve">, New Zealand </w:t>
      </w:r>
      <w:r>
        <w:fldChar w:fldCharType="begin"/>
      </w:r>
      <w:r>
        <w:instrText>ADDIN RW.CITE{{269 Dovey,S. 2000}}</w:instrText>
      </w:r>
      <w:r>
        <w:fldChar w:fldCharType="separate"/>
      </w:r>
      <w:bookmarkStart w:id="227" w:name="__Fieldmark__1364_813835849"/>
      <w:r>
        <w:t>(</w:t>
      </w:r>
      <w:bookmarkStart w:id="228" w:name="__Fieldmark__1420_1675857893"/>
      <w:r>
        <w:t>D</w:t>
      </w:r>
      <w:bookmarkStart w:id="229" w:name="__Fieldmark__1191_857931355"/>
      <w:r>
        <w:t>o</w:t>
      </w:r>
      <w:bookmarkStart w:id="230" w:name="__Fieldmark__488_1186368443"/>
      <w:bookmarkStart w:id="231" w:name="__Fieldmark__914_206014555"/>
      <w:r>
        <w:t>vey &amp; Webb, 2000)</w:t>
      </w:r>
      <w:r>
        <w:fldChar w:fldCharType="end"/>
      </w:r>
      <w:bookmarkEnd w:id="227"/>
      <w:bookmarkEnd w:id="228"/>
      <w:bookmarkEnd w:id="229"/>
      <w:bookmarkEnd w:id="230"/>
      <w:bookmarkEnd w:id="231"/>
      <w:r>
        <w:t xml:space="preserve">, Unites States </w:t>
      </w:r>
      <w:r>
        <w:fldChar w:fldCharType="begin"/>
      </w:r>
      <w:r>
        <w:instrText>ADDIN RW.CITE{{211 Kerins,G. 2004}}</w:instrText>
      </w:r>
      <w:r>
        <w:fldChar w:fldCharType="separate"/>
      </w:r>
      <w:bookmarkStart w:id="232" w:name="__Fieldmark__1381_813835849"/>
      <w:r>
        <w:t>(</w:t>
      </w:r>
      <w:bookmarkStart w:id="233" w:name="__Fieldmark__1434_1675857893"/>
      <w:r>
        <w:t>K</w:t>
      </w:r>
      <w:bookmarkStart w:id="234" w:name="__Fieldmark__1200_857931355"/>
      <w:r>
        <w:t>e</w:t>
      </w:r>
      <w:bookmarkStart w:id="235" w:name="__Fieldmark__923_206014555"/>
      <w:r>
        <w:t>r</w:t>
      </w:r>
      <w:bookmarkStart w:id="236" w:name="__Fieldmark__493_1186368443"/>
      <w:r>
        <w:t>ins et al., 2004)</w:t>
      </w:r>
      <w:r>
        <w:fldChar w:fldCharType="end"/>
      </w:r>
      <w:bookmarkEnd w:id="232"/>
      <w:bookmarkEnd w:id="233"/>
      <w:bookmarkEnd w:id="234"/>
      <w:bookmarkEnd w:id="235"/>
      <w:bookmarkEnd w:id="236"/>
      <w:r>
        <w:t xml:space="preserve">, France </w:t>
      </w:r>
      <w:r>
        <w:fldChar w:fldCharType="begin"/>
      </w:r>
      <w:r>
        <w:instrText>ADDIN RW.CITE{{247 Aulagnier,M. 2005}}</w:instrText>
      </w:r>
      <w:r>
        <w:fldChar w:fldCharType="separate"/>
      </w:r>
      <w:bookmarkStart w:id="237" w:name="__Fieldmark__1400_813835849"/>
      <w:r>
        <w:t>(</w:t>
      </w:r>
      <w:bookmarkStart w:id="238" w:name="__Fieldmark__1451_1675857893"/>
      <w:r>
        <w:t>A</w:t>
      </w:r>
      <w:bookmarkStart w:id="239" w:name="__Fieldmark__1211_857931355"/>
      <w:r>
        <w:t>u</w:t>
      </w:r>
      <w:bookmarkStart w:id="240" w:name="__Fieldmark__498_1186368443"/>
      <w:bookmarkStart w:id="241" w:name="__Fieldmark__930_206014555"/>
      <w:r>
        <w:t>lagnier et al., 2005)</w:t>
      </w:r>
      <w:r>
        <w:fldChar w:fldCharType="end"/>
      </w:r>
      <w:bookmarkEnd w:id="237"/>
      <w:bookmarkEnd w:id="238"/>
      <w:bookmarkEnd w:id="239"/>
      <w:bookmarkEnd w:id="240"/>
      <w:bookmarkEnd w:id="241"/>
      <w:r>
        <w:t xml:space="preserve"> and in Taiwan </w:t>
      </w:r>
      <w:r>
        <w:fldChar w:fldCharType="begin"/>
      </w:r>
      <w:r>
        <w:instrText>ADDIN RW.CITE{{242 Lin,J. 2008}}</w:instrText>
      </w:r>
      <w:r>
        <w:fldChar w:fldCharType="separate"/>
      </w:r>
      <w:bookmarkStart w:id="242" w:name="__Fieldmark__1417_813835849"/>
      <w:r>
        <w:t>(</w:t>
      </w:r>
      <w:bookmarkStart w:id="243" w:name="__Fieldmark__1464_1675857893"/>
      <w:r>
        <w:t>L</w:t>
      </w:r>
      <w:bookmarkStart w:id="244" w:name="__Fieldmark__1220_857931355"/>
      <w:r>
        <w:t>i</w:t>
      </w:r>
      <w:bookmarkStart w:id="245" w:name="__Fieldmark__937_206014555"/>
      <w:r>
        <w:t>n</w:t>
      </w:r>
      <w:bookmarkStart w:id="246" w:name="__Fieldmark__503_1186368443"/>
      <w:r>
        <w:t xml:space="preserve"> et al., 2008)</w:t>
      </w:r>
      <w:r>
        <w:fldChar w:fldCharType="end"/>
      </w:r>
      <w:bookmarkEnd w:id="242"/>
      <w:bookmarkEnd w:id="243"/>
      <w:bookmarkEnd w:id="244"/>
      <w:bookmarkEnd w:id="245"/>
      <w:bookmarkEnd w:id="246"/>
      <w:r>
        <w:t xml:space="preserve">. Canadian perspectives are largely missing from the research and the current forum of knowledge. Further, while the above-mentioned body of </w:t>
      </w:r>
      <w:r>
        <w:lastRenderedPageBreak/>
        <w:t xml:space="preserve">literature provides an outline regarding the context of inequities for PWD, the survey-based research lacks the texture and richness of in-depth in person interviews. Clearly, the physician patient relationship is not a simple one and merits a comprehensive analysis. The response rate </w:t>
      </w:r>
      <w:r w:rsidR="00280240">
        <w:t xml:space="preserve">for </w:t>
      </w:r>
      <w:r>
        <w:t xml:space="preserve">this research </w:t>
      </w:r>
      <w:r w:rsidR="00280240">
        <w:t xml:space="preserve">study </w:t>
      </w:r>
      <w:r>
        <w:t>has been ve</w:t>
      </w:r>
      <w:r w:rsidR="00280240">
        <w:t>ry low w</w:t>
      </w:r>
      <w:r>
        <w:t xml:space="preserve">hich may </w:t>
      </w:r>
      <w:r w:rsidR="00280240">
        <w:t>affect</w:t>
      </w:r>
      <w:r>
        <w:t xml:space="preserve"> its validity. In addition, it is important to note that existing literature delineates physical disability and mental disability, and solely focuses on mental disability. Only one study from the above-mentioned research (Aulagnier et al., 2005) recognizes the perception of physicians about physical disability. In the current body of literature, regarding physicians’ beliefs about the accessibility issues faced by people having physical disability and issues regarding chronic conditions is largely missing from the perspectives and current understandings of disability and healthcare.</w:t>
      </w:r>
    </w:p>
    <w:p w:rsidR="00AA3D25" w:rsidRDefault="005C6640" w:rsidP="00DD3744">
      <w:pPr>
        <w:spacing w:line="480" w:lineRule="auto"/>
        <w:ind w:firstLine="720"/>
      </w:pPr>
      <w:r>
        <w:t xml:space="preserve">Overall, then, there is a gap in the literature regarding perceptions of physicians in Canada about PWD and the interplay between social understandings of PWD and providing optimum healthcare for PWD. A major goal of this study is to extend knowledge in this important and neglected field, to improve the Canadian quality of healthcare, to identify the policy and decision making opportunities, and to strengthen and improve the education of physicians about disability in Canada. </w:t>
      </w:r>
    </w:p>
    <w:p w:rsidR="00AA3D25" w:rsidRDefault="005C6640" w:rsidP="00DD3744">
      <w:pPr>
        <w:spacing w:line="480" w:lineRule="auto"/>
      </w:pPr>
      <w:r>
        <w:br w:type="page"/>
      </w:r>
    </w:p>
    <w:p w:rsidR="00AA3D25" w:rsidRDefault="005C6640" w:rsidP="00DD3744">
      <w:pPr>
        <w:spacing w:line="480" w:lineRule="auto"/>
        <w:ind w:firstLine="720"/>
        <w:jc w:val="center"/>
      </w:pPr>
      <w:r>
        <w:rPr>
          <w:b/>
        </w:rPr>
        <w:lastRenderedPageBreak/>
        <w:t>Theoretical Framework</w:t>
      </w:r>
    </w:p>
    <w:p w:rsidR="00AA3D25" w:rsidRDefault="005C6640" w:rsidP="00DD3744">
      <w:pPr>
        <w:spacing w:line="480" w:lineRule="auto"/>
        <w:ind w:firstLine="720"/>
      </w:pPr>
      <w:r>
        <w:t>My theoretical framework drew upon SMD to understand how PWD engaged and located themselves in complexities of society. It is important to position my discussion historically. Exploring the concept of disability and origin of SMD, broadly, helps in understanding why PWD remains under-serviced by physicians and elaborates the factors involved in the dichotomy behind absence of PWD from healthcare platforms.</w:t>
      </w:r>
    </w:p>
    <w:p w:rsidR="00AA3D25" w:rsidRDefault="003018D2" w:rsidP="00DD3744">
      <w:pPr>
        <w:pStyle w:val="Heading2"/>
      </w:pPr>
      <w:bookmarkStart w:id="247" w:name="_Toc533852510"/>
      <w:r>
        <w:t xml:space="preserve">Social </w:t>
      </w:r>
      <w:r w:rsidR="00280240">
        <w:t>Model of</w:t>
      </w:r>
      <w:r w:rsidR="005C6640">
        <w:t xml:space="preserve"> Disability</w:t>
      </w:r>
      <w:bookmarkEnd w:id="247"/>
    </w:p>
    <w:p w:rsidR="00AA3D25" w:rsidRDefault="005C6640" w:rsidP="00DD3744">
      <w:pPr>
        <w:spacing w:line="480" w:lineRule="auto"/>
        <w:ind w:firstLine="720"/>
      </w:pPr>
      <w:r>
        <w:t xml:space="preserve">By the end of twentieth century, the idea that “broader economic and social analysis” was necessary to demonstrate marginalization of disabled people, was in its incipient stages </w:t>
      </w:r>
      <w:r>
        <w:fldChar w:fldCharType="begin"/>
      </w:r>
      <w:r>
        <w:instrText>ADDIN RW.CITE{{287 Oliver,Mike 1997}}</w:instrText>
      </w:r>
      <w:r>
        <w:fldChar w:fldCharType="separate"/>
      </w:r>
      <w:bookmarkStart w:id="248" w:name="__Fieldmark__1445_813835849"/>
      <w:r>
        <w:t>(</w:t>
      </w:r>
      <w:bookmarkStart w:id="249" w:name="__Fieldmark__1510_1675857893"/>
      <w:r>
        <w:t>O</w:t>
      </w:r>
      <w:bookmarkStart w:id="250" w:name="__Fieldmark__1277_857931355"/>
      <w:r>
        <w:t>l</w:t>
      </w:r>
      <w:bookmarkStart w:id="251" w:name="__Fieldmark__1018_206014555"/>
      <w:r>
        <w:t>i</w:t>
      </w:r>
      <w:bookmarkStart w:id="252" w:name="__Fieldmark__544_1186368443"/>
      <w:r>
        <w:t>ver, 1997)</w:t>
      </w:r>
      <w:r>
        <w:fldChar w:fldCharType="end"/>
      </w:r>
      <w:bookmarkEnd w:id="248"/>
      <w:bookmarkEnd w:id="249"/>
      <w:bookmarkEnd w:id="250"/>
      <w:bookmarkEnd w:id="251"/>
      <w:bookmarkEnd w:id="252"/>
      <w:r>
        <w:t>. PWD found themselves being portrayed under the “</w:t>
      </w:r>
      <w:r w:rsidR="003018D2">
        <w:t>Medical Model</w:t>
      </w:r>
      <w:r>
        <w:t xml:space="preserve"> of disability,” which was primarily fixated on their “medical condition” </w:t>
      </w:r>
      <w:r>
        <w:fldChar w:fldCharType="begin"/>
      </w:r>
      <w:r>
        <w:instrText>ADDIN RW.CITE{{303 Morris,Jenny 1991}}</w:instrText>
      </w:r>
      <w:r>
        <w:fldChar w:fldCharType="separate"/>
      </w:r>
      <w:bookmarkStart w:id="253" w:name="__Fieldmark__1464_813835849"/>
      <w:r>
        <w:t>(</w:t>
      </w:r>
      <w:bookmarkStart w:id="254" w:name="__Fieldmark__1529_1675857893"/>
      <w:r>
        <w:t>M</w:t>
      </w:r>
      <w:bookmarkStart w:id="255" w:name="__Fieldmark__1292_857931355"/>
      <w:r>
        <w:t>o</w:t>
      </w:r>
      <w:bookmarkStart w:id="256" w:name="__Fieldmark__1025_206014555"/>
      <w:r>
        <w:t>r</w:t>
      </w:r>
      <w:bookmarkStart w:id="257" w:name="__Fieldmark__549_1186368443"/>
      <w:r>
        <w:t>ris, 1991)</w:t>
      </w:r>
      <w:r>
        <w:fldChar w:fldCharType="end"/>
      </w:r>
      <w:bookmarkEnd w:id="253"/>
      <w:bookmarkEnd w:id="254"/>
      <w:bookmarkEnd w:id="255"/>
      <w:bookmarkEnd w:id="256"/>
      <w:bookmarkEnd w:id="257"/>
      <w:r>
        <w:t xml:space="preserve"> and “impairment”, which was the cause of any difficulty PWD faced in society </w:t>
      </w:r>
      <w:r>
        <w:fldChar w:fldCharType="begin"/>
      </w:r>
      <w:r>
        <w:instrText>ADDIN RW.CITE{{304 Crow,Liz 1996}}</w:instrText>
      </w:r>
      <w:r>
        <w:fldChar w:fldCharType="separate"/>
      </w:r>
      <w:bookmarkStart w:id="258" w:name="__Fieldmark__1483_813835849"/>
      <w:r>
        <w:t>(</w:t>
      </w:r>
      <w:bookmarkStart w:id="259" w:name="__Fieldmark__1547_1675857893"/>
      <w:r>
        <w:t>C</w:t>
      </w:r>
      <w:bookmarkStart w:id="260" w:name="__Fieldmark__1304_857931355"/>
      <w:r>
        <w:t>r</w:t>
      </w:r>
      <w:bookmarkStart w:id="261" w:name="__Fieldmark__1032_206014555"/>
      <w:r>
        <w:t>o</w:t>
      </w:r>
      <w:bookmarkStart w:id="262" w:name="__Fieldmark__554_1186368443"/>
      <w:r>
        <w:t>w, 1996)</w:t>
      </w:r>
      <w:r>
        <w:fldChar w:fldCharType="end"/>
      </w:r>
      <w:bookmarkEnd w:id="258"/>
      <w:bookmarkEnd w:id="259"/>
      <w:bookmarkEnd w:id="260"/>
      <w:bookmarkEnd w:id="261"/>
      <w:bookmarkEnd w:id="262"/>
      <w:r>
        <w:t xml:space="preserve">. The disability community had recognized the medical ideology underpinned in policies and construction of disability in society </w:t>
      </w:r>
      <w:r>
        <w:fldChar w:fldCharType="begin"/>
      </w:r>
      <w:r>
        <w:instrText>ADDIN RW.CITE{{289 Oliver,Mike 1992}}</w:instrText>
      </w:r>
      <w:r>
        <w:fldChar w:fldCharType="separate"/>
      </w:r>
      <w:bookmarkStart w:id="263" w:name="__Fieldmark__1502_813835849"/>
      <w:r>
        <w:t>(</w:t>
      </w:r>
      <w:bookmarkStart w:id="264" w:name="__Fieldmark__1564_1675857893"/>
      <w:r>
        <w:t>O</w:t>
      </w:r>
      <w:bookmarkStart w:id="265" w:name="__Fieldmark__1315_857931355"/>
      <w:r>
        <w:t>l</w:t>
      </w:r>
      <w:bookmarkStart w:id="266" w:name="__Fieldmark__1043_206014555"/>
      <w:r>
        <w:t>i</w:t>
      </w:r>
      <w:bookmarkStart w:id="267" w:name="__Fieldmark__559_1186368443"/>
      <w:r>
        <w:t>ver, 1992)</w:t>
      </w:r>
      <w:r>
        <w:fldChar w:fldCharType="end"/>
      </w:r>
      <w:bookmarkEnd w:id="263"/>
      <w:bookmarkEnd w:id="264"/>
      <w:bookmarkEnd w:id="265"/>
      <w:bookmarkEnd w:id="266"/>
      <w:bookmarkEnd w:id="267"/>
      <w:r>
        <w:t xml:space="preserve">. The SMD on the other hand focused on “disabling society,” “environment,” and “attitudinal barriers” </w:t>
      </w:r>
      <w:r>
        <w:fldChar w:fldCharType="begin"/>
      </w:r>
      <w:r>
        <w:instrText>ADDIN RW.CITE{{304 Crow,Liz 1996}}</w:instrText>
      </w:r>
      <w:r>
        <w:fldChar w:fldCharType="separate"/>
      </w:r>
      <w:bookmarkStart w:id="268" w:name="__Fieldmark__1521_813835849"/>
      <w:r>
        <w:t>(</w:t>
      </w:r>
      <w:bookmarkStart w:id="269" w:name="__Fieldmark__1579_1675857893"/>
      <w:r>
        <w:t>C</w:t>
      </w:r>
      <w:bookmarkStart w:id="270" w:name="__Fieldmark__1332_857931355"/>
      <w:r>
        <w:t>r</w:t>
      </w:r>
      <w:bookmarkStart w:id="271" w:name="__Fieldmark__1050_206014555"/>
      <w:r>
        <w:t>o</w:t>
      </w:r>
      <w:bookmarkStart w:id="272" w:name="__Fieldmark__564_1186368443"/>
      <w:r>
        <w:t>w, 1996)</w:t>
      </w:r>
      <w:r>
        <w:fldChar w:fldCharType="end"/>
      </w:r>
      <w:bookmarkEnd w:id="268"/>
      <w:bookmarkEnd w:id="269"/>
      <w:bookmarkEnd w:id="270"/>
      <w:bookmarkEnd w:id="271"/>
      <w:bookmarkEnd w:id="272"/>
      <w:r>
        <w:t xml:space="preserve">. The SMD originated in retribution to the </w:t>
      </w:r>
      <w:r w:rsidR="003018D2">
        <w:t>Medical Model</w:t>
      </w:r>
      <w:r>
        <w:t xml:space="preserve"> of disability) </w:t>
      </w:r>
      <w:r>
        <w:fldChar w:fldCharType="begin"/>
      </w:r>
      <w:r>
        <w:instrText>ADDIN RW.CITE{{307 Lang,Raymond 2001}}</w:instrText>
      </w:r>
      <w:r>
        <w:fldChar w:fldCharType="separate"/>
      </w:r>
      <w:bookmarkStart w:id="273" w:name="__Fieldmark__1540_813835849"/>
      <w:r>
        <w:t>(</w:t>
      </w:r>
      <w:bookmarkStart w:id="274" w:name="__Fieldmark__1597_1675857893"/>
      <w:r>
        <w:t>L</w:t>
      </w:r>
      <w:bookmarkStart w:id="275" w:name="__Fieldmark__1343_857931355"/>
      <w:r>
        <w:t>a</w:t>
      </w:r>
      <w:bookmarkStart w:id="276" w:name="__Fieldmark__1057_206014555"/>
      <w:r>
        <w:t>n</w:t>
      </w:r>
      <w:bookmarkStart w:id="277" w:name="__Fieldmark__569_1186368443"/>
      <w:r>
        <w:t>g, 2001)</w:t>
      </w:r>
      <w:r>
        <w:fldChar w:fldCharType="end"/>
      </w:r>
      <w:bookmarkEnd w:id="273"/>
      <w:bookmarkEnd w:id="274"/>
      <w:bookmarkEnd w:id="275"/>
      <w:bookmarkEnd w:id="276"/>
      <w:bookmarkEnd w:id="277"/>
      <w:r>
        <w:t xml:space="preserve"> </w:t>
      </w:r>
      <w:r>
        <w:rPr>
          <w:rStyle w:val="normaltextrun"/>
        </w:rPr>
        <w:t xml:space="preserve">from the Fundamental Principles of Disability document in 1976 under the Union of the Physically Impaired against Segregation (UPIAS) which advocated for integration of disability community in society and demanded full participation. Additionally, it was made clear that “impairment” and “disability” are not the same, </w:t>
      </w:r>
      <w:r>
        <w:rPr>
          <w:rStyle w:val="spellingerror"/>
        </w:rPr>
        <w:t>situating</w:t>
      </w:r>
      <w:r>
        <w:rPr>
          <w:rStyle w:val="apple-converted-space"/>
        </w:rPr>
        <w:t xml:space="preserve"> disability in society </w:t>
      </w:r>
      <w:r>
        <w:rPr>
          <w:rStyle w:val="normaltextrun"/>
        </w:rPr>
        <w:t xml:space="preserve">was to be understood as a “social situation” </w:t>
      </w:r>
      <w:r>
        <w:fldChar w:fldCharType="begin"/>
      </w:r>
      <w:r>
        <w:instrText>ADDIN RW.CITE{{290 UPIAS 1976}}</w:instrText>
      </w:r>
      <w:r>
        <w:fldChar w:fldCharType="separate"/>
      </w:r>
      <w:bookmarkStart w:id="278" w:name="__Fieldmark__1563_813835849"/>
      <w:r>
        <w:rPr>
          <w:rStyle w:val="normaltextrun"/>
        </w:rPr>
        <w:t>(</w:t>
      </w:r>
      <w:bookmarkStart w:id="279" w:name="__Fieldmark__1618_1675857893"/>
      <w:r>
        <w:rPr>
          <w:rStyle w:val="normaltextrun"/>
        </w:rPr>
        <w:t>U</w:t>
      </w:r>
      <w:bookmarkStart w:id="280" w:name="__Fieldmark__1361_857931355"/>
      <w:r>
        <w:rPr>
          <w:rStyle w:val="normaltextrun"/>
        </w:rPr>
        <w:t>P</w:t>
      </w:r>
      <w:bookmarkStart w:id="281" w:name="__Fieldmark__1000_206014555"/>
      <w:r>
        <w:rPr>
          <w:rStyle w:val="normaltextrun"/>
        </w:rPr>
        <w:t>I</w:t>
      </w:r>
      <w:bookmarkStart w:id="282" w:name="__Fieldmark__530_1186368443"/>
      <w:r>
        <w:rPr>
          <w:rStyle w:val="normaltextrun"/>
        </w:rPr>
        <w:t>AS, 1976)</w:t>
      </w:r>
      <w:r>
        <w:fldChar w:fldCharType="end"/>
      </w:r>
      <w:bookmarkEnd w:id="278"/>
      <w:bookmarkEnd w:id="279"/>
      <w:bookmarkEnd w:id="280"/>
      <w:bookmarkEnd w:id="281"/>
      <w:bookmarkEnd w:id="282"/>
      <w:r>
        <w:t>.The difference between impairment and disability was an important distinction to appreciate, they were set apart as follows:</w:t>
      </w:r>
    </w:p>
    <w:p w:rsidR="00AA3D25" w:rsidRDefault="005C6640" w:rsidP="00DD3744">
      <w:pPr>
        <w:pStyle w:val="Quote"/>
        <w:spacing w:line="480" w:lineRule="auto"/>
        <w:jc w:val="left"/>
      </w:pPr>
      <w:r>
        <w:rPr>
          <w:i w:val="0"/>
          <w:color w:val="000000" w:themeColor="text1"/>
          <w:lang w:val="en-CA"/>
        </w:rPr>
        <w:lastRenderedPageBreak/>
        <w:t xml:space="preserve">Impairment: Lacking part or all of a limb, or having a defective limb, organism or mechanism of the body; Disability: The disadvantage or restriction of activity caused by a contemporary social organization which takes no or little account of people who have physical impairments and thus excludes them from the mainstream of social activities </w:t>
      </w:r>
      <w:r>
        <w:fldChar w:fldCharType="begin"/>
      </w:r>
      <w:r>
        <w:instrText>ADDIN RW.CITE{{302 UnionofthePhysicallyImpairedAgainstSegregation 1975}}</w:instrText>
      </w:r>
      <w:r>
        <w:fldChar w:fldCharType="separate"/>
      </w:r>
      <w:bookmarkStart w:id="283" w:name="__Fieldmark__1586_813835849"/>
      <w:r>
        <w:rPr>
          <w:i w:val="0"/>
          <w:color w:val="000000" w:themeColor="text1"/>
          <w:lang w:val="en-CA"/>
        </w:rPr>
        <w:t>(</w:t>
      </w:r>
      <w:bookmarkStart w:id="284" w:name="__Fieldmark__1635_1675857893"/>
      <w:r>
        <w:rPr>
          <w:i w:val="0"/>
          <w:color w:val="000000" w:themeColor="text1"/>
          <w:lang w:val="en-CA"/>
        </w:rPr>
        <w:t>U</w:t>
      </w:r>
      <w:bookmarkStart w:id="285" w:name="__Fieldmark__1374_857931355"/>
      <w:r>
        <w:rPr>
          <w:i w:val="0"/>
          <w:color w:val="000000" w:themeColor="text1"/>
          <w:lang w:val="en-CA"/>
        </w:rPr>
        <w:t>n</w:t>
      </w:r>
      <w:bookmarkStart w:id="286" w:name="__Fieldmark__537_1186368443"/>
      <w:bookmarkStart w:id="287" w:name="__Fieldmark__1009_206014555"/>
      <w:r>
        <w:rPr>
          <w:i w:val="0"/>
          <w:color w:val="000000" w:themeColor="text1"/>
          <w:lang w:val="en-CA"/>
        </w:rPr>
        <w:t>ion of the Physically Impaired Against Segregation, 1975)</w:t>
      </w:r>
      <w:r>
        <w:fldChar w:fldCharType="end"/>
      </w:r>
      <w:bookmarkEnd w:id="283"/>
      <w:bookmarkEnd w:id="284"/>
      <w:bookmarkEnd w:id="285"/>
      <w:bookmarkEnd w:id="286"/>
      <w:bookmarkEnd w:id="287"/>
      <w:r>
        <w:t>.</w:t>
      </w:r>
    </w:p>
    <w:p w:rsidR="00AA3D25" w:rsidRDefault="005C6640" w:rsidP="00DD3744">
      <w:pPr>
        <w:spacing w:line="480" w:lineRule="auto"/>
        <w:ind w:firstLine="720"/>
      </w:pPr>
      <w:r>
        <w:t>The SMD continues to argue that the design</w:t>
      </w:r>
      <w:r w:rsidR="00280240">
        <w:t xml:space="preserve"> of our society is the problem. In</w:t>
      </w:r>
      <w:r>
        <w:t xml:space="preserve"> particular, the attitudinal, physical, and societal barriers; hurdles that no non-disabled person is subjected to; hurdles which consciously or unconsciously are in place for people who do not comply with societal norms. </w:t>
      </w:r>
      <w:r w:rsidR="00280240">
        <w:t xml:space="preserve">The </w:t>
      </w:r>
      <w:r>
        <w:t xml:space="preserve">SMD is a practical tool for gauging the needs of PWD </w:t>
      </w:r>
      <w:r w:rsidR="00280240">
        <w:t>daily</w:t>
      </w:r>
      <w:r>
        <w:t xml:space="preserve">. The disparity between the </w:t>
      </w:r>
      <w:r w:rsidR="00280240">
        <w:t>healthcare</w:t>
      </w:r>
      <w:r>
        <w:t xml:space="preserve"> services provided to PWD and able-bodied people have been obvious all along (Johnson &amp; Woll, 2003). The default landscape potentially secludes PWD, causing a subset of population, to be underserved.  The SMD encourages the removal of barriers to level the environment for anyone with limitation. </w:t>
      </w:r>
    </w:p>
    <w:p w:rsidR="00AA3D25" w:rsidRDefault="005C6640" w:rsidP="00DD3744">
      <w:pPr>
        <w:spacing w:line="480" w:lineRule="auto"/>
        <w:ind w:firstLine="720"/>
      </w:pPr>
      <w:r>
        <w:t xml:space="preserve">The architectural barriers in society jeopardize one’s ability to survive independently. Often, </w:t>
      </w:r>
      <w:r w:rsidR="00280240">
        <w:t>elderly</w:t>
      </w:r>
      <w:r>
        <w:t xml:space="preserve"> people</w:t>
      </w:r>
      <w:r w:rsidR="00280240">
        <w:t xml:space="preserve"> express</w:t>
      </w:r>
      <w:r>
        <w:t xml:space="preserve"> concern </w:t>
      </w:r>
      <w:r w:rsidR="00280240">
        <w:t>regarding the</w:t>
      </w:r>
      <w:r>
        <w:t xml:space="preserve"> inability to live independently or relinquishing their control over their lives (British Limbless Ex-servicemen Association (BLESMA), 1992). Studies show significant anxiety concerning the lack of support for PWD and / or ageing population (Zarb, 1992; Arthritis Care (AC), 1992).</w:t>
      </w:r>
    </w:p>
    <w:p w:rsidR="00AA3D25" w:rsidRDefault="005C6640" w:rsidP="00DD3744">
      <w:pPr>
        <w:spacing w:line="480" w:lineRule="auto"/>
        <w:ind w:firstLine="720"/>
      </w:pPr>
      <w:r>
        <w:t xml:space="preserve">Ageing is a natural process where people eventually encounter precarious limitations. </w:t>
      </w:r>
      <w:r w:rsidR="00662603">
        <w:t>The absence of any discussion leaves PWD and the</w:t>
      </w:r>
      <w:r>
        <w:t xml:space="preserve"> agei</w:t>
      </w:r>
      <w:r w:rsidR="00662603">
        <w:t>ng population feeling isolated,</w:t>
      </w:r>
      <w:r>
        <w:t xml:space="preserve"> unable to share their feelings and experiences (BLESMA, 1992; British Polio Foundation (BPF), 1992). The lack of warranted readiness to accept little modifications in society is astonishing. The </w:t>
      </w:r>
      <w:r>
        <w:lastRenderedPageBreak/>
        <w:t xml:space="preserve">absence of hand rails in washroom or ignoring ill-fitting artificial rubber legs not only made life more difficult for PWD but also keep them from participating in society as healthy individual (BLESMA, 1992). The barrier has nothing to do with their health but it strongly </w:t>
      </w:r>
      <w:r w:rsidR="00662603">
        <w:t>influences</w:t>
      </w:r>
      <w:r>
        <w:t xml:space="preserve"> their quality of life.</w:t>
      </w:r>
    </w:p>
    <w:p w:rsidR="00AA3D25" w:rsidRDefault="005C6640" w:rsidP="00DD3744">
      <w:pPr>
        <w:spacing w:line="480" w:lineRule="auto"/>
        <w:ind w:firstLine="720"/>
      </w:pPr>
      <w:r>
        <w:t>SMD does not only focuses on the physical aspect of society but also talks about one’s behaviour and underlying assumptions. Usually physicians overlook the patients’ opinion, disregarding their years of experience while living with a particular limitation.</w:t>
      </w:r>
      <w:r w:rsidR="00662603">
        <w:t xml:space="preserve"> A l</w:t>
      </w:r>
      <w:r>
        <w:t xml:space="preserve">ack of sensitivity from physicians and medical boards and inability to recognize the </w:t>
      </w:r>
      <w:r w:rsidR="00662603">
        <w:t>long-term</w:t>
      </w:r>
      <w:r>
        <w:t xml:space="preserve"> effects of disability (BLESMA, 1992). Predicting that a disabled woman </w:t>
      </w:r>
      <w:r w:rsidR="00662603">
        <w:t>cannot</w:t>
      </w:r>
      <w:r>
        <w:t xml:space="preserve"> have kids while she went on to have three children or ignoring someone’s suggestion about the polio causing pain in the joints rather than </w:t>
      </w:r>
      <w:r w:rsidR="00662603">
        <w:t>arthritis, which</w:t>
      </w:r>
      <w:r>
        <w:t xml:space="preserve"> was highly unlikely in young age (BPF, 1992), shows the subtle presence of recurring theme of ignorance. </w:t>
      </w:r>
    </w:p>
    <w:p w:rsidR="00AA3D25" w:rsidRDefault="005C6640" w:rsidP="00DD3744">
      <w:pPr>
        <w:spacing w:line="480" w:lineRule="auto"/>
        <w:ind w:firstLine="720"/>
      </w:pPr>
      <w:r>
        <w:t xml:space="preserve">The process from the diagnosis to re-settling in society needs a proper flow. SMD looks at the barriers such as absence of any such guidance in society and knowledge about resources. As presence of any such organization when the target audience would not have any knowledge about it renders the whole function of that organization useless. Studies shows that well-deserved population does not get the benefits they are entitled to, only because there is no bridge between them and such organizations (AC, 1992).  Lack of specialist referrals and clinics is also an important part of PWD (BPF, 1992; Zarb, 1992). </w:t>
      </w:r>
    </w:p>
    <w:p w:rsidR="00AA3D25" w:rsidRDefault="005C6640" w:rsidP="00DD3744">
      <w:pPr>
        <w:spacing w:line="480" w:lineRule="auto"/>
        <w:ind w:firstLine="720"/>
      </w:pPr>
      <w:r>
        <w:t xml:space="preserve"> A lot of PWD are wary of their future as there is no clear guidance (Zarb, 1992; BPF, 1992; AC, 1992). They would like to have what they call “information broker,” who would support them in making the right decision and steer them in right direction when needed. This would help lessen the disparity present between able bodied and PWD.</w:t>
      </w:r>
    </w:p>
    <w:p w:rsidR="00AA3D25" w:rsidRDefault="005C6640" w:rsidP="00DD3744">
      <w:pPr>
        <w:spacing w:line="480" w:lineRule="auto"/>
        <w:ind w:firstLine="720"/>
      </w:pPr>
      <w:r>
        <w:lastRenderedPageBreak/>
        <w:t xml:space="preserve">The situation </w:t>
      </w:r>
      <w:r w:rsidR="00613964">
        <w:t>is no</w:t>
      </w:r>
      <w:r>
        <w:t xml:space="preserve"> better </w:t>
      </w:r>
      <w:r w:rsidR="00613964">
        <w:t>among</w:t>
      </w:r>
      <w:r>
        <w:t xml:space="preserve"> </w:t>
      </w:r>
      <w:r w:rsidR="00662603">
        <w:t xml:space="preserve">disabled </w:t>
      </w:r>
      <w:r>
        <w:t xml:space="preserve">women, </w:t>
      </w:r>
      <w:r w:rsidR="00613964">
        <w:t>as cases</w:t>
      </w:r>
      <w:r w:rsidR="00662603">
        <w:t xml:space="preserve"> of rape are often un</w:t>
      </w:r>
      <w:r>
        <w:t>reported (Johnson &amp; Woll, 2003</w:t>
      </w:r>
      <w:r w:rsidR="00613964">
        <w:t>). Moreover, the routine needs of</w:t>
      </w:r>
      <w:r>
        <w:t xml:space="preserve"> this population have been </w:t>
      </w:r>
      <w:r w:rsidR="00613964">
        <w:t>largely ignored</w:t>
      </w:r>
      <w:r>
        <w:t>. Research shows, routine mamm</w:t>
      </w:r>
      <w:r w:rsidR="00613964">
        <w:t>ogram, pap smears and tests such as</w:t>
      </w:r>
      <w:r>
        <w:t xml:space="preserve"> bone mineral density are </w:t>
      </w:r>
      <w:r w:rsidR="00613964">
        <w:t xml:space="preserve">overlooked or provided for very few patients </w:t>
      </w:r>
      <w:r>
        <w:t xml:space="preserve"> (Shabas &amp; Weinreb, 2000).</w:t>
      </w:r>
    </w:p>
    <w:p w:rsidR="00AA3D25" w:rsidRDefault="005C6640" w:rsidP="00DD3744">
      <w:pPr>
        <w:spacing w:line="480" w:lineRule="auto"/>
        <w:ind w:firstLine="720"/>
        <w:rPr>
          <w:u w:val="single"/>
        </w:rPr>
      </w:pPr>
      <w:r>
        <w:t xml:space="preserve">The insufficient screening programs and primary care measures often result in </w:t>
      </w:r>
      <w:r w:rsidR="00613964">
        <w:t>long-term</w:t>
      </w:r>
      <w:r>
        <w:t xml:space="preserve"> complications for PWD. </w:t>
      </w:r>
      <w:r w:rsidR="00613964">
        <w:t>In addition</w:t>
      </w:r>
      <w:r>
        <w:t>, the lack of accountability makes the matter worse</w:t>
      </w:r>
      <w:r w:rsidR="00613964">
        <w:t>. The SMD rejects the stark disparity demanding that</w:t>
      </w:r>
      <w:r>
        <w:t xml:space="preserve"> society</w:t>
      </w:r>
      <w:r w:rsidR="00613964">
        <w:t xml:space="preserve"> be ac</w:t>
      </w:r>
      <w:r>
        <w:t xml:space="preserve">cessible for everyone. </w:t>
      </w:r>
      <w:r w:rsidR="00613964">
        <w:t>F</w:t>
      </w:r>
      <w:r>
        <w:t>rom the government standpoint, it is interesting to note, inadequate primary care incentives would often result in relatively expensive care for PWD, afterwards in hospitals and emergency departments (Johnson &amp; Woll, 2003).</w:t>
      </w:r>
    </w:p>
    <w:p w:rsidR="00AA3D25" w:rsidRDefault="005C6640" w:rsidP="00DD3744">
      <w:pPr>
        <w:pStyle w:val="Heading2"/>
      </w:pPr>
      <w:bookmarkStart w:id="288" w:name="_Toc533852511"/>
      <w:r>
        <w:t xml:space="preserve">Criticism of the </w:t>
      </w:r>
      <w:r w:rsidR="003018D2">
        <w:t xml:space="preserve">Social </w:t>
      </w:r>
      <w:r w:rsidR="00613964">
        <w:t>Model of</w:t>
      </w:r>
      <w:r>
        <w:t xml:space="preserve"> Disability</w:t>
      </w:r>
      <w:bookmarkEnd w:id="288"/>
      <w:r>
        <w:t xml:space="preserve"> </w:t>
      </w:r>
    </w:p>
    <w:p w:rsidR="00AA3D25" w:rsidRDefault="00FA6987" w:rsidP="00DD3744">
      <w:pPr>
        <w:pStyle w:val="paragraph"/>
        <w:spacing w:before="280" w:beforeAutospacing="0" w:after="280" w:afterAutospacing="0" w:line="480" w:lineRule="auto"/>
        <w:ind w:firstLine="720"/>
        <w:textAlignment w:val="baseline"/>
      </w:pPr>
      <w:r>
        <w:rPr>
          <w:rStyle w:val="normaltextrun"/>
          <w:color w:val="000000" w:themeColor="text1"/>
        </w:rPr>
        <w:t xml:space="preserve">The Social Model began </w:t>
      </w:r>
      <w:r>
        <w:rPr>
          <w:rStyle w:val="normaltextrun"/>
        </w:rPr>
        <w:t>t</w:t>
      </w:r>
      <w:r w:rsidR="005C6640">
        <w:rPr>
          <w:rStyle w:val="normaltextrun"/>
        </w:rPr>
        <w:t>he political advancement</w:t>
      </w:r>
      <w:r>
        <w:rPr>
          <w:rStyle w:val="normaltextrun"/>
        </w:rPr>
        <w:t xml:space="preserve"> of disabled people in Britain. </w:t>
      </w:r>
      <w:r w:rsidR="005C6640">
        <w:fldChar w:fldCharType="begin"/>
      </w:r>
      <w:r w:rsidR="005C6640">
        <w:instrText>ADDIN RW.CITE{{340 Davis,LennardJ 2006}}</w:instrText>
      </w:r>
      <w:r w:rsidR="005C6640">
        <w:fldChar w:fldCharType="separate"/>
      </w:r>
      <w:bookmarkStart w:id="289" w:name="__Fieldmark__1638_813835849"/>
      <w:r w:rsidR="005C6640">
        <w:rPr>
          <w:rStyle w:val="normaltextrun"/>
        </w:rPr>
        <w:t>(</w:t>
      </w:r>
      <w:bookmarkStart w:id="290" w:name="__Fieldmark__1716_1675857893"/>
      <w:r w:rsidR="005C6640">
        <w:rPr>
          <w:rStyle w:val="normaltextrun"/>
        </w:rPr>
        <w:t>D</w:t>
      </w:r>
      <w:bookmarkStart w:id="291" w:name="__Fieldmark__1401_857931355"/>
      <w:r w:rsidR="005C6640">
        <w:rPr>
          <w:rStyle w:val="normaltextrun"/>
        </w:rPr>
        <w:t>a</w:t>
      </w:r>
      <w:bookmarkStart w:id="292" w:name="__Fieldmark__1068_206014555"/>
      <w:r w:rsidR="005C6640">
        <w:rPr>
          <w:rStyle w:val="normaltextrun"/>
        </w:rPr>
        <w:t>vis, 2006)</w:t>
      </w:r>
      <w:r w:rsidR="005C6640">
        <w:fldChar w:fldCharType="end"/>
      </w:r>
      <w:bookmarkEnd w:id="289"/>
      <w:bookmarkEnd w:id="290"/>
      <w:bookmarkEnd w:id="291"/>
      <w:bookmarkEnd w:id="292"/>
      <w:r>
        <w:rPr>
          <w:rStyle w:val="normaltextrun"/>
        </w:rPr>
        <w:t xml:space="preserve"> It</w:t>
      </w:r>
      <w:r w:rsidR="005C6640">
        <w:rPr>
          <w:rStyle w:val="normaltextrun"/>
        </w:rPr>
        <w:t xml:space="preserve"> was significant for disability movement worldwide </w:t>
      </w:r>
      <w:r w:rsidR="005C6640">
        <w:fldChar w:fldCharType="begin"/>
      </w:r>
      <w:r w:rsidR="005C6640">
        <w:instrText>ADDIN RW.CITE{{305 Shakespeare,Tom 1997}}</w:instrText>
      </w:r>
      <w:r w:rsidR="005C6640">
        <w:fldChar w:fldCharType="separate"/>
      </w:r>
      <w:bookmarkStart w:id="293" w:name="__Fieldmark__1653_813835849"/>
      <w:r w:rsidR="005C6640">
        <w:rPr>
          <w:rStyle w:val="normaltextrun"/>
        </w:rPr>
        <w:t>(</w:t>
      </w:r>
      <w:bookmarkStart w:id="294" w:name="__Fieldmark__1727_1675857893"/>
      <w:r w:rsidR="005C6640">
        <w:rPr>
          <w:rStyle w:val="normaltextrun"/>
        </w:rPr>
        <w:t>S</w:t>
      </w:r>
      <w:bookmarkStart w:id="295" w:name="__Fieldmark__1409_857931355"/>
      <w:r w:rsidR="005C6640">
        <w:rPr>
          <w:rStyle w:val="normaltextrun"/>
        </w:rPr>
        <w:t>h</w:t>
      </w:r>
      <w:bookmarkStart w:id="296" w:name="__Fieldmark__577_1186368443"/>
      <w:bookmarkStart w:id="297" w:name="__Fieldmark__1075_206014555"/>
      <w:r w:rsidR="005C6640">
        <w:rPr>
          <w:rStyle w:val="normaltextrun"/>
        </w:rPr>
        <w:t>akespeare &amp; Watson, 1997)</w:t>
      </w:r>
      <w:r w:rsidR="005C6640">
        <w:fldChar w:fldCharType="end"/>
      </w:r>
      <w:bookmarkEnd w:id="293"/>
      <w:bookmarkEnd w:id="294"/>
      <w:bookmarkEnd w:id="295"/>
      <w:bookmarkEnd w:id="296"/>
      <w:bookmarkEnd w:id="297"/>
      <w:r w:rsidR="005C6640">
        <w:rPr>
          <w:rStyle w:val="normaltextrun"/>
        </w:rPr>
        <w:t xml:space="preserve">. However, there has been criticism of the SMD from the non-disabled and disability community alike. Despite the criticism, it has been the main ideology for the development of social policies regarding PWD </w:t>
      </w:r>
      <w:r w:rsidR="005C6640">
        <w:fldChar w:fldCharType="begin"/>
      </w:r>
      <w:r w:rsidR="005C6640">
        <w:instrText>ADDIN RW.CITE{{307 Lang,Raymond 2001}}</w:instrText>
      </w:r>
      <w:r w:rsidR="005C6640">
        <w:fldChar w:fldCharType="separate"/>
      </w:r>
      <w:bookmarkStart w:id="298" w:name="__Fieldmark__1670_813835849"/>
      <w:r w:rsidR="005C6640">
        <w:rPr>
          <w:rStyle w:val="normaltextrun"/>
        </w:rPr>
        <w:t>(</w:t>
      </w:r>
      <w:bookmarkStart w:id="299" w:name="__Fieldmark__1742_1675857893"/>
      <w:r w:rsidR="005C6640">
        <w:rPr>
          <w:rStyle w:val="normaltextrun"/>
        </w:rPr>
        <w:t>L</w:t>
      </w:r>
      <w:bookmarkStart w:id="300" w:name="__Fieldmark__1426_857931355"/>
      <w:r w:rsidR="005C6640">
        <w:rPr>
          <w:rStyle w:val="normaltextrun"/>
        </w:rPr>
        <w:t>a</w:t>
      </w:r>
      <w:bookmarkStart w:id="301" w:name="__Fieldmark__1082_206014555"/>
      <w:r w:rsidR="005C6640">
        <w:rPr>
          <w:rStyle w:val="normaltextrun"/>
        </w:rPr>
        <w:t>n</w:t>
      </w:r>
      <w:bookmarkStart w:id="302" w:name="__Fieldmark__582_1186368443"/>
      <w:r w:rsidR="005C6640">
        <w:rPr>
          <w:rStyle w:val="normaltextrun"/>
        </w:rPr>
        <w:t>g, 2001)</w:t>
      </w:r>
      <w:r w:rsidR="005C6640">
        <w:fldChar w:fldCharType="end"/>
      </w:r>
      <w:bookmarkEnd w:id="298"/>
      <w:bookmarkEnd w:id="299"/>
      <w:bookmarkEnd w:id="300"/>
      <w:bookmarkEnd w:id="301"/>
      <w:bookmarkEnd w:id="302"/>
      <w:r w:rsidR="005C6640">
        <w:rPr>
          <w:rStyle w:val="normaltextrun"/>
        </w:rPr>
        <w:t>.</w:t>
      </w:r>
      <w:r>
        <w:rPr>
          <w:rStyle w:val="normaltextrun"/>
        </w:rPr>
        <w:t xml:space="preserve">  Below I provide a brief overview of </w:t>
      </w:r>
      <w:r w:rsidR="005C6640">
        <w:rPr>
          <w:rStyle w:val="normaltextrun"/>
        </w:rPr>
        <w:t xml:space="preserve"> criticism </w:t>
      </w:r>
      <w:r>
        <w:rPr>
          <w:rStyle w:val="normaltextrun"/>
        </w:rPr>
        <w:t xml:space="preserve"> and why I use the model</w:t>
      </w:r>
      <w:r w:rsidR="005C6640">
        <w:rPr>
          <w:rStyle w:val="normaltextrun"/>
        </w:rPr>
        <w:t xml:space="preserve"> to inform my thesis.</w:t>
      </w:r>
    </w:p>
    <w:p w:rsidR="00AA3D25" w:rsidRDefault="00FA6987" w:rsidP="00DD3744">
      <w:pPr>
        <w:pStyle w:val="paragraph"/>
        <w:spacing w:before="280" w:beforeAutospacing="0" w:after="280" w:afterAutospacing="0" w:line="480" w:lineRule="auto"/>
        <w:ind w:firstLine="720"/>
        <w:textAlignment w:val="baseline"/>
      </w:pPr>
      <w:r>
        <w:rPr>
          <w:rStyle w:val="normaltextrun"/>
        </w:rPr>
        <w:t xml:space="preserve">The </w:t>
      </w:r>
      <w:r w:rsidR="005C6640">
        <w:rPr>
          <w:rStyle w:val="normaltextrun"/>
        </w:rPr>
        <w:t xml:space="preserve">SMD is typically perceived as a model, particularly by post structural and phenomenological thought, in which body is seen as devoid of any “lived body” experience and only seen as a tool for “medical intervention” </w:t>
      </w:r>
      <w:r w:rsidR="005C6640">
        <w:fldChar w:fldCharType="begin"/>
      </w:r>
      <w:r w:rsidR="005C6640">
        <w:instrText>ADDIN RW.CITE{{295 Hughes,Bill 1997}}</w:instrText>
      </w:r>
      <w:r w:rsidR="005C6640">
        <w:fldChar w:fldCharType="separate"/>
      </w:r>
      <w:bookmarkStart w:id="303" w:name="__Fieldmark__1691_813835849"/>
      <w:r w:rsidR="005C6640">
        <w:rPr>
          <w:rStyle w:val="normaltextrun"/>
        </w:rPr>
        <w:t>(</w:t>
      </w:r>
      <w:bookmarkStart w:id="304" w:name="__Fieldmark__1762_1675857893"/>
      <w:r w:rsidR="005C6640">
        <w:rPr>
          <w:rStyle w:val="normaltextrun"/>
        </w:rPr>
        <w:t>H</w:t>
      </w:r>
      <w:bookmarkStart w:id="305" w:name="__Fieldmark__1444_857931355"/>
      <w:r w:rsidR="005C6640">
        <w:rPr>
          <w:rStyle w:val="normaltextrun"/>
        </w:rPr>
        <w:t>u</w:t>
      </w:r>
      <w:bookmarkStart w:id="306" w:name="__Fieldmark__589_1186368443"/>
      <w:bookmarkStart w:id="307" w:name="__Fieldmark__1095_206014555"/>
      <w:r w:rsidR="005C6640">
        <w:rPr>
          <w:rStyle w:val="normaltextrun"/>
        </w:rPr>
        <w:t>ghes &amp; Paterson, 1997)</w:t>
      </w:r>
      <w:r w:rsidR="005C6640">
        <w:fldChar w:fldCharType="end"/>
      </w:r>
      <w:bookmarkEnd w:id="303"/>
      <w:bookmarkEnd w:id="304"/>
      <w:bookmarkEnd w:id="305"/>
      <w:bookmarkEnd w:id="306"/>
      <w:bookmarkEnd w:id="307"/>
      <w:r w:rsidR="005C6640">
        <w:rPr>
          <w:rStyle w:val="normaltextrun"/>
        </w:rPr>
        <w:t xml:space="preserve"> and advocates for accepting disability </w:t>
      </w:r>
      <w:r w:rsidR="005C6640">
        <w:fldChar w:fldCharType="begin"/>
      </w:r>
      <w:r w:rsidR="005C6640">
        <w:instrText>ADDIN RW.CITE{{291 MacKay,Gilbert 2003}}</w:instrText>
      </w:r>
      <w:r w:rsidR="005C6640">
        <w:fldChar w:fldCharType="separate"/>
      </w:r>
      <w:bookmarkStart w:id="308" w:name="__Fieldmark__1708_813835849"/>
      <w:r w:rsidR="005C6640">
        <w:rPr>
          <w:rStyle w:val="normaltextrun"/>
        </w:rPr>
        <w:t>(</w:t>
      </w:r>
      <w:bookmarkStart w:id="309" w:name="__Fieldmark__1776_1675857893"/>
      <w:r w:rsidR="005C6640">
        <w:rPr>
          <w:rStyle w:val="normaltextrun"/>
        </w:rPr>
        <w:t>M</w:t>
      </w:r>
      <w:bookmarkStart w:id="310" w:name="__Fieldmark__1454_857931355"/>
      <w:r w:rsidR="005C6640">
        <w:rPr>
          <w:rStyle w:val="normaltextrun"/>
        </w:rPr>
        <w:t>a</w:t>
      </w:r>
      <w:bookmarkStart w:id="311" w:name="__Fieldmark__1104_206014555"/>
      <w:r w:rsidR="005C6640">
        <w:rPr>
          <w:rStyle w:val="normaltextrun"/>
        </w:rPr>
        <w:t>c</w:t>
      </w:r>
      <w:bookmarkStart w:id="312" w:name="__Fieldmark__594_1186368443"/>
      <w:r w:rsidR="005C6640">
        <w:rPr>
          <w:rStyle w:val="normaltextrun"/>
        </w:rPr>
        <w:t>Kay, 2003)</w:t>
      </w:r>
      <w:r w:rsidR="005C6640">
        <w:fldChar w:fldCharType="end"/>
      </w:r>
      <w:bookmarkEnd w:id="308"/>
      <w:bookmarkEnd w:id="309"/>
      <w:bookmarkEnd w:id="310"/>
      <w:bookmarkEnd w:id="311"/>
      <w:bookmarkEnd w:id="312"/>
      <w:r w:rsidR="005C6640">
        <w:rPr>
          <w:rStyle w:val="normaltextrun"/>
        </w:rPr>
        <w:t xml:space="preserve">. </w:t>
      </w:r>
      <w:r>
        <w:rPr>
          <w:rStyle w:val="normaltextrun"/>
        </w:rPr>
        <w:t xml:space="preserve">The SMD is criticized </w:t>
      </w:r>
      <w:r w:rsidR="00B85F5C">
        <w:rPr>
          <w:rStyle w:val="normaltextrun"/>
        </w:rPr>
        <w:t>for being too basic not giving</w:t>
      </w:r>
      <w:r>
        <w:rPr>
          <w:rStyle w:val="normaltextrun"/>
        </w:rPr>
        <w:t xml:space="preserve"> significance to impairment</w:t>
      </w:r>
      <w:r w:rsidR="005C6640">
        <w:rPr>
          <w:rStyle w:val="normaltextrun"/>
        </w:rPr>
        <w:t xml:space="preserve"> </w:t>
      </w:r>
      <w:r w:rsidR="005C6640">
        <w:fldChar w:fldCharType="begin"/>
      </w:r>
      <w:r w:rsidR="005C6640">
        <w:instrText>ADDIN RW.CITE{{304 Crow,Liz 1996}}</w:instrText>
      </w:r>
      <w:r w:rsidR="005C6640">
        <w:fldChar w:fldCharType="separate"/>
      </w:r>
      <w:bookmarkStart w:id="313" w:name="__Fieldmark__1727_813835849"/>
      <w:r w:rsidR="005C6640">
        <w:rPr>
          <w:rStyle w:val="normaltextrun"/>
        </w:rPr>
        <w:t>(</w:t>
      </w:r>
      <w:bookmarkStart w:id="314" w:name="__Fieldmark__1791_1675857893"/>
      <w:r w:rsidR="005C6640">
        <w:rPr>
          <w:rStyle w:val="normaltextrun"/>
        </w:rPr>
        <w:t>C</w:t>
      </w:r>
      <w:bookmarkStart w:id="315" w:name="__Fieldmark__1465_857931355"/>
      <w:r w:rsidR="005C6640">
        <w:rPr>
          <w:rStyle w:val="normaltextrun"/>
        </w:rPr>
        <w:t>r</w:t>
      </w:r>
      <w:bookmarkStart w:id="316" w:name="__Fieldmark__1111_206014555"/>
      <w:r w:rsidR="005C6640">
        <w:rPr>
          <w:rStyle w:val="normaltextrun"/>
        </w:rPr>
        <w:t>o</w:t>
      </w:r>
      <w:bookmarkStart w:id="317" w:name="__Fieldmark__600_1186368443"/>
      <w:r w:rsidR="005C6640">
        <w:rPr>
          <w:rStyle w:val="normaltextrun"/>
        </w:rPr>
        <w:t>w, 1996)</w:t>
      </w:r>
      <w:r w:rsidR="005C6640">
        <w:fldChar w:fldCharType="end"/>
      </w:r>
      <w:bookmarkEnd w:id="313"/>
      <w:bookmarkEnd w:id="314"/>
      <w:bookmarkEnd w:id="315"/>
      <w:bookmarkEnd w:id="316"/>
      <w:bookmarkEnd w:id="317"/>
      <w:r w:rsidR="005C6640">
        <w:rPr>
          <w:rStyle w:val="normaltextrun"/>
        </w:rPr>
        <w:t xml:space="preserve">, </w:t>
      </w:r>
      <w:r w:rsidR="005C6640">
        <w:fldChar w:fldCharType="begin"/>
      </w:r>
      <w:r w:rsidR="005C6640">
        <w:instrText>ADDIN RW.CITE{{291 MacKay,Gilbert 2003}}</w:instrText>
      </w:r>
      <w:r w:rsidR="005C6640">
        <w:fldChar w:fldCharType="separate"/>
      </w:r>
      <w:bookmarkStart w:id="318" w:name="__Fieldmark__1746_813835849"/>
      <w:bookmarkStart w:id="319" w:name="__Fieldmark__1806_1675857893"/>
      <w:r w:rsidR="005C6640">
        <w:rPr>
          <w:rStyle w:val="normaltextrun"/>
        </w:rPr>
        <w:t>M</w:t>
      </w:r>
      <w:bookmarkStart w:id="320" w:name="__Fieldmark__1476_857931355"/>
      <w:r w:rsidR="005C6640">
        <w:rPr>
          <w:rStyle w:val="normaltextrun"/>
        </w:rPr>
        <w:t>a</w:t>
      </w:r>
      <w:bookmarkStart w:id="321" w:name="__Fieldmark__1118_206014555"/>
      <w:r w:rsidR="005C6640">
        <w:rPr>
          <w:rStyle w:val="normaltextrun"/>
        </w:rPr>
        <w:t>c</w:t>
      </w:r>
      <w:bookmarkStart w:id="322" w:name="__Fieldmark__605_1186368443"/>
      <w:r w:rsidR="005C6640">
        <w:rPr>
          <w:rStyle w:val="normaltextrun"/>
        </w:rPr>
        <w:t>Kay, 2003)</w:t>
      </w:r>
      <w:r w:rsidR="005C6640">
        <w:fldChar w:fldCharType="end"/>
      </w:r>
      <w:bookmarkEnd w:id="318"/>
      <w:bookmarkEnd w:id="319"/>
      <w:bookmarkEnd w:id="320"/>
      <w:bookmarkEnd w:id="321"/>
      <w:bookmarkEnd w:id="322"/>
      <w:r w:rsidR="005C6640">
        <w:rPr>
          <w:rStyle w:val="normaltextrun"/>
        </w:rPr>
        <w:t xml:space="preserve">. However, with the passage of time, </w:t>
      </w:r>
      <w:r w:rsidR="005C6640">
        <w:rPr>
          <w:rStyle w:val="normaltextrun"/>
        </w:rPr>
        <w:lastRenderedPageBreak/>
        <w:t xml:space="preserve">the SMD has been </w:t>
      </w:r>
      <w:r w:rsidR="00B85F5C">
        <w:rPr>
          <w:rStyle w:val="normaltextrun"/>
        </w:rPr>
        <w:t>forced</w:t>
      </w:r>
      <w:r w:rsidR="005C6640">
        <w:rPr>
          <w:rStyle w:val="normaltextrun"/>
        </w:rPr>
        <w:t xml:space="preserve"> to alter accordingly and incorporate the much broader perception of disability as perceived by PWD all over the world (Oliver, 2013).</w:t>
      </w:r>
    </w:p>
    <w:p w:rsidR="00AA3D25" w:rsidRDefault="005C6640" w:rsidP="00DD3744">
      <w:pPr>
        <w:pStyle w:val="paragraph"/>
        <w:spacing w:before="280" w:beforeAutospacing="0" w:after="280" w:afterAutospacing="0" w:line="480" w:lineRule="auto"/>
        <w:ind w:firstLine="720"/>
        <w:textAlignment w:val="baseline"/>
      </w:pPr>
      <w:r>
        <w:rPr>
          <w:rStyle w:val="normaltextrun"/>
        </w:rPr>
        <w:t xml:space="preserve">Thus, for the </w:t>
      </w:r>
      <w:r>
        <w:rPr>
          <w:lang w:val="en-US"/>
        </w:rPr>
        <w:t xml:space="preserve">past three decades, SMD has been the forerunner of disability activism </w:t>
      </w:r>
      <w:r>
        <w:fldChar w:fldCharType="begin"/>
      </w:r>
      <w:r>
        <w:instrText>ADDIN RW.CITE{{292 Lindsay,Geoff 2003; 300 Oliver,Mike 2013}}</w:instrText>
      </w:r>
      <w:r>
        <w:fldChar w:fldCharType="separate"/>
      </w:r>
      <w:bookmarkStart w:id="323" w:name="__Fieldmark__1768_813835849"/>
      <w:r>
        <w:rPr>
          <w:lang w:val="en-US"/>
        </w:rPr>
        <w:t>(</w:t>
      </w:r>
      <w:bookmarkStart w:id="324" w:name="__Fieldmark__1827_1675857893"/>
      <w:r>
        <w:rPr>
          <w:lang w:val="en-US"/>
        </w:rPr>
        <w:t>L</w:t>
      </w:r>
      <w:bookmarkStart w:id="325" w:name="__Fieldmark__1494_857931355"/>
      <w:r>
        <w:rPr>
          <w:lang w:val="en-US"/>
        </w:rPr>
        <w:t>i</w:t>
      </w:r>
      <w:bookmarkStart w:id="326" w:name="__Fieldmark__1142_206014555"/>
      <w:r>
        <w:rPr>
          <w:lang w:val="en-US"/>
        </w:rPr>
        <w:t>n</w:t>
      </w:r>
      <w:bookmarkStart w:id="327" w:name="__Fieldmark__619_1186368443"/>
      <w:r>
        <w:rPr>
          <w:lang w:val="en-US"/>
        </w:rPr>
        <w:t>dsay, 2003; Oliver, 2013)</w:t>
      </w:r>
      <w:r>
        <w:fldChar w:fldCharType="end"/>
      </w:r>
      <w:bookmarkEnd w:id="323"/>
      <w:bookmarkEnd w:id="324"/>
      <w:bookmarkEnd w:id="325"/>
      <w:bookmarkEnd w:id="326"/>
      <w:bookmarkEnd w:id="327"/>
      <w:r>
        <w:t xml:space="preserve">. </w:t>
      </w:r>
      <w:r>
        <w:rPr>
          <w:rStyle w:val="normaltextrun"/>
        </w:rPr>
        <w:t>It has been a key influence while shaping policies and laying foundation</w:t>
      </w:r>
      <w:r w:rsidR="00B85F5C">
        <w:rPr>
          <w:rStyle w:val="normaltextrun"/>
        </w:rPr>
        <w:t xml:space="preserve"> for the disability movement.  While analyzing the </w:t>
      </w:r>
      <w:r>
        <w:rPr>
          <w:rStyle w:val="normaltextrun"/>
        </w:rPr>
        <w:t xml:space="preserve">SMD, the importance of </w:t>
      </w:r>
      <w:r w:rsidR="00B85F5C">
        <w:rPr>
          <w:rStyle w:val="normaltextrun"/>
        </w:rPr>
        <w:t>the model in society underlining disability positioning</w:t>
      </w:r>
      <w:r>
        <w:rPr>
          <w:rStyle w:val="normaltextrun"/>
        </w:rPr>
        <w:t xml:space="preserve"> is still seen as significant </w:t>
      </w:r>
      <w:r>
        <w:fldChar w:fldCharType="begin"/>
      </w:r>
      <w:r>
        <w:instrText>ADDIN RW.CITE{{292 Lindsay,Geoff 2003}}</w:instrText>
      </w:r>
      <w:r>
        <w:fldChar w:fldCharType="separate"/>
      </w:r>
      <w:bookmarkStart w:id="328" w:name="__Fieldmark__1788_813835849"/>
      <w:r>
        <w:rPr>
          <w:rStyle w:val="normaltextrun"/>
        </w:rPr>
        <w:t>(</w:t>
      </w:r>
      <w:bookmarkStart w:id="329" w:name="__Fieldmark__1843_1675857893"/>
      <w:r>
        <w:rPr>
          <w:rStyle w:val="normaltextrun"/>
        </w:rPr>
        <w:t>L</w:t>
      </w:r>
      <w:bookmarkStart w:id="330" w:name="__Fieldmark__1506_857931355"/>
      <w:r>
        <w:rPr>
          <w:rStyle w:val="normaltextrun"/>
        </w:rPr>
        <w:t>i</w:t>
      </w:r>
      <w:bookmarkStart w:id="331" w:name="__Fieldmark__1150_206014555"/>
      <w:r>
        <w:rPr>
          <w:rStyle w:val="normaltextrun"/>
        </w:rPr>
        <w:t>n</w:t>
      </w:r>
      <w:bookmarkStart w:id="332" w:name="__Fieldmark__625_1186368443"/>
      <w:r>
        <w:rPr>
          <w:rStyle w:val="normaltextrun"/>
        </w:rPr>
        <w:t>dsay, 2003)</w:t>
      </w:r>
      <w:r>
        <w:fldChar w:fldCharType="end"/>
      </w:r>
      <w:bookmarkEnd w:id="328"/>
      <w:bookmarkEnd w:id="329"/>
      <w:bookmarkEnd w:id="330"/>
      <w:bookmarkEnd w:id="331"/>
      <w:bookmarkEnd w:id="332"/>
      <w:r>
        <w:rPr>
          <w:rStyle w:val="normaltextrun"/>
        </w:rPr>
        <w:t>.</w:t>
      </w:r>
    </w:p>
    <w:p w:rsidR="00AA3D25" w:rsidRDefault="005C6640" w:rsidP="00DD3744">
      <w:pPr>
        <w:pStyle w:val="paragraph"/>
        <w:spacing w:before="280" w:beforeAutospacing="0" w:after="280" w:afterAutospacing="0" w:line="480" w:lineRule="auto"/>
        <w:ind w:firstLine="720"/>
        <w:textAlignment w:val="baseline"/>
      </w:pPr>
      <w:r>
        <w:t xml:space="preserve">The core issue is looking at “body” under some different lenses. For </w:t>
      </w:r>
      <w:r w:rsidR="00B85F5C">
        <w:t>clarity</w:t>
      </w:r>
      <w:r>
        <w:t xml:space="preserve"> it is important to understand the difference between the way the body is perceived in both the </w:t>
      </w:r>
      <w:r w:rsidR="003018D2">
        <w:t>Medical Model</w:t>
      </w:r>
      <w:r>
        <w:t xml:space="preserve"> and SMD. The </w:t>
      </w:r>
      <w:r w:rsidR="003018D2">
        <w:t>Medical Model</w:t>
      </w:r>
      <w:r>
        <w:t xml:space="preserve"> looks at “body” with the view </w:t>
      </w:r>
      <w:r w:rsidR="00B85F5C">
        <w:t>of</w:t>
      </w:r>
      <w:r>
        <w:t xml:space="preserve"> personal tragedy. However, SMD looks at “body” and “impairment” as </w:t>
      </w:r>
      <w:r w:rsidR="00B85F5C">
        <w:t>viewed</w:t>
      </w:r>
      <w:r>
        <w:t xml:space="preserve"> in the medical discourse </w:t>
      </w:r>
      <w:r>
        <w:fldChar w:fldCharType="begin"/>
      </w:r>
      <w:r>
        <w:instrText>ADDIN RW.CITE{{295 Hughes,Bill 1997}}</w:instrText>
      </w:r>
      <w:r>
        <w:fldChar w:fldCharType="separate"/>
      </w:r>
      <w:bookmarkStart w:id="333" w:name="__Fieldmark__1809_813835849"/>
      <w:r>
        <w:t>(</w:t>
      </w:r>
      <w:bookmarkStart w:id="334" w:name="__Fieldmark__1864_1675857893"/>
      <w:r>
        <w:t>H</w:t>
      </w:r>
      <w:bookmarkStart w:id="335" w:name="__Fieldmark__1526_857931355"/>
      <w:r>
        <w:t>u</w:t>
      </w:r>
      <w:bookmarkStart w:id="336" w:name="__Fieldmark__639_1186368443"/>
      <w:bookmarkStart w:id="337" w:name="__Fieldmark__1170_206014555"/>
      <w:r>
        <w:t>ghes &amp; Paterson, 1997)</w:t>
      </w:r>
      <w:r>
        <w:fldChar w:fldCharType="end"/>
      </w:r>
      <w:bookmarkEnd w:id="333"/>
      <w:bookmarkEnd w:id="334"/>
      <w:bookmarkEnd w:id="335"/>
      <w:bookmarkEnd w:id="336"/>
      <w:bookmarkEnd w:id="337"/>
      <w:r>
        <w:t>. Part of the reason</w:t>
      </w:r>
      <w:r w:rsidR="0088237E">
        <w:t xml:space="preserve"> why impairment is ignored</w:t>
      </w:r>
      <w:r>
        <w:t xml:space="preserve"> is that, the disability community is cautious, because of the omnipotent existence of the </w:t>
      </w:r>
      <w:r w:rsidR="003018D2">
        <w:t>Medical Model</w:t>
      </w:r>
      <w:r>
        <w:t xml:space="preserve"> </w:t>
      </w:r>
      <w:r>
        <w:fldChar w:fldCharType="begin"/>
      </w:r>
      <w:r>
        <w:instrText>ADDIN RW.CITE{{304 Crow,Liz 1996}}</w:instrText>
      </w:r>
      <w:r>
        <w:fldChar w:fldCharType="separate"/>
      </w:r>
      <w:bookmarkStart w:id="338" w:name="__Fieldmark__1826_813835849"/>
      <w:r>
        <w:t>(</w:t>
      </w:r>
      <w:bookmarkStart w:id="339" w:name="__Fieldmark__1881_1675857893"/>
      <w:r>
        <w:t>C</w:t>
      </w:r>
      <w:bookmarkStart w:id="340" w:name="__Fieldmark__1535_857931355"/>
      <w:r>
        <w:t>r</w:t>
      </w:r>
      <w:bookmarkStart w:id="341" w:name="__Fieldmark__1179_206014555"/>
      <w:r>
        <w:t>o</w:t>
      </w:r>
      <w:bookmarkStart w:id="342" w:name="__Fieldmark__644_1186368443"/>
      <w:r>
        <w:t>w, 1996)</w:t>
      </w:r>
      <w:r>
        <w:fldChar w:fldCharType="end"/>
      </w:r>
      <w:bookmarkEnd w:id="338"/>
      <w:bookmarkEnd w:id="339"/>
      <w:bookmarkEnd w:id="340"/>
      <w:bookmarkEnd w:id="341"/>
      <w:bookmarkEnd w:id="342"/>
      <w:r>
        <w:t xml:space="preserve">. For this reason, it is important to focus on a simple ideology. Crow (1996) argues that when ideology becomes complicated, stating how the fear of including their lived experiences of impairment feeds into the perception of “personal tragedy,” used often for justifying the oppression against PWD. Equating impairment with disability discounts the SMD and devalues life of PWD. It only perpetuates the focus on medical procedure used as intervention </w:t>
      </w:r>
      <w:r>
        <w:fldChar w:fldCharType="begin"/>
      </w:r>
      <w:r>
        <w:instrText>ADDIN RW.CITE{{304 Crow,Liz 1996}}</w:instrText>
      </w:r>
      <w:r>
        <w:fldChar w:fldCharType="separate"/>
      </w:r>
      <w:bookmarkStart w:id="343" w:name="__Fieldmark__1845_813835849"/>
      <w:r>
        <w:t>(</w:t>
      </w:r>
      <w:bookmarkStart w:id="344" w:name="__Fieldmark__1896_1675857893"/>
      <w:r>
        <w:t>C</w:t>
      </w:r>
      <w:bookmarkStart w:id="345" w:name="__Fieldmark__1552_857931355"/>
      <w:r>
        <w:t>r</w:t>
      </w:r>
      <w:bookmarkStart w:id="346" w:name="__Fieldmark__1192_206014555"/>
      <w:r>
        <w:t>ow, 1996)</w:t>
      </w:r>
      <w:r>
        <w:fldChar w:fldCharType="end"/>
      </w:r>
      <w:bookmarkEnd w:id="343"/>
      <w:bookmarkEnd w:id="344"/>
      <w:bookmarkEnd w:id="345"/>
      <w:bookmarkEnd w:id="346"/>
      <w:r>
        <w:t>.</w:t>
      </w:r>
    </w:p>
    <w:p w:rsidR="00AA3D25" w:rsidRDefault="005C6640" w:rsidP="00DD3744">
      <w:pPr>
        <w:pStyle w:val="paragraph"/>
        <w:spacing w:before="280" w:beforeAutospacing="0" w:after="280" w:afterAutospacing="0" w:line="480" w:lineRule="auto"/>
        <w:ind w:firstLine="720"/>
        <w:textAlignment w:val="baseline"/>
      </w:pPr>
      <w:r>
        <w:t xml:space="preserve">It is true, impairment is an integral part of people with disability’s lives and yet the work on association between disability and impairment is in a child-like state </w:t>
      </w:r>
      <w:r>
        <w:fldChar w:fldCharType="begin"/>
      </w:r>
      <w:r>
        <w:instrText>ADDIN RW.CITE{{295 Hughes,Bill 1997}}</w:instrText>
      </w:r>
      <w:r>
        <w:fldChar w:fldCharType="separate"/>
      </w:r>
      <w:bookmarkStart w:id="347" w:name="__Fieldmark__1862_813835849"/>
      <w:r>
        <w:t>(</w:t>
      </w:r>
      <w:bookmarkStart w:id="348" w:name="__Fieldmark__1913_1675857893"/>
      <w:r>
        <w:t>H</w:t>
      </w:r>
      <w:bookmarkStart w:id="349" w:name="__Fieldmark__1563_857931355"/>
      <w:r>
        <w:t>u</w:t>
      </w:r>
      <w:bookmarkStart w:id="350" w:name="__Fieldmark__651_1186368443"/>
      <w:bookmarkStart w:id="351" w:name="__Fieldmark__1199_206014555"/>
      <w:r>
        <w:t>ghes &amp; Paterson, 1997)</w:t>
      </w:r>
      <w:r>
        <w:fldChar w:fldCharType="end"/>
      </w:r>
      <w:bookmarkEnd w:id="347"/>
      <w:bookmarkEnd w:id="348"/>
      <w:bookmarkEnd w:id="349"/>
      <w:bookmarkEnd w:id="350"/>
      <w:bookmarkEnd w:id="351"/>
      <w:r>
        <w:t xml:space="preserve"> with respect to the SMD. However, it is important to understand the complexities of talking about impairment as well, as it emboldens policy makers to “de-politicise” the SMD </w:t>
      </w:r>
      <w:r>
        <w:lastRenderedPageBreak/>
        <w:fldChar w:fldCharType="begin"/>
      </w:r>
      <w:r>
        <w:instrText>ADDIN RW.CITE{{300 Oliver,Mike 2013}}</w:instrText>
      </w:r>
      <w:r>
        <w:fldChar w:fldCharType="separate"/>
      </w:r>
      <w:bookmarkStart w:id="352" w:name="__Fieldmark__1879_813835849"/>
      <w:r>
        <w:t>(</w:t>
      </w:r>
      <w:bookmarkStart w:id="353" w:name="__Fieldmark__1928_1675857893"/>
      <w:r>
        <w:t>O</w:t>
      </w:r>
      <w:bookmarkStart w:id="354" w:name="__Fieldmark__1574_857931355"/>
      <w:r>
        <w:t>l</w:t>
      </w:r>
      <w:bookmarkStart w:id="355" w:name="__Fieldmark__1209_206014555"/>
      <w:r>
        <w:t>i</w:t>
      </w:r>
      <w:bookmarkStart w:id="356" w:name="__Fieldmark__656_1186368443"/>
      <w:r>
        <w:t>ver, 2013)</w:t>
      </w:r>
      <w:r>
        <w:fldChar w:fldCharType="end"/>
      </w:r>
      <w:bookmarkEnd w:id="352"/>
      <w:bookmarkEnd w:id="353"/>
      <w:bookmarkEnd w:id="354"/>
      <w:bookmarkEnd w:id="355"/>
      <w:bookmarkEnd w:id="356"/>
      <w:r>
        <w:t xml:space="preserve">. PWD have already started being portrayed as “tragic victims of their impairment” </w:t>
      </w:r>
      <w:r>
        <w:fldChar w:fldCharType="begin"/>
      </w:r>
      <w:r>
        <w:instrText>ADDIN RW.CITE{{300 Oliver,Mike 2013}}</w:instrText>
      </w:r>
      <w:r>
        <w:fldChar w:fldCharType="separate"/>
      </w:r>
      <w:bookmarkStart w:id="357" w:name="__Fieldmark__1898_813835849"/>
      <w:r>
        <w:t>(</w:t>
      </w:r>
      <w:bookmarkStart w:id="358" w:name="__Fieldmark__1943_1675857893"/>
      <w:r>
        <w:t>O</w:t>
      </w:r>
      <w:bookmarkStart w:id="359" w:name="__Fieldmark__1589_857931355"/>
      <w:r>
        <w:t>l</w:t>
      </w:r>
      <w:bookmarkStart w:id="360" w:name="__Fieldmark__1216_206014555"/>
      <w:r>
        <w:t>i</w:t>
      </w:r>
      <w:bookmarkStart w:id="361" w:name="__Fieldmark__661_1186368443"/>
      <w:r>
        <w:t>ver, 2013)</w:t>
      </w:r>
      <w:r>
        <w:fldChar w:fldCharType="end"/>
      </w:r>
      <w:bookmarkEnd w:id="357"/>
      <w:bookmarkEnd w:id="358"/>
      <w:bookmarkEnd w:id="359"/>
      <w:bookmarkEnd w:id="360"/>
      <w:bookmarkEnd w:id="361"/>
      <w:r>
        <w:t xml:space="preserve"> as a response to their objection to the social injustice and social oppression.</w:t>
      </w:r>
    </w:p>
    <w:p w:rsidR="00AA3D25" w:rsidRDefault="005C6640" w:rsidP="00DD3744">
      <w:pPr>
        <w:pStyle w:val="paragraph"/>
        <w:spacing w:before="280" w:beforeAutospacing="0" w:after="280" w:afterAutospacing="0" w:line="480" w:lineRule="auto"/>
        <w:ind w:firstLine="720"/>
        <w:textAlignment w:val="baseline"/>
      </w:pPr>
      <w:r>
        <w:t xml:space="preserve">Disability activists, defending the SMD, do not deny the integration of other models, but argue that the SMD is necessary for any </w:t>
      </w:r>
      <w:r w:rsidR="0088237E">
        <w:t>social theory that is developed focusing on</w:t>
      </w:r>
      <w:r>
        <w:t xml:space="preserve"> </w:t>
      </w:r>
      <w:r w:rsidR="0088237E">
        <w:t>disabled people’s daily</w:t>
      </w:r>
      <w:r>
        <w:t xml:space="preserve"> lives </w:t>
      </w:r>
      <w:r>
        <w:fldChar w:fldCharType="begin"/>
      </w:r>
      <w:r>
        <w:instrText>ADDIN RW.CITE{{296 Oliver,Mike 1986; 300 Oliver,Mike 2013}}</w:instrText>
      </w:r>
      <w:r>
        <w:fldChar w:fldCharType="separate"/>
      </w:r>
      <w:bookmarkStart w:id="362" w:name="__Fieldmark__1919_813835849"/>
      <w:r>
        <w:t>(</w:t>
      </w:r>
      <w:bookmarkStart w:id="363" w:name="__Fieldmark__1966_1675857893"/>
      <w:r>
        <w:t>O</w:t>
      </w:r>
      <w:bookmarkStart w:id="364" w:name="__Fieldmark__1604_857931355"/>
      <w:r>
        <w:t>l</w:t>
      </w:r>
      <w:bookmarkStart w:id="365" w:name="__Fieldmark__1227_206014555"/>
      <w:r>
        <w:t>i</w:t>
      </w:r>
      <w:bookmarkStart w:id="366" w:name="__Fieldmark__668_1186368443"/>
      <w:r>
        <w:t>ver, 1986; Oliver, 2013)</w:t>
      </w:r>
      <w:r>
        <w:fldChar w:fldCharType="end"/>
      </w:r>
      <w:bookmarkEnd w:id="362"/>
      <w:bookmarkEnd w:id="363"/>
      <w:bookmarkEnd w:id="364"/>
      <w:bookmarkEnd w:id="365"/>
      <w:bookmarkEnd w:id="366"/>
      <w:r>
        <w:t xml:space="preserve">. Disability advocates have been urging a critical re-examination of the traditional framework </w:t>
      </w:r>
      <w:r>
        <w:fldChar w:fldCharType="begin"/>
      </w:r>
      <w:r>
        <w:instrText>ADDIN RW.CITE{{296 Oliver,Mike 1986; 295 Hughes,Bill 1997; 304 Crow,Liz 1996; 305 Shakespeare,Tom 1997; 300 Oliver,Mike 2013}}</w:instrText>
      </w:r>
      <w:r>
        <w:fldChar w:fldCharType="separate"/>
      </w:r>
      <w:bookmarkStart w:id="367" w:name="__Fieldmark__1938_813835849"/>
      <w:r>
        <w:t>(</w:t>
      </w:r>
      <w:bookmarkStart w:id="368" w:name="__Fieldmark__1983_1675857893"/>
      <w:r>
        <w:t>C</w:t>
      </w:r>
      <w:bookmarkStart w:id="369" w:name="__Fieldmark__1615_857931355"/>
      <w:r>
        <w:t>r</w:t>
      </w:r>
      <w:bookmarkStart w:id="370" w:name="__Fieldmark__673_1186368443"/>
      <w:bookmarkStart w:id="371" w:name="__Fieldmark__1234_206014555"/>
      <w:r>
        <w:t>ow, 1996; Hughes &amp; Paterson, 1997; Oliver, 1986; Oliver, 2013; Shakespeare &amp; Watson, 1997)</w:t>
      </w:r>
      <w:r>
        <w:fldChar w:fldCharType="end"/>
      </w:r>
      <w:bookmarkEnd w:id="367"/>
      <w:bookmarkEnd w:id="368"/>
      <w:bookmarkEnd w:id="369"/>
      <w:bookmarkEnd w:id="370"/>
      <w:bookmarkEnd w:id="371"/>
      <w:r>
        <w:t xml:space="preserve">. However, it is </w:t>
      </w:r>
      <w:r w:rsidR="0088237E">
        <w:t xml:space="preserve">important </w:t>
      </w:r>
      <w:r>
        <w:t>to remember that any theory utilized must be useful to the political advocacy in which the disability movement must engage for the basic living environment of PWD to improve (Oliver, 1997).</w:t>
      </w:r>
    </w:p>
    <w:p w:rsidR="00AA3D25" w:rsidRDefault="00AA3D25" w:rsidP="00DD3744">
      <w:pPr>
        <w:spacing w:line="480" w:lineRule="auto"/>
      </w:pPr>
    </w:p>
    <w:p w:rsidR="00AA3D25" w:rsidRDefault="005C6640" w:rsidP="00DD3744">
      <w:pPr>
        <w:spacing w:line="480" w:lineRule="auto"/>
        <w:rPr>
          <w:b/>
          <w:lang w:val="en-CA"/>
        </w:rPr>
      </w:pPr>
      <w:r>
        <w:br w:type="page"/>
      </w:r>
    </w:p>
    <w:p w:rsidR="00AA3D25" w:rsidRDefault="005C6640" w:rsidP="00DD3744">
      <w:pPr>
        <w:pStyle w:val="Heading1"/>
      </w:pPr>
      <w:bookmarkStart w:id="372" w:name="_Toc533852512"/>
      <w:r>
        <w:lastRenderedPageBreak/>
        <w:t>Local context of AMA and Disability</w:t>
      </w:r>
      <w:bookmarkEnd w:id="372"/>
    </w:p>
    <w:p w:rsidR="00AA3D25" w:rsidRDefault="005C6640" w:rsidP="00DD3744">
      <w:pPr>
        <w:spacing w:line="480" w:lineRule="auto"/>
        <w:ind w:firstLine="720"/>
      </w:pPr>
      <w:r>
        <w:rPr>
          <w:lang w:val="en-CA"/>
        </w:rPr>
        <w:t xml:space="preserve">Manitoba holds a distinct position in disability history.  In 1980, </w:t>
      </w:r>
      <w:r w:rsidR="0088237E">
        <w:rPr>
          <w:lang w:val="en-CA"/>
        </w:rPr>
        <w:t>Disabled</w:t>
      </w:r>
      <w:r>
        <w:rPr>
          <w:lang w:val="en-CA"/>
        </w:rPr>
        <w:t xml:space="preserve"> People’s International (DPI) was formed with the overwhelming support from PWD </w:t>
      </w:r>
      <w:r w:rsidR="0088237E">
        <w:rPr>
          <w:lang w:val="en-CA"/>
        </w:rPr>
        <w:t>worldwide</w:t>
      </w:r>
      <w:r>
        <w:rPr>
          <w:lang w:val="en-CA"/>
        </w:rPr>
        <w:t xml:space="preserve"> (Enns, 2008). This was the first time that an organization had the sole purpose of furthering PWDs voice, having more than half of the people on the board with a disability. The formation of DPI in Winnipeg put this city in a distinct position in the world disability rights movement. </w:t>
      </w:r>
    </w:p>
    <w:p w:rsidR="00AA3D25" w:rsidRDefault="005C6640" w:rsidP="00DD3744">
      <w:pPr>
        <w:spacing w:line="480" w:lineRule="auto"/>
        <w:ind w:firstLine="360"/>
      </w:pPr>
      <w:r>
        <w:rPr>
          <w:lang w:val="en-CA"/>
        </w:rPr>
        <w:t>Almost four decades later, on Dec 5</w:t>
      </w:r>
      <w:r>
        <w:rPr>
          <w:vertAlign w:val="superscript"/>
          <w:lang w:val="en-CA"/>
        </w:rPr>
        <w:t>th</w:t>
      </w:r>
      <w:r>
        <w:rPr>
          <w:lang w:val="en-CA"/>
        </w:rPr>
        <w:t>, 2013, The Accessibility for Manitobans Act (AMA) was enacted (“The Accessibility for Manitobans Act”, 2013), marking a historic moment in the disability rights campaign. The Act is the outcome of years of lobbying by disability activists and allied health professionals. Manitoba is the second province after Ontario to adopt accessibility related legislation.</w:t>
      </w:r>
    </w:p>
    <w:p w:rsidR="00AA3D25" w:rsidRDefault="005C6640" w:rsidP="00DD3744">
      <w:pPr>
        <w:spacing w:line="480" w:lineRule="auto"/>
        <w:ind w:firstLine="360"/>
        <w:rPr>
          <w:lang w:val="en-CA"/>
        </w:rPr>
      </w:pPr>
      <w:r>
        <w:rPr>
          <w:lang w:val="en-CA"/>
        </w:rPr>
        <w:t xml:space="preserve">Accessibility standards (“Accessibility standards,” 2016) focuses on </w:t>
      </w:r>
      <w:r w:rsidR="0088237E">
        <w:rPr>
          <w:lang w:val="en-CA"/>
        </w:rPr>
        <w:t>five</w:t>
      </w:r>
      <w:r>
        <w:rPr>
          <w:lang w:val="en-CA"/>
        </w:rPr>
        <w:t xml:space="preserve"> key areas (as shown in Fig.1):</w:t>
      </w:r>
    </w:p>
    <w:p w:rsidR="00AA3D25" w:rsidRDefault="005C6640" w:rsidP="00DD3744">
      <w:pPr>
        <w:spacing w:line="480" w:lineRule="auto"/>
        <w:rPr>
          <w:lang w:val="en-CA"/>
        </w:rPr>
      </w:pPr>
      <w:r>
        <w:rPr>
          <w:noProof/>
        </w:rPr>
        <w:drawing>
          <wp:inline distT="0" distB="0" distL="0" distR="0" wp14:anchorId="4E837A3F">
            <wp:extent cx="5488940" cy="2918460"/>
            <wp:effectExtent l="0" t="0" r="0" b="0"/>
            <wp:docPr id="1" name="Diagram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rsidR="00AA3D25" w:rsidRDefault="005C6640" w:rsidP="00DD3744">
      <w:pPr>
        <w:spacing w:line="480" w:lineRule="auto"/>
        <w:jc w:val="center"/>
      </w:pPr>
      <w:r>
        <w:t>Fig 1: Accessibility standard key areas</w:t>
      </w:r>
    </w:p>
    <w:p w:rsidR="00AA3D25" w:rsidRDefault="005C6640" w:rsidP="00DD3744">
      <w:pPr>
        <w:spacing w:line="480" w:lineRule="auto"/>
        <w:ind w:firstLine="720"/>
      </w:pPr>
      <w:r>
        <w:rPr>
          <w:lang w:val="en-CA"/>
        </w:rPr>
        <w:lastRenderedPageBreak/>
        <w:t>The Accessibility Advisory Council, consisting of various stakeholders, is in the process of developing the standards. Currently, the customer service standard has been created and there is an employer handbook which refers to the different kind of barriers that PWD face (“</w:t>
      </w:r>
      <w:r>
        <w:rPr>
          <w:rFonts w:eastAsia="Times New Roman"/>
        </w:rPr>
        <w:t xml:space="preserve">Accessibility Standard for Customer Service: Employers’ Handbook”, 2016). Other standards are still in development. </w:t>
      </w:r>
      <w:r>
        <w:rPr>
          <w:color w:val="000000" w:themeColor="text1"/>
          <w:lang w:val="en-CA"/>
        </w:rPr>
        <w:t xml:space="preserve">The Accessible Customer Service Standards broadly include any technological, attitudinal, architectural or systemic barriers for PWD. </w:t>
      </w:r>
    </w:p>
    <w:p w:rsidR="00AA3D25" w:rsidRDefault="005C6640" w:rsidP="00DD3744">
      <w:pPr>
        <w:pStyle w:val="ListParagraph"/>
        <w:spacing w:line="480" w:lineRule="auto"/>
        <w:ind w:left="0" w:firstLine="720"/>
        <w:jc w:val="both"/>
        <w:rPr>
          <w:rFonts w:ascii="Times New Roman" w:hAnsi="Times New Roman" w:cs="Times New Roman"/>
          <w:sz w:val="24"/>
          <w:szCs w:val="24"/>
        </w:rPr>
      </w:pPr>
      <w:r>
        <w:rPr>
          <w:rFonts w:ascii="Times New Roman" w:hAnsi="Times New Roman" w:cs="Times New Roman"/>
          <w:sz w:val="24"/>
          <w:szCs w:val="24"/>
        </w:rPr>
        <w:t>This research focuses on GP’s understanding of accessibility, the access to the resources in society, adequacy of medical training and the local reforms. My research is also aiming to engage the physicians in discussion around AMA and particularly on the customer accessibility standard. Many times</w:t>
      </w:r>
      <w:r w:rsidR="0088237E">
        <w:rPr>
          <w:rFonts w:ascii="Times New Roman" w:hAnsi="Times New Roman" w:cs="Times New Roman"/>
          <w:sz w:val="24"/>
          <w:szCs w:val="24"/>
        </w:rPr>
        <w:t>, visible disabilities are</w:t>
      </w:r>
      <w:r>
        <w:rPr>
          <w:rFonts w:ascii="Times New Roman" w:hAnsi="Times New Roman" w:cs="Times New Roman"/>
          <w:sz w:val="24"/>
          <w:szCs w:val="24"/>
        </w:rPr>
        <w:t xml:space="preserve"> taken into consideration for example: ramps and grab bars, while invisible disabilities like chronic fatigue syndrome are overlooked (Driedger, 2003). According to the standard, there should be training for people involved in providing any kind of service to </w:t>
      </w:r>
      <w:r w:rsidR="00D51618">
        <w:rPr>
          <w:rFonts w:ascii="Times New Roman" w:hAnsi="Times New Roman" w:cs="Times New Roman"/>
          <w:sz w:val="24"/>
          <w:szCs w:val="24"/>
        </w:rPr>
        <w:t>PWD;</w:t>
      </w:r>
      <w:r>
        <w:rPr>
          <w:rFonts w:ascii="Times New Roman" w:hAnsi="Times New Roman" w:cs="Times New Roman"/>
          <w:sz w:val="24"/>
          <w:szCs w:val="24"/>
        </w:rPr>
        <w:t xml:space="preserve"> it also mentions attitudinal and technological barriers for all types of disabilities. I am interested in exploring how they perceive accessibility for PWD in their daily practice.</w:t>
      </w:r>
    </w:p>
    <w:p w:rsidR="00AA3D25" w:rsidRDefault="005C6640" w:rsidP="00DD3744">
      <w:pPr>
        <w:spacing w:line="480" w:lineRule="auto"/>
      </w:pPr>
      <w:r>
        <w:br w:type="page"/>
      </w:r>
    </w:p>
    <w:p w:rsidR="00AA3D25" w:rsidRDefault="005C6640" w:rsidP="00DD3744">
      <w:pPr>
        <w:pStyle w:val="Heading1"/>
      </w:pPr>
      <w:bookmarkStart w:id="373" w:name="_Toc533852513"/>
      <w:r>
        <w:lastRenderedPageBreak/>
        <w:t>Social Location and Researcher Reflections</w:t>
      </w:r>
      <w:bookmarkEnd w:id="373"/>
    </w:p>
    <w:p w:rsidR="00AA3D25" w:rsidRDefault="005C6640" w:rsidP="00DD3744">
      <w:pPr>
        <w:spacing w:line="480" w:lineRule="auto"/>
        <w:ind w:firstLine="720"/>
      </w:pPr>
      <w:r>
        <w:rPr>
          <w:color w:val="000000" w:themeColor="text1"/>
        </w:rPr>
        <w:t xml:space="preserve">Surprise, disbelief and shock are the first few words that come to my mind when I think about my first encounter with the SMD. It was here in the university, during my Master’s studies that I learned about it. Until then, I looked at medicine with a more holistic approach to health and assumed physician and </w:t>
      </w:r>
      <w:r>
        <w:t xml:space="preserve">patients to be on the same side known as ‘health’. For the first time, I was learning about the people on the other side too. </w:t>
      </w:r>
    </w:p>
    <w:p w:rsidR="00AA3D25" w:rsidRDefault="005C6640" w:rsidP="00DD3744">
      <w:pPr>
        <w:spacing w:line="480" w:lineRule="auto"/>
        <w:ind w:firstLine="720"/>
      </w:pPr>
      <w:r>
        <w:t xml:space="preserve">I realized after discussions with my professors and fellow colleagues that it is not necessarily two opposite sides of the table but it certainly did not mean everybody was on the same page. </w:t>
      </w:r>
      <w:r w:rsidR="00D51618">
        <w:t>In addition</w:t>
      </w:r>
      <w:r>
        <w:t xml:space="preserve">, there were many stakeholders involved in the delivery </w:t>
      </w:r>
      <w:r w:rsidR="00D51618">
        <w:t>of healthcare</w:t>
      </w:r>
      <w:r>
        <w:t xml:space="preserve">, so I decided to look at the physician-patient relationship more closely. </w:t>
      </w:r>
    </w:p>
    <w:p w:rsidR="00AA3D25" w:rsidRDefault="005C6640" w:rsidP="00DD3744">
      <w:pPr>
        <w:spacing w:line="480" w:lineRule="auto"/>
        <w:ind w:firstLine="720"/>
      </w:pPr>
      <w:r>
        <w:t>I was interested in the potential barriers experienced by physicians while providing optimum care. I was particularly interested in this topic because I believed there needed to a bridge between the healthcare community and disability activists. There is so much lost in just focusing on the numbers and blaming. I understand the importance</w:t>
      </w:r>
      <w:r w:rsidR="00D51618">
        <w:t xml:space="preserve"> of numbers and healthcare </w:t>
      </w:r>
      <w:r>
        <w:t xml:space="preserve">funded by the government. However, I feel it is important to revisit some of the assumptions we have made in the past about people with disability and their notion of health. Our current understanding and practices reflect limited knowledge in achieving equity and accessible healthcare for all. I felt it will be an important step to know where healthcare service providers stand on integrating the </w:t>
      </w:r>
      <w:r w:rsidR="003018D2">
        <w:t xml:space="preserve">Social </w:t>
      </w:r>
      <w:r w:rsidR="00D51618">
        <w:t>Model into</w:t>
      </w:r>
      <w:r>
        <w:t xml:space="preserve"> their practice to be able to come up with apt interventions.</w:t>
      </w:r>
    </w:p>
    <w:p w:rsidR="00AA3D25" w:rsidRDefault="00AA3D25" w:rsidP="00DD3744">
      <w:pPr>
        <w:spacing w:line="480" w:lineRule="auto"/>
      </w:pPr>
    </w:p>
    <w:p w:rsidR="00AA3D25" w:rsidRDefault="005C6640" w:rsidP="00DD3744">
      <w:pPr>
        <w:spacing w:line="480" w:lineRule="auto"/>
        <w:ind w:firstLine="720"/>
      </w:pPr>
      <w:r>
        <w:t xml:space="preserve">Looking at the </w:t>
      </w:r>
      <w:r w:rsidR="00D51618">
        <w:t>literature,</w:t>
      </w:r>
      <w:r>
        <w:t xml:space="preserve"> I realized there was so much in disability literature regarding the negative experiences of people with disabilities in relation to the healthcare set up. </w:t>
      </w:r>
      <w:r>
        <w:lastRenderedPageBreak/>
        <w:t xml:space="preserve">Meanwhile, most of the physicians I knew, including myself, did not realize the obvious inequality in the healthcare set up. I felt knowing physicians’ perspective and using it as a guiding model for future research and evaluating appropriate outcomes would help produce meaningful discussion around “disabled-bodies, access, equity.” </w:t>
      </w:r>
      <w:r w:rsidR="00D51618">
        <w:t>T</w:t>
      </w:r>
      <w:r>
        <w:t>rained as a physician and trying to understand disability from the outside put me in the unique position of being able to see both sides. Being an able-bodied person, I tried to keep my own bias in check, and an ally to PWD.</w:t>
      </w:r>
    </w:p>
    <w:p w:rsidR="00AA3D25" w:rsidRDefault="005C6640" w:rsidP="00DD3744">
      <w:pPr>
        <w:spacing w:line="480" w:lineRule="auto"/>
        <w:ind w:firstLine="720"/>
      </w:pPr>
      <w:r>
        <w:t xml:space="preserve">When I </w:t>
      </w:r>
      <w:r w:rsidR="00D51618">
        <w:t>began</w:t>
      </w:r>
      <w:r>
        <w:t xml:space="preserve"> interviewing physicians, I was repeatedl</w:t>
      </w:r>
      <w:r w:rsidR="00D51618">
        <w:t xml:space="preserve">y asked if their names would  remain </w:t>
      </w:r>
      <w:r>
        <w:t>anonymous. It was almost as if there was some hesitancy in speaking about the time remuneration, need for more training, and lack of knowledge about resources:</w:t>
      </w:r>
      <w:r w:rsidR="00D51618">
        <w:t xml:space="preserve"> </w:t>
      </w:r>
    </w:p>
    <w:p w:rsidR="00AA3D25" w:rsidRDefault="005C6640" w:rsidP="00DD3744">
      <w:pPr>
        <w:spacing w:line="480" w:lineRule="auto"/>
        <w:ind w:left="340" w:right="850"/>
      </w:pPr>
      <w:r>
        <w:t xml:space="preserve">“I just wanted to double check if names would be there,” also “would the name of the clinic be mentioned?” and another physician mentioned “In the end, we cannot deny it is just a business, we cannot spend too much time on an individual,” or </w:t>
      </w:r>
      <w:r w:rsidR="00D51618">
        <w:t>“I</w:t>
      </w:r>
      <w:r>
        <w:t xml:space="preserve"> cannot spend a huge amount of time with a PWD, I have so much debt.”</w:t>
      </w:r>
    </w:p>
    <w:p w:rsidR="00AA3D25" w:rsidRDefault="005C6640" w:rsidP="00DD3744">
      <w:pPr>
        <w:spacing w:line="480" w:lineRule="auto"/>
      </w:pPr>
      <w:r>
        <w:t xml:space="preserve">It was almost, as if it was hard to accept the imperfections of the current healthcare set up. It was noteworthy, how while talking about the policies, all the physicians mentioned how important it was to have more policies to work toward a more accessible future, but none of them thought AMA existed, except one of the physicians or that it would apply to them. The general assumption was that policies should be </w:t>
      </w:r>
      <w:r w:rsidR="00D51618">
        <w:t>the responsibility of the clinic owner</w:t>
      </w:r>
      <w:r>
        <w:t>.</w:t>
      </w:r>
    </w:p>
    <w:p w:rsidR="00AA3D25" w:rsidRDefault="005C6640" w:rsidP="00DD3744">
      <w:pPr>
        <w:spacing w:line="480" w:lineRule="auto"/>
        <w:ind w:firstLine="720"/>
      </w:pPr>
      <w:r>
        <w:t xml:space="preserve">It seemed it was easier to blame the system than </w:t>
      </w:r>
      <w:r w:rsidR="00D51618">
        <w:t>one’s self</w:t>
      </w:r>
      <w:r>
        <w:t>. However, I felt everyone wanted to have a better relationship with PWD. They acknowledged the lack of proper education had a</w:t>
      </w:r>
      <w:r w:rsidR="00DD030A">
        <w:t xml:space="preserve"> lot to do with it. None of the participants</w:t>
      </w:r>
      <w:r>
        <w:t xml:space="preserve"> knew about the SMD and </w:t>
      </w:r>
      <w:r w:rsidR="00DD030A">
        <w:t>was</w:t>
      </w:r>
      <w:r>
        <w:t xml:space="preserve"> pleasa</w:t>
      </w:r>
      <w:r w:rsidR="00DD030A">
        <w:t>ntly surprised. E</w:t>
      </w:r>
      <w:r>
        <w:t xml:space="preserve">veryone talked about billing with a different code. I understand to some, it must be </w:t>
      </w:r>
      <w:r>
        <w:lastRenderedPageBreak/>
        <w:t xml:space="preserve">outrageous to think about </w:t>
      </w:r>
      <w:r w:rsidR="00DD030A">
        <w:t xml:space="preserve">it, However, </w:t>
      </w:r>
      <w:r>
        <w:t xml:space="preserve">that seemed like a valid problem </w:t>
      </w:r>
      <w:r w:rsidR="00DD030A">
        <w:t>for</w:t>
      </w:r>
      <w:r>
        <w:t xml:space="preserve"> all the physicians paid through the fee for service model. I</w:t>
      </w:r>
      <w:r w:rsidR="00DD030A">
        <w:t xml:space="preserve"> feel that much can be</w:t>
      </w:r>
      <w:r>
        <w:t xml:space="preserve"> done to improve the current situation. Other stakeholders </w:t>
      </w:r>
      <w:r w:rsidR="00DD030A">
        <w:t>such as</w:t>
      </w:r>
      <w:r>
        <w:t xml:space="preserve"> policy makers and government are usually focusing on the numbers but I believe small interventions like having doctors work with PWD or having a social worker work on call with every clinic or mobile physicians team would not even cost a lot and would make a great difference. </w:t>
      </w:r>
      <w:r w:rsidR="00DD030A">
        <w:t>Repetitive rhetoric</w:t>
      </w:r>
      <w:r>
        <w:t xml:space="preserve"> about changing the system and </w:t>
      </w:r>
      <w:r w:rsidR="005F2DD9">
        <w:t xml:space="preserve">costs only </w:t>
      </w:r>
      <w:r>
        <w:t xml:space="preserve">makes everything worse for PWD. </w:t>
      </w:r>
    </w:p>
    <w:p w:rsidR="00AA3D25" w:rsidRDefault="005C6640" w:rsidP="00DD3744">
      <w:pPr>
        <w:spacing w:line="480" w:lineRule="auto"/>
        <w:ind w:firstLine="720"/>
      </w:pPr>
      <w:r>
        <w:t>Overall, it seems that while medicalization and the attitudes of physicians are a barrier to delivery of quality care for PWD, physicians do find certain challenges while providing good healthcare service. With growing discussions about scope of practice around different levels of healthcare professionals, I think it is more important than ever to think about accessibility and make sure everyone has appropriate, easy and quick access to care. There can be no two sides to an issue or different perspectives about health. All the st</w:t>
      </w:r>
      <w:r w:rsidR="005F2DD9">
        <w:t xml:space="preserve">akeholders, </w:t>
      </w:r>
      <w:r>
        <w:t xml:space="preserve">believe there is a need to have the same bigger goal of “proper access to healthcare for everyone,” even if there are differences of opinion about smaller things such as how to prioritize visible or invisible disabilities, or what the </w:t>
      </w:r>
      <w:r w:rsidR="003018D2">
        <w:t>Social Model</w:t>
      </w:r>
      <w:r>
        <w:t>of disability means for PWD or the allocation of money for accessible ramp or accessible washrooms.</w:t>
      </w:r>
    </w:p>
    <w:p w:rsidR="00AA3D25" w:rsidRDefault="005C6640" w:rsidP="00DD3744">
      <w:pPr>
        <w:spacing w:line="480" w:lineRule="auto"/>
        <w:ind w:firstLine="720"/>
      </w:pPr>
      <w:r>
        <w:t xml:space="preserve">As an international medical graduate, I felt the perspectives around </w:t>
      </w:r>
      <w:r w:rsidR="005F2DD9">
        <w:t>disability;</w:t>
      </w:r>
      <w:r>
        <w:t xml:space="preserve"> chronic illness and </w:t>
      </w:r>
      <w:r w:rsidR="003018D2">
        <w:t xml:space="preserve">Social </w:t>
      </w:r>
      <w:r w:rsidR="005F2DD9">
        <w:t>Model were</w:t>
      </w:r>
      <w:r>
        <w:t xml:space="preserve"> definitely different. Learning about practical implications of the manner in which society </w:t>
      </w:r>
      <w:r w:rsidR="005F2DD9">
        <w:t xml:space="preserve">evolved </w:t>
      </w:r>
      <w:r>
        <w:t xml:space="preserve">changed my perspective. Awareness about disability and the rights may not be very </w:t>
      </w:r>
      <w:r w:rsidR="005F2DD9">
        <w:t>well known,</w:t>
      </w:r>
      <w:r>
        <w:t xml:space="preserve"> there is a sense of responsibility for the faulty design of the space we are living in. As an internationally trained physician, though, I did not find much difference when I talked to the physicians trained here, in Canada, or elsewhere. I felt, </w:t>
      </w:r>
      <w:r w:rsidR="005F2DD9">
        <w:t xml:space="preserve">physicians </w:t>
      </w:r>
      <w:r w:rsidR="005F2DD9">
        <w:lastRenderedPageBreak/>
        <w:t>form</w:t>
      </w:r>
      <w:r>
        <w:t xml:space="preserve"> a closed society, not extremely open to welcome changes and are passionate about keeping the status quo as long as it takes. I felt, most physicians, still look at diseases or meet patients with the dominant need to “fix” the problem, ignoring the social determinants. </w:t>
      </w:r>
      <w:r w:rsidR="005F2DD9">
        <w:t>Often, a</w:t>
      </w:r>
      <w:r>
        <w:t xml:space="preserve"> physician</w:t>
      </w:r>
      <w:r w:rsidR="005F2DD9">
        <w:t>’</w:t>
      </w:r>
      <w:r>
        <w:t>s behaviour becomes patronizing which further hinder the trust relationship between physician and the p</w:t>
      </w:r>
      <w:r w:rsidR="005F2DD9">
        <w:t>atient. A lot has to do with</w:t>
      </w:r>
      <w:r>
        <w:t xml:space="preserve"> training</w:t>
      </w:r>
      <w:r w:rsidR="005F2DD9">
        <w:t>. It does</w:t>
      </w:r>
      <w:r>
        <w:t xml:space="preserve"> not matter whether it was Canada or </w:t>
      </w:r>
      <w:r w:rsidR="005F2DD9">
        <w:t>elsewhere. It is similar</w:t>
      </w:r>
      <w:r>
        <w:t xml:space="preserve"> everywhere, after the </w:t>
      </w:r>
      <w:r w:rsidR="005F2DD9">
        <w:t>textbooks</w:t>
      </w:r>
      <w:r>
        <w:t xml:space="preserve"> the physicians are left on their own to engage with vulnerable population. The trend, is however</w:t>
      </w:r>
      <w:r w:rsidR="005F2DD9">
        <w:t>, is</w:t>
      </w:r>
      <w:r>
        <w:t xml:space="preserve"> changing, very slowly. This study helped me meet different people with diverse backgrounds. It was an eye opening experience to see the differences in geographical space, cultures, language and yet the medical world remains the same. </w:t>
      </w:r>
    </w:p>
    <w:p w:rsidR="00AA3D25" w:rsidRDefault="005C6640" w:rsidP="00DD3744">
      <w:pPr>
        <w:spacing w:line="480" w:lineRule="auto"/>
        <w:rPr>
          <w:rFonts w:eastAsiaTheme="majorEastAsia"/>
          <w:b/>
          <w:lang w:val="en-CA"/>
        </w:rPr>
      </w:pPr>
      <w:r>
        <w:br w:type="page"/>
      </w:r>
    </w:p>
    <w:p w:rsidR="00AA3D25" w:rsidRDefault="005C6640" w:rsidP="00DD3744">
      <w:pPr>
        <w:pStyle w:val="Heading1"/>
      </w:pPr>
      <w:bookmarkStart w:id="374" w:name="_Toc533852514"/>
      <w:r>
        <w:lastRenderedPageBreak/>
        <w:t>Methodology</w:t>
      </w:r>
      <w:bookmarkEnd w:id="374"/>
    </w:p>
    <w:p w:rsidR="00AA3D25" w:rsidRDefault="005C6640" w:rsidP="00DD3744">
      <w:pPr>
        <w:pStyle w:val="Heading2"/>
      </w:pPr>
      <w:bookmarkStart w:id="375" w:name="_Toc533852515"/>
      <w:r>
        <w:t>Research Design</w:t>
      </w:r>
      <w:bookmarkEnd w:id="375"/>
    </w:p>
    <w:p w:rsidR="00AA3D25" w:rsidRDefault="005C6640" w:rsidP="00DD3744">
      <w:pPr>
        <w:spacing w:line="480" w:lineRule="auto"/>
        <w:ind w:firstLine="720"/>
      </w:pPr>
      <w:r>
        <w:rPr>
          <w:lang w:val="en-CA"/>
        </w:rPr>
        <w:t xml:space="preserve">This study closely examined the perceptions of physician participants, whose own words best described their understanding of current policies and practices. To retain the true essence of lived experiences, it was vital to use a methodological approach that would grasp the uniqueness of human nature. The qualitative approach stretches and intersects the common threads of human experiences (Denzin &amp; Lincoln, 2011) and emphasizes the various configurations of human attitude rather than quantifying the responses </w:t>
      </w:r>
      <w:r>
        <w:fldChar w:fldCharType="begin"/>
      </w:r>
      <w:r>
        <w:instrText>ADDIN RW.CITE{{331 Fugard,AndrewJB 2015}}</w:instrText>
      </w:r>
      <w:r>
        <w:fldChar w:fldCharType="separate"/>
      </w:r>
      <w:bookmarkStart w:id="376" w:name="__Fieldmark__1997_813835849"/>
      <w:r>
        <w:rPr>
          <w:lang w:val="en-CA"/>
        </w:rPr>
        <w:t>(</w:t>
      </w:r>
      <w:bookmarkStart w:id="377" w:name="__Fieldmark__2077_1675857893"/>
      <w:r>
        <w:rPr>
          <w:lang w:val="en-CA"/>
        </w:rPr>
        <w:t>F</w:t>
      </w:r>
      <w:bookmarkStart w:id="378" w:name="__Fieldmark__1653_857931355"/>
      <w:r>
        <w:rPr>
          <w:lang w:val="en-CA"/>
        </w:rPr>
        <w:t>ugard &amp; Potts, 2015)</w:t>
      </w:r>
      <w:r>
        <w:fldChar w:fldCharType="end"/>
      </w:r>
      <w:bookmarkEnd w:id="376"/>
      <w:bookmarkEnd w:id="377"/>
      <w:bookmarkEnd w:id="378"/>
      <w:r>
        <w:rPr>
          <w:lang w:val="en-CA"/>
        </w:rPr>
        <w:t xml:space="preserve">. This study used qualitative interview methods with physicians to explore their approaches to healthcare for PWD, and how or whether the </w:t>
      </w:r>
      <w:r w:rsidR="003018D2">
        <w:rPr>
          <w:lang w:val="en-CA"/>
        </w:rPr>
        <w:t>Social Model</w:t>
      </w:r>
      <w:r>
        <w:rPr>
          <w:lang w:val="en-CA"/>
        </w:rPr>
        <w:t>informed this provision of care. To my knowledge, this research is the first qualitative, detailed study on physician attitudes toward providing care for PWD.</w:t>
      </w:r>
    </w:p>
    <w:p w:rsidR="00AA3D25" w:rsidRDefault="005C6640" w:rsidP="00DD3744">
      <w:pPr>
        <w:pStyle w:val="Heading2"/>
      </w:pPr>
      <w:bookmarkStart w:id="379" w:name="_Toc533852516"/>
      <w:r>
        <w:t>Study Participants, Sampling Size and the Inclusion Criteria</w:t>
      </w:r>
      <w:bookmarkEnd w:id="379"/>
    </w:p>
    <w:p w:rsidR="00AA3D25" w:rsidRDefault="005C6640" w:rsidP="00DD3744">
      <w:pPr>
        <w:spacing w:line="480" w:lineRule="auto"/>
        <w:ind w:firstLine="720"/>
      </w:pPr>
      <w:r>
        <w:rPr>
          <w:lang w:val="en-CA"/>
        </w:rPr>
        <w:t xml:space="preserve">I interviewed family physicians or GPs currently in Winnipeg. I interviewed family physicians because of the literature demonstrating their importance as “frontline” healthcare providers and gatekeepers to resources. They were recruited through email invitation (see Appendix B). In the Canadian healthcare </w:t>
      </w:r>
      <w:r w:rsidR="005F2DD9">
        <w:rPr>
          <w:lang w:val="en-CA"/>
        </w:rPr>
        <w:t>context,</w:t>
      </w:r>
      <w:r>
        <w:rPr>
          <w:lang w:val="en-CA"/>
        </w:rPr>
        <w:t xml:space="preserve"> family physicians are responsible for the referrals and working as a liaison between the patient and resources provided </w:t>
      </w:r>
      <w:r w:rsidR="005F2DD9">
        <w:rPr>
          <w:lang w:val="en-CA"/>
        </w:rPr>
        <w:t xml:space="preserve">in society. Furthermore, as I </w:t>
      </w:r>
      <w:r>
        <w:rPr>
          <w:lang w:val="en-CA"/>
        </w:rPr>
        <w:t xml:space="preserve">trained as a family physician, my position gave me an advantage as an “insider” and rapport with participants aided in the recruitment of family physicians. Participants worked at a clinic that had either a walk-in and/or a continuous care clinic or both. The total sample size was </w:t>
      </w:r>
      <w:r w:rsidR="005F2DD9">
        <w:rPr>
          <w:lang w:val="en-CA"/>
        </w:rPr>
        <w:t>five</w:t>
      </w:r>
      <w:r>
        <w:rPr>
          <w:lang w:val="en-CA"/>
        </w:rPr>
        <w:t xml:space="preserve"> participants. Recent thematic analysis guidelines propose 6-10 participants for a small project </w:t>
      </w:r>
      <w:r>
        <w:fldChar w:fldCharType="begin"/>
      </w:r>
      <w:r>
        <w:instrText>ADDIN RW.CITE{{333 Braun,Virginia 2013}}</w:instrText>
      </w:r>
      <w:r>
        <w:fldChar w:fldCharType="separate"/>
      </w:r>
      <w:bookmarkStart w:id="380" w:name="__Fieldmark__2014_813835849"/>
      <w:r>
        <w:rPr>
          <w:lang w:val="en-CA"/>
        </w:rPr>
        <w:t>(</w:t>
      </w:r>
      <w:bookmarkStart w:id="381" w:name="__Fieldmark__2101_1675857893"/>
      <w:r>
        <w:rPr>
          <w:lang w:val="en-CA"/>
        </w:rPr>
        <w:t>B</w:t>
      </w:r>
      <w:bookmarkStart w:id="382" w:name="__Fieldmark__1665_857931355"/>
      <w:r>
        <w:rPr>
          <w:lang w:val="en-CA"/>
        </w:rPr>
        <w:t>r</w:t>
      </w:r>
      <w:bookmarkStart w:id="383" w:name="__Fieldmark__1307_206014555"/>
      <w:r>
        <w:rPr>
          <w:lang w:val="en-CA"/>
        </w:rPr>
        <w:t>aun &amp; Clarke, 2013)</w:t>
      </w:r>
      <w:r>
        <w:fldChar w:fldCharType="end"/>
      </w:r>
      <w:bookmarkEnd w:id="380"/>
      <w:bookmarkEnd w:id="381"/>
      <w:bookmarkEnd w:id="382"/>
      <w:bookmarkEnd w:id="383"/>
      <w:r>
        <w:rPr>
          <w:lang w:val="en-CA"/>
        </w:rPr>
        <w:t>.</w:t>
      </w:r>
    </w:p>
    <w:p w:rsidR="00AA3D25" w:rsidRDefault="005C6640" w:rsidP="00DD3744">
      <w:pPr>
        <w:pStyle w:val="Heading2"/>
      </w:pPr>
      <w:bookmarkStart w:id="384" w:name="_Toc533852517"/>
      <w:r>
        <w:lastRenderedPageBreak/>
        <w:t>Recruitment process</w:t>
      </w:r>
      <w:bookmarkEnd w:id="384"/>
    </w:p>
    <w:p w:rsidR="00AA3D25" w:rsidRDefault="005C6640" w:rsidP="00DD3744">
      <w:pPr>
        <w:spacing w:line="480" w:lineRule="auto"/>
        <w:ind w:firstLine="720"/>
      </w:pPr>
      <w:r>
        <w:t xml:space="preserve">Prior to recruiting for this study, the Research Ethics Boards of University of Manitoba approved this research. Five </w:t>
      </w:r>
      <w:r w:rsidR="001A2D75">
        <w:t>physicians were interviewed. They work</w:t>
      </w:r>
      <w:r>
        <w:t xml:space="preserve"> in Winnipeg and </w:t>
      </w:r>
      <w:r w:rsidR="001A2D75">
        <w:t>are</w:t>
      </w:r>
      <w:r>
        <w:t xml:space="preserve"> practicing Family Medicine. </w:t>
      </w:r>
      <w:r w:rsidR="001A2D75">
        <w:t xml:space="preserve">Participants </w:t>
      </w:r>
      <w:r>
        <w:t>were selected through snowball sampling. Initially, I interviewed the known physicians and they identified the other physici</w:t>
      </w:r>
      <w:r w:rsidR="001A2D75">
        <w:t xml:space="preserve">ans. The participants were </w:t>
      </w:r>
      <w:r>
        <w:t xml:space="preserve">contacted through an email </w:t>
      </w:r>
      <w:r w:rsidR="001A2D75">
        <w:t xml:space="preserve">via the </w:t>
      </w:r>
      <w:r>
        <w:t xml:space="preserve">office secretary and a meeting was arranged.  </w:t>
      </w:r>
      <w:r w:rsidR="001A2D75">
        <w:t>Physicians,</w:t>
      </w:r>
      <w:r>
        <w:t xml:space="preserve"> </w:t>
      </w:r>
      <w:r w:rsidR="001A2D75">
        <w:t>who agreed</w:t>
      </w:r>
      <w:r>
        <w:t xml:space="preserve">, were met at their clinic according to a time, date, and place </w:t>
      </w:r>
      <w:r w:rsidR="001A2D75">
        <w:t xml:space="preserve">selected </w:t>
      </w:r>
      <w:r>
        <w:t>by them. Informed consent forms were sent out (see Appendix A) at least a week before the interview.</w:t>
      </w:r>
    </w:p>
    <w:p w:rsidR="00AA3D25" w:rsidRDefault="005C6640" w:rsidP="00DD3744">
      <w:pPr>
        <w:pStyle w:val="Heading2"/>
      </w:pPr>
      <w:bookmarkStart w:id="385" w:name="_Toc533852518"/>
      <w:r>
        <w:t>Research instruments</w:t>
      </w:r>
      <w:bookmarkEnd w:id="385"/>
    </w:p>
    <w:p w:rsidR="00AA3D25" w:rsidRDefault="005C6640" w:rsidP="00DD3744">
      <w:pPr>
        <w:spacing w:line="480" w:lineRule="auto"/>
        <w:ind w:firstLine="720"/>
      </w:pPr>
      <w:r>
        <w:t>I gathered data using a semi-structured interview guide during audio-recorded meetings (see Ap</w:t>
      </w:r>
      <w:r w:rsidR="001A2D75">
        <w:t xml:space="preserve">pendix C). The recordings were </w:t>
      </w:r>
      <w:r>
        <w:t>transcribed for analysis.</w:t>
      </w:r>
      <w:r>
        <w:rPr>
          <w:rFonts w:eastAsia="MS Mincho"/>
        </w:rPr>
        <w:t xml:space="preserve"> </w:t>
      </w:r>
      <w:r w:rsidR="001A2D75">
        <w:rPr>
          <w:rFonts w:eastAsia="MS Mincho"/>
        </w:rPr>
        <w:t xml:space="preserve"> A t</w:t>
      </w:r>
      <w:r>
        <w:t xml:space="preserve">hematic analysis was </w:t>
      </w:r>
      <w:r w:rsidR="001A2D75">
        <w:t>used</w:t>
      </w:r>
      <w:r>
        <w:t xml:space="preserve"> to highlight emerging themes. The transcr</w:t>
      </w:r>
      <w:r w:rsidR="001A2D75">
        <w:t>ipts coded, and themes identified. The themes</w:t>
      </w:r>
      <w:r>
        <w:t xml:space="preserve"> were reviewed for a final report including the corresponding segments from the transcript.</w:t>
      </w:r>
    </w:p>
    <w:p w:rsidR="00AA3D25" w:rsidRDefault="005C6640" w:rsidP="00DD3744">
      <w:pPr>
        <w:pStyle w:val="Heading2"/>
      </w:pPr>
      <w:bookmarkStart w:id="386" w:name="_Toc533852519"/>
      <w:r>
        <w:t>Data Collection and Interview Interpretation</w:t>
      </w:r>
      <w:bookmarkEnd w:id="386"/>
      <w:r>
        <w:t xml:space="preserve"> </w:t>
      </w:r>
    </w:p>
    <w:p w:rsidR="00AA3D25" w:rsidRDefault="005C6640" w:rsidP="00DD3744">
      <w:pPr>
        <w:spacing w:line="480" w:lineRule="auto"/>
        <w:ind w:firstLine="720"/>
      </w:pPr>
      <w:r>
        <w:t xml:space="preserve">I decided to use a semi-structured interview with open-ended questions, consisting of questions about disability, education or training and policies about accessibility. The interview guide helped me explore primary areas of accessibility issues in healthcare according to PWD. </w:t>
      </w:r>
      <w:r>
        <w:rPr>
          <w:lang w:val="en-CA"/>
        </w:rPr>
        <w:t xml:space="preserve">After the consent process, participants were asked about digitally recording the interview. I conducted a detailed semi-structured interview to allow for space for participants to “tell their own stories” while at the same time being guided by the research questions, goals, and themes. Interviews were recorded with a digital </w:t>
      </w:r>
      <w:r w:rsidR="001A2D75">
        <w:rPr>
          <w:lang w:val="en-CA"/>
        </w:rPr>
        <w:t>data-recording</w:t>
      </w:r>
      <w:r>
        <w:rPr>
          <w:lang w:val="en-CA"/>
        </w:rPr>
        <w:t xml:space="preserve"> device, and lasted approximately for an hour. Interview questions focused on knowledge the physician had about PWD, the </w:t>
      </w:r>
      <w:r w:rsidR="003018D2">
        <w:rPr>
          <w:lang w:val="en-CA"/>
        </w:rPr>
        <w:t>Social Model</w:t>
      </w:r>
      <w:r w:rsidR="005D0139">
        <w:rPr>
          <w:lang w:val="en-CA"/>
        </w:rPr>
        <w:t xml:space="preserve"> </w:t>
      </w:r>
      <w:r>
        <w:rPr>
          <w:lang w:val="en-CA"/>
        </w:rPr>
        <w:lastRenderedPageBreak/>
        <w:t>of Disability, and previous medical education on the topic, the accessibility of the clinic, and the ph</w:t>
      </w:r>
      <w:r w:rsidR="005D0139">
        <w:rPr>
          <w:lang w:val="en-CA"/>
        </w:rPr>
        <w:t xml:space="preserve">ysicians’ opinion on how to </w:t>
      </w:r>
      <w:r>
        <w:rPr>
          <w:lang w:val="en-CA"/>
        </w:rPr>
        <w:t>provide healthcare for PWD (see Appendix C). Directly following the interview, I wrote about field notes regarding my overall impressions of the interview, captured any discussion with the participant not captured in the interview itself, and for the overall purposes of accuracy when interpreting and analyzing the data. I consulted with field notes throughout the data interpretation process</w:t>
      </w:r>
      <w:r w:rsidR="005D0139">
        <w:rPr>
          <w:lang w:val="en-CA"/>
        </w:rPr>
        <w:t>. Finally,</w:t>
      </w:r>
      <w:r>
        <w:rPr>
          <w:lang w:val="en-CA"/>
        </w:rPr>
        <w:t xml:space="preserve"> they were asked to provide a mailing address if they wished to review the transcribed file and / or wanted to know more about the findings.</w:t>
      </w:r>
    </w:p>
    <w:p w:rsidR="00AA3D25" w:rsidRDefault="005C6640" w:rsidP="00DD3744">
      <w:pPr>
        <w:pStyle w:val="Heading2"/>
      </w:pPr>
      <w:bookmarkStart w:id="387" w:name="_Toc533852520"/>
      <w:r>
        <w:t>Ethics</w:t>
      </w:r>
      <w:bookmarkEnd w:id="387"/>
    </w:p>
    <w:p w:rsidR="00AA3D25" w:rsidRDefault="005C6640" w:rsidP="00DD3744">
      <w:pPr>
        <w:spacing w:line="480" w:lineRule="auto"/>
        <w:ind w:firstLine="720"/>
        <w:rPr>
          <w:lang w:val="en-CA"/>
        </w:rPr>
      </w:pPr>
      <w:r>
        <w:rPr>
          <w:lang w:val="en-CA"/>
        </w:rPr>
        <w:t xml:space="preserve">Ethics approval was obtained from the Research Ethics Board at the University of Manitoba before starting the process of recruitment. The study was explained to the participants at the time of the first contact. Special consideration was given to consent and confidentiality. Before the interview began, the informed consent process was discussed with each participant. Confidentiality was also a part of the consent form and names were changed for the sake of privacy and confidentiality. Every participant was told about the option to withdraw whenever they would like before the submission of the final study (October2018). All the information was destroyed after transcription. </w:t>
      </w:r>
    </w:p>
    <w:p w:rsidR="00AA3D25" w:rsidRDefault="005C6640" w:rsidP="00DD3744">
      <w:pPr>
        <w:pStyle w:val="Heading2"/>
      </w:pPr>
      <w:bookmarkStart w:id="388" w:name="_Toc533852521"/>
      <w:r>
        <w:t>Data Analyses</w:t>
      </w:r>
      <w:bookmarkEnd w:id="388"/>
    </w:p>
    <w:p w:rsidR="00AA3D25" w:rsidRDefault="005C6640" w:rsidP="00DD3744">
      <w:pPr>
        <w:spacing w:line="480" w:lineRule="auto"/>
        <w:ind w:firstLine="720"/>
      </w:pPr>
      <w:r>
        <w:rPr>
          <w:lang w:val="en-CA"/>
        </w:rPr>
        <w:t xml:space="preserve">Following the interviews, I transcribed </w:t>
      </w:r>
      <w:r w:rsidR="005D0139">
        <w:rPr>
          <w:lang w:val="en-CA"/>
        </w:rPr>
        <w:t>and</w:t>
      </w:r>
      <w:r>
        <w:rPr>
          <w:lang w:val="en-CA"/>
        </w:rPr>
        <w:t xml:space="preserve"> analyzed them thematically for “structures of experience” (Holloway &amp; Wheeler, 2013) using Microsoft Word (as the sample set was very small, I did not need to use a data software program). The digitally recorded version of the interviews were transcribed by me, which ensured familiarity with the subject matter. I made </w:t>
      </w:r>
      <w:r>
        <w:rPr>
          <w:lang w:val="en-CA"/>
        </w:rPr>
        <w:lastRenderedPageBreak/>
        <w:t>sure to keep a journal with me in the interviews as suggested by my supervisors. I went through every line and coded it in specific categories. I used thematic analysis to highlight the emerging trends, and then developed a list of codes that captured these themes.  After all the interviews were completed, the second round of coding began. All the codes were categorized by</w:t>
      </w:r>
      <w:r w:rsidR="005D0139">
        <w:rPr>
          <w:lang w:val="en-CA"/>
        </w:rPr>
        <w:t xml:space="preserve"> theme</w:t>
      </w:r>
    </w:p>
    <w:p w:rsidR="00AA3D25" w:rsidRDefault="005C6640" w:rsidP="00DD3744">
      <w:pPr>
        <w:spacing w:line="480" w:lineRule="auto"/>
        <w:ind w:firstLine="720"/>
      </w:pPr>
      <w:r>
        <w:rPr>
          <w:lang w:val="en-CA"/>
        </w:rPr>
        <w:t>I organized the chapters of the thesis based on the overall themes emerging from the data.</w:t>
      </w:r>
    </w:p>
    <w:p w:rsidR="00AA3D25" w:rsidRDefault="005C6640" w:rsidP="00DD3744">
      <w:pPr>
        <w:pStyle w:val="Heading2"/>
      </w:pPr>
      <w:bookmarkStart w:id="389" w:name="_Toc533852522"/>
      <w:r>
        <w:t>Limitations</w:t>
      </w:r>
      <w:bookmarkEnd w:id="389"/>
      <w:r>
        <w:t xml:space="preserve"> </w:t>
      </w:r>
    </w:p>
    <w:p w:rsidR="00AA3D25" w:rsidRDefault="005C6640" w:rsidP="00DD3744">
      <w:pPr>
        <w:spacing w:line="480" w:lineRule="auto"/>
        <w:ind w:firstLine="720"/>
      </w:pPr>
      <w:r>
        <w:rPr>
          <w:lang w:val="en-CA"/>
        </w:rPr>
        <w:t xml:space="preserve">This project was limited to Winnipeg and family physicians because of budget constraints, convenience and time limitations. Secondly, snowball sampling might not be representative of the true population </w:t>
      </w:r>
      <w:r>
        <w:fldChar w:fldCharType="begin"/>
      </w:r>
      <w:r>
        <w:instrText>ADDIN RW.CITE{{334 Smith,J. 2013}}</w:instrText>
      </w:r>
      <w:r>
        <w:fldChar w:fldCharType="separate"/>
      </w:r>
      <w:bookmarkStart w:id="390" w:name="__Fieldmark__2063_813835849"/>
      <w:r>
        <w:rPr>
          <w:lang w:val="en-CA"/>
        </w:rPr>
        <w:t>(</w:t>
      </w:r>
      <w:bookmarkStart w:id="391" w:name="__Fieldmark__2221_1675857893"/>
      <w:r>
        <w:rPr>
          <w:lang w:val="en-CA"/>
        </w:rPr>
        <w:t>S</w:t>
      </w:r>
      <w:bookmarkStart w:id="392" w:name="__Fieldmark__1720_857931355"/>
      <w:r>
        <w:rPr>
          <w:lang w:val="en-CA"/>
        </w:rPr>
        <w:t>m</w:t>
      </w:r>
      <w:bookmarkStart w:id="393" w:name="__Fieldmark__1348_206014555"/>
      <w:r>
        <w:rPr>
          <w:lang w:val="en-CA"/>
        </w:rPr>
        <w:t>ith, 2013)</w:t>
      </w:r>
      <w:r>
        <w:fldChar w:fldCharType="end"/>
      </w:r>
      <w:bookmarkEnd w:id="390"/>
      <w:bookmarkEnd w:id="391"/>
      <w:bookmarkEnd w:id="392"/>
      <w:bookmarkEnd w:id="393"/>
      <w:r>
        <w:rPr>
          <w:lang w:val="en-CA"/>
        </w:rPr>
        <w:t xml:space="preserve">. However, given that this is qualitative research, representation was not my goal and was therefore appropriate for my project (ibid). </w:t>
      </w:r>
      <w:r w:rsidR="0042742E">
        <w:rPr>
          <w:lang w:val="en-CA"/>
        </w:rPr>
        <w:t>A majority of the participants obtained</w:t>
      </w:r>
      <w:r>
        <w:rPr>
          <w:lang w:val="en-CA"/>
        </w:rPr>
        <w:t xml:space="preserve"> their under graduate training </w:t>
      </w:r>
      <w:r w:rsidR="0042742E">
        <w:rPr>
          <w:lang w:val="en-CA"/>
        </w:rPr>
        <w:t>from different countries, that may affect</w:t>
      </w:r>
      <w:r>
        <w:rPr>
          <w:lang w:val="en-CA"/>
        </w:rPr>
        <w:t xml:space="preserve"> the result, however they had extensive </w:t>
      </w:r>
      <w:r w:rsidR="0042742E">
        <w:rPr>
          <w:lang w:val="en-CA"/>
        </w:rPr>
        <w:t>postgraduate</w:t>
      </w:r>
      <w:r>
        <w:rPr>
          <w:lang w:val="en-CA"/>
        </w:rPr>
        <w:t xml:space="preserve"> training in Canada. The diverse point of view would provide policy makers and educators with a starting point for future research and furthering the knowledge translation process to strengthen the Canadian healthcare for PWD.</w:t>
      </w:r>
    </w:p>
    <w:p w:rsidR="00AA3D25" w:rsidRDefault="005C6640" w:rsidP="00DD3744">
      <w:pPr>
        <w:spacing w:line="480" w:lineRule="auto"/>
        <w:rPr>
          <w:b/>
          <w:lang w:val="en-CA"/>
        </w:rPr>
      </w:pPr>
      <w:r>
        <w:br w:type="page"/>
      </w:r>
    </w:p>
    <w:p w:rsidR="00AA3D25" w:rsidRDefault="005C6640" w:rsidP="00DD3744">
      <w:pPr>
        <w:pStyle w:val="Heading1"/>
      </w:pPr>
      <w:bookmarkStart w:id="394" w:name="_Toc533852523"/>
      <w:r>
        <w:lastRenderedPageBreak/>
        <w:t>Results</w:t>
      </w:r>
      <w:bookmarkEnd w:id="394"/>
    </w:p>
    <w:p w:rsidR="00AA3D25" w:rsidRDefault="005C6640" w:rsidP="00DD3744">
      <w:pPr>
        <w:pStyle w:val="Heading2"/>
      </w:pPr>
      <w:bookmarkStart w:id="395" w:name="_Toc533852524"/>
      <w:r>
        <w:t>Interview Site</w:t>
      </w:r>
      <w:bookmarkEnd w:id="395"/>
      <w:r>
        <w:t xml:space="preserve"> </w:t>
      </w:r>
    </w:p>
    <w:p w:rsidR="00AA3D25" w:rsidRDefault="005C6640" w:rsidP="00DD3744">
      <w:pPr>
        <w:spacing w:line="480" w:lineRule="auto"/>
        <w:ind w:firstLine="720"/>
      </w:pPr>
      <w:r>
        <w:rPr>
          <w:color w:val="000000" w:themeColor="text1"/>
          <w:lang w:val="en-CA"/>
        </w:rPr>
        <w:t>The inte</w:t>
      </w:r>
      <w:r w:rsidR="0042742E">
        <w:rPr>
          <w:color w:val="000000" w:themeColor="text1"/>
          <w:lang w:val="en-CA"/>
        </w:rPr>
        <w:t>rviews took place between February 2017 and</w:t>
      </w:r>
      <w:r>
        <w:rPr>
          <w:color w:val="000000" w:themeColor="text1"/>
          <w:lang w:val="en-CA"/>
        </w:rPr>
        <w:t xml:space="preserve"> April 2017. The interviews were conducted at the place and time of physicians’ choice. Four of the interviews were </w:t>
      </w:r>
      <w:r w:rsidR="0042742E">
        <w:rPr>
          <w:color w:val="000000" w:themeColor="text1"/>
          <w:lang w:val="en-CA"/>
        </w:rPr>
        <w:t>recorded at</w:t>
      </w:r>
      <w:r>
        <w:rPr>
          <w:color w:val="000000" w:themeColor="text1"/>
          <w:lang w:val="en-CA"/>
        </w:rPr>
        <w:t xml:space="preserve"> physician’s clinic and one of the interviews </w:t>
      </w:r>
      <w:r w:rsidR="0042742E">
        <w:rPr>
          <w:color w:val="000000" w:themeColor="text1"/>
          <w:lang w:val="en-CA"/>
        </w:rPr>
        <w:t>took place</w:t>
      </w:r>
      <w:r>
        <w:rPr>
          <w:color w:val="000000" w:themeColor="text1"/>
          <w:lang w:val="en-CA"/>
        </w:rPr>
        <w:t xml:space="preserve"> at a physician’s home. Only the physician and the researcher were present at the time of the interview. Privacy was maintained at all times.</w:t>
      </w:r>
    </w:p>
    <w:p w:rsidR="00AA3D25" w:rsidRDefault="005C6640" w:rsidP="00DD3744">
      <w:pPr>
        <w:pStyle w:val="Heading2"/>
      </w:pPr>
      <w:bookmarkStart w:id="396" w:name="_Toc533852525"/>
      <w:r>
        <w:t>Participants Characteristics</w:t>
      </w:r>
      <w:bookmarkEnd w:id="396"/>
    </w:p>
    <w:p w:rsidR="00AA3D25" w:rsidRDefault="0042742E" w:rsidP="00DD3744">
      <w:pPr>
        <w:spacing w:line="480" w:lineRule="auto"/>
        <w:rPr>
          <w:color w:val="000000" w:themeColor="text1"/>
          <w:lang w:val="en-CA"/>
        </w:rPr>
      </w:pPr>
      <w:r>
        <w:rPr>
          <w:color w:val="000000" w:themeColor="text1"/>
          <w:lang w:val="en-CA"/>
        </w:rPr>
        <w:t xml:space="preserve"> </w:t>
      </w:r>
      <w:r>
        <w:rPr>
          <w:color w:val="000000" w:themeColor="text1"/>
          <w:lang w:val="en-CA"/>
        </w:rPr>
        <w:tab/>
        <w:t>My sample consisted of</w:t>
      </w:r>
      <w:r w:rsidR="005C6640">
        <w:rPr>
          <w:color w:val="000000" w:themeColor="text1"/>
          <w:lang w:val="en-CA"/>
        </w:rPr>
        <w:t xml:space="preserve"> five physicians, </w:t>
      </w:r>
      <w:r>
        <w:rPr>
          <w:color w:val="000000" w:themeColor="text1"/>
          <w:lang w:val="en-CA"/>
        </w:rPr>
        <w:t>two</w:t>
      </w:r>
      <w:r w:rsidR="005C6640">
        <w:rPr>
          <w:color w:val="000000" w:themeColor="text1"/>
          <w:lang w:val="en-CA"/>
        </w:rPr>
        <w:t xml:space="preserve"> males and </w:t>
      </w:r>
      <w:r>
        <w:rPr>
          <w:color w:val="000000" w:themeColor="text1"/>
          <w:lang w:val="en-CA"/>
        </w:rPr>
        <w:t>three</w:t>
      </w:r>
      <w:r w:rsidR="005C6640">
        <w:rPr>
          <w:color w:val="000000" w:themeColor="text1"/>
          <w:lang w:val="en-CA"/>
        </w:rPr>
        <w:t xml:space="preserve"> females. Four were working under the fee for service (FFS) model in the clinic and 1 worked at an Access Center. All </w:t>
      </w:r>
      <w:r>
        <w:rPr>
          <w:color w:val="000000" w:themeColor="text1"/>
          <w:lang w:val="en-CA"/>
        </w:rPr>
        <w:t>five</w:t>
      </w:r>
      <w:r w:rsidR="005C6640">
        <w:rPr>
          <w:color w:val="000000" w:themeColor="text1"/>
          <w:lang w:val="en-CA"/>
        </w:rPr>
        <w:t xml:space="preserve"> physicians were working in Winnipeg and had registered and walk-in patients. Four were internationally tr</w:t>
      </w:r>
      <w:r>
        <w:rPr>
          <w:color w:val="000000" w:themeColor="text1"/>
          <w:lang w:val="en-CA"/>
        </w:rPr>
        <w:t xml:space="preserve">ained medical graduates and </w:t>
      </w:r>
      <w:r w:rsidR="005C6640">
        <w:rPr>
          <w:color w:val="000000" w:themeColor="text1"/>
          <w:lang w:val="en-CA"/>
        </w:rPr>
        <w:t>trained in Canada as resid</w:t>
      </w:r>
      <w:r>
        <w:rPr>
          <w:color w:val="000000" w:themeColor="text1"/>
          <w:lang w:val="en-CA"/>
        </w:rPr>
        <w:t xml:space="preserve">ents. One of the physicians </w:t>
      </w:r>
      <w:r w:rsidR="005C6640">
        <w:rPr>
          <w:color w:val="000000" w:themeColor="text1"/>
          <w:lang w:val="en-CA"/>
        </w:rPr>
        <w:t xml:space="preserve">trained </w:t>
      </w:r>
      <w:r>
        <w:rPr>
          <w:color w:val="000000" w:themeColor="text1"/>
          <w:lang w:val="en-CA"/>
        </w:rPr>
        <w:t>at</w:t>
      </w:r>
      <w:r w:rsidR="005C6640">
        <w:rPr>
          <w:color w:val="000000" w:themeColor="text1"/>
          <w:lang w:val="en-CA"/>
        </w:rPr>
        <w:t xml:space="preserve"> a medical school in Canada. </w:t>
      </w:r>
      <w:r>
        <w:rPr>
          <w:color w:val="000000" w:themeColor="text1"/>
          <w:lang w:val="en-CA"/>
        </w:rPr>
        <w:t>The remaining</w:t>
      </w:r>
      <w:r w:rsidR="005C6640">
        <w:rPr>
          <w:color w:val="000000" w:themeColor="text1"/>
          <w:lang w:val="en-CA"/>
        </w:rPr>
        <w:t xml:space="preserve"> four physicians had undergraduate training from different countries. However, their </w:t>
      </w:r>
      <w:r>
        <w:rPr>
          <w:color w:val="000000" w:themeColor="text1"/>
          <w:lang w:val="en-CA"/>
        </w:rPr>
        <w:t>postgraduate</w:t>
      </w:r>
      <w:r w:rsidR="005C6640">
        <w:rPr>
          <w:color w:val="000000" w:themeColor="text1"/>
          <w:lang w:val="en-CA"/>
        </w:rPr>
        <w:t xml:space="preserve"> training was in Winnipeg, Canada. They </w:t>
      </w:r>
      <w:r>
        <w:rPr>
          <w:color w:val="000000" w:themeColor="text1"/>
          <w:lang w:val="en-CA"/>
        </w:rPr>
        <w:t>visited</w:t>
      </w:r>
      <w:r w:rsidR="005C6640">
        <w:rPr>
          <w:color w:val="000000" w:themeColor="text1"/>
          <w:lang w:val="en-CA"/>
        </w:rPr>
        <w:t xml:space="preserve"> visit reserves and other cities </w:t>
      </w:r>
      <w:r w:rsidR="00E054A9">
        <w:rPr>
          <w:color w:val="000000" w:themeColor="text1"/>
          <w:lang w:val="en-CA"/>
        </w:rPr>
        <w:t>such as</w:t>
      </w:r>
      <w:r w:rsidR="005C6640">
        <w:rPr>
          <w:color w:val="000000" w:themeColor="text1"/>
          <w:lang w:val="en-CA"/>
        </w:rPr>
        <w:t xml:space="preserve"> Thompson for a few of their rotations. Having trained in different countries gave them a unique perspective </w:t>
      </w:r>
      <w:r w:rsidR="00E054A9">
        <w:rPr>
          <w:color w:val="000000" w:themeColor="text1"/>
          <w:lang w:val="en-CA"/>
        </w:rPr>
        <w:t>along with</w:t>
      </w:r>
      <w:r w:rsidR="005C6640">
        <w:rPr>
          <w:color w:val="000000" w:themeColor="text1"/>
          <w:lang w:val="en-CA"/>
        </w:rPr>
        <w:t xml:space="preserve"> later </w:t>
      </w:r>
      <w:r w:rsidR="00E054A9">
        <w:rPr>
          <w:color w:val="000000" w:themeColor="text1"/>
          <w:lang w:val="en-CA"/>
        </w:rPr>
        <w:t xml:space="preserve">training </w:t>
      </w:r>
      <w:r w:rsidR="005C6640">
        <w:rPr>
          <w:color w:val="000000" w:themeColor="text1"/>
          <w:lang w:val="en-CA"/>
        </w:rPr>
        <w:t>in Canadian healthcare set</w:t>
      </w:r>
      <w:r w:rsidR="00E054A9">
        <w:rPr>
          <w:color w:val="000000" w:themeColor="text1"/>
          <w:lang w:val="en-CA"/>
        </w:rPr>
        <w:t>tings</w:t>
      </w:r>
      <w:r w:rsidR="005C6640">
        <w:rPr>
          <w:color w:val="000000" w:themeColor="text1"/>
          <w:lang w:val="en-CA"/>
        </w:rPr>
        <w:t xml:space="preserve"> provided them with knowledge of hands-on complications that one faces in society. All of the physicians interviewed had PWD as patients. They all catered to different nationalities and different areas in Winnipeg.</w:t>
      </w:r>
    </w:p>
    <w:p w:rsidR="00AA3D25" w:rsidRDefault="005C6640" w:rsidP="00DD3744">
      <w:pPr>
        <w:pStyle w:val="Heading2"/>
      </w:pPr>
      <w:bookmarkStart w:id="397" w:name="_Toc533852526"/>
      <w:r>
        <w:t>Themes</w:t>
      </w:r>
      <w:bookmarkEnd w:id="397"/>
    </w:p>
    <w:p w:rsidR="00AA3D25" w:rsidRDefault="005C6640" w:rsidP="00DD3744">
      <w:pPr>
        <w:pStyle w:val="Heading3"/>
      </w:pPr>
      <w:bookmarkStart w:id="398" w:name="_Toc533852527"/>
      <w:r>
        <w:t>Introduction</w:t>
      </w:r>
      <w:bookmarkEnd w:id="398"/>
    </w:p>
    <w:p w:rsidR="00AA3D25" w:rsidRDefault="005C6640" w:rsidP="00DD3744">
      <w:pPr>
        <w:tabs>
          <w:tab w:val="left" w:pos="4067"/>
        </w:tabs>
        <w:spacing w:line="480" w:lineRule="auto"/>
        <w:rPr>
          <w:color w:val="000000" w:themeColor="text1"/>
        </w:rPr>
      </w:pPr>
      <w:r>
        <w:rPr>
          <w:color w:val="000000" w:themeColor="text1"/>
        </w:rPr>
        <w:t xml:space="preserve">       Disability is a fluid term, it can be “</w:t>
      </w:r>
      <w:r>
        <w:rPr>
          <w:rFonts w:eastAsia="Times New Roman"/>
          <w:color w:val="000000" w:themeColor="text1"/>
        </w:rPr>
        <w:t>visible or invisible; temporary or long term; static, episodic, or degenerating; painful or inconsequential,” stated a World Health Report (2011)</w:t>
      </w:r>
      <w:r>
        <w:rPr>
          <w:color w:val="000000" w:themeColor="text1"/>
        </w:rPr>
        <w:t xml:space="preserve">. </w:t>
      </w:r>
      <w:r w:rsidR="00E054A9">
        <w:rPr>
          <w:color w:val="000000" w:themeColor="text1"/>
        </w:rPr>
        <w:lastRenderedPageBreak/>
        <w:t>Di</w:t>
      </w:r>
      <w:r>
        <w:rPr>
          <w:color w:val="000000" w:themeColor="text1"/>
        </w:rPr>
        <w:t>s</w:t>
      </w:r>
      <w:r w:rsidR="00E054A9">
        <w:rPr>
          <w:color w:val="000000" w:themeColor="text1"/>
        </w:rPr>
        <w:t xml:space="preserve">ability is </w:t>
      </w:r>
      <w:r>
        <w:rPr>
          <w:color w:val="000000" w:themeColor="text1"/>
        </w:rPr>
        <w:t xml:space="preserve">commonly categorized into visible </w:t>
      </w:r>
      <w:r w:rsidR="00E054A9">
        <w:rPr>
          <w:color w:val="000000" w:themeColor="text1"/>
        </w:rPr>
        <w:t xml:space="preserve">such as vision mobility or </w:t>
      </w:r>
      <w:r>
        <w:rPr>
          <w:color w:val="000000" w:themeColor="text1"/>
        </w:rPr>
        <w:t xml:space="preserve">impairments, and invisible disabilities such as mental illness or chronic conditions </w:t>
      </w:r>
      <w:r w:rsidR="00E054A9">
        <w:rPr>
          <w:color w:val="000000" w:themeColor="text1"/>
        </w:rPr>
        <w:t>such as</w:t>
      </w:r>
      <w:r>
        <w:rPr>
          <w:color w:val="000000" w:themeColor="text1"/>
        </w:rPr>
        <w:t xml:space="preserve"> chronic fa</w:t>
      </w:r>
      <w:r w:rsidR="00E054A9">
        <w:rPr>
          <w:color w:val="000000" w:themeColor="text1"/>
        </w:rPr>
        <w:t xml:space="preserve">tigue syndrome </w:t>
      </w:r>
      <w:r>
        <w:rPr>
          <w:color w:val="000000" w:themeColor="text1"/>
        </w:rPr>
        <w:t>. Individuals with visible or invisible differences have the same rights as able-bodied peopl</w:t>
      </w:r>
      <w:r w:rsidR="00BE591C">
        <w:rPr>
          <w:color w:val="000000" w:themeColor="text1"/>
        </w:rPr>
        <w:t>e. There is a common misperception that PWD are unable</w:t>
      </w:r>
      <w:r>
        <w:rPr>
          <w:color w:val="000000" w:themeColor="text1"/>
        </w:rPr>
        <w:t xml:space="preserve"> to understand their health problems (</w:t>
      </w:r>
      <w:r>
        <w:rPr>
          <w:lang w:val="en-CA"/>
        </w:rPr>
        <w:t xml:space="preserve">Hansen, 2009) takes away from already minimal understanding of the bodies of disabled people. Impairment is relevant only when it is associated after any injury or accident, otherwise, PWD do not consider any impairment as a limitation as long as it does not come in </w:t>
      </w:r>
      <w:r>
        <w:rPr>
          <w:color w:val="000000" w:themeColor="text1"/>
          <w:lang w:val="en-CA"/>
        </w:rPr>
        <w:t xml:space="preserve">play with an “able-bodied” centered society (Barnes, 2009). Many PWD having lived their whole lives with “disability” consider it “normal.” They understand their </w:t>
      </w:r>
      <w:bookmarkStart w:id="399" w:name="__DdeLink__2664_857931355"/>
      <w:bookmarkEnd w:id="399"/>
      <w:r w:rsidR="00BE591C">
        <w:rPr>
          <w:color w:val="000000" w:themeColor="text1"/>
          <w:lang w:val="en-CA"/>
        </w:rPr>
        <w:t>bodies, the notion of health is exclusive of their disability,</w:t>
      </w:r>
      <w:r>
        <w:rPr>
          <w:color w:val="000000" w:themeColor="text1"/>
          <w:lang w:val="en-CA"/>
        </w:rPr>
        <w:t xml:space="preserve"> and any disability is only relative to a non-disabled person (Barnes, 2009).  The concept of disability is arbitrary and depends on numerous of factors such </w:t>
      </w:r>
      <w:r w:rsidR="00BE591C">
        <w:rPr>
          <w:color w:val="000000" w:themeColor="text1"/>
          <w:lang w:val="en-CA"/>
        </w:rPr>
        <w:t>as</w:t>
      </w:r>
      <w:r>
        <w:rPr>
          <w:color w:val="000000" w:themeColor="text1"/>
          <w:lang w:val="en-CA"/>
        </w:rPr>
        <w:t xml:space="preserve"> one’s own perception, family members, presence of any disabled relative or close friend, and any prior exposure to disability.</w:t>
      </w:r>
    </w:p>
    <w:p w:rsidR="00AA3D25" w:rsidRDefault="005C6640" w:rsidP="00DD3744">
      <w:pPr>
        <w:tabs>
          <w:tab w:val="left" w:pos="4067"/>
        </w:tabs>
        <w:spacing w:line="480" w:lineRule="auto"/>
      </w:pPr>
      <w:r>
        <w:rPr>
          <w:color w:val="000000" w:themeColor="text1"/>
        </w:rPr>
        <w:t xml:space="preserve">         Impairment and disability are usually perceived as substitutable, which only reinforces the common belief in eradication or fixing the “problem” </w:t>
      </w:r>
      <w:r>
        <w:fldChar w:fldCharType="begin"/>
      </w:r>
      <w:r>
        <w:instrText>ADDIN RW.CITE{{279 Barnes,Colin 2012}}</w:instrText>
      </w:r>
      <w:r>
        <w:fldChar w:fldCharType="separate"/>
      </w:r>
      <w:bookmarkStart w:id="400" w:name="__Fieldmark__2115_813835849"/>
      <w:r>
        <w:rPr>
          <w:color w:val="000000" w:themeColor="text1"/>
          <w:lang w:val="en-CA"/>
        </w:rPr>
        <w:t>(</w:t>
      </w:r>
      <w:bookmarkStart w:id="401" w:name="__Fieldmark__2324_1675857893"/>
      <w:r>
        <w:rPr>
          <w:color w:val="000000" w:themeColor="text1"/>
          <w:lang w:val="en-CA"/>
        </w:rPr>
        <w:t>Barnes, 2009)</w:t>
      </w:r>
      <w:r>
        <w:fldChar w:fldCharType="end"/>
      </w:r>
      <w:bookmarkEnd w:id="400"/>
      <w:bookmarkEnd w:id="401"/>
      <w:r>
        <w:rPr>
          <w:color w:val="000000" w:themeColor="text1"/>
        </w:rPr>
        <w:t xml:space="preserve">. It also relieves society from any responsibility for changing the current healthcare setup. </w:t>
      </w:r>
      <w:r>
        <w:rPr>
          <w:rFonts w:eastAsia="Times New Roman"/>
          <w:color w:val="000000" w:themeColor="text1"/>
        </w:rPr>
        <w:t xml:space="preserve">Interviews were interesting, in that they provided a safe space for discussion, as an international medical graduate, I had a unique opportunity to have an insider position. It facilitated an open conversation, which I feel, otherwise would have been a challenge. The focus during the interviews spanned from policies </w:t>
      </w:r>
      <w:r>
        <w:rPr>
          <w:rFonts w:eastAsia="Times New Roman"/>
        </w:rPr>
        <w:t xml:space="preserve">to education and even around the perception of accessibility.  A few of the physicians had a very long candid conversation with me after the interview. From the </w:t>
      </w:r>
      <w:r w:rsidR="00BE591C">
        <w:rPr>
          <w:rFonts w:eastAsia="Times New Roman"/>
        </w:rPr>
        <w:t>outside,</w:t>
      </w:r>
      <w:r>
        <w:rPr>
          <w:rFonts w:eastAsia="Times New Roman"/>
        </w:rPr>
        <w:t xml:space="preserve"> it seems that physicians do believe the system is </w:t>
      </w:r>
      <w:r w:rsidR="00BE591C">
        <w:rPr>
          <w:rFonts w:eastAsia="Times New Roman"/>
        </w:rPr>
        <w:t>well</w:t>
      </w:r>
      <w:r>
        <w:rPr>
          <w:rFonts w:eastAsia="Times New Roman"/>
          <w:color w:val="000000" w:themeColor="text1"/>
        </w:rPr>
        <w:t xml:space="preserve">. Many of the factors they talked about did not seem very different </w:t>
      </w:r>
      <w:r w:rsidR="00BE591C">
        <w:rPr>
          <w:rFonts w:eastAsia="Times New Roman"/>
          <w:color w:val="000000" w:themeColor="text1"/>
        </w:rPr>
        <w:t>from</w:t>
      </w:r>
      <w:r>
        <w:rPr>
          <w:rFonts w:eastAsia="Times New Roman"/>
          <w:color w:val="000000" w:themeColor="text1"/>
        </w:rPr>
        <w:t xml:space="preserve"> what PWD have been </w:t>
      </w:r>
      <w:r w:rsidR="00BE591C">
        <w:rPr>
          <w:rFonts w:eastAsia="Times New Roman"/>
          <w:color w:val="000000" w:themeColor="text1"/>
        </w:rPr>
        <w:t>discussing</w:t>
      </w:r>
      <w:r>
        <w:rPr>
          <w:rFonts w:eastAsia="Times New Roman"/>
          <w:color w:val="000000" w:themeColor="text1"/>
        </w:rPr>
        <w:t xml:space="preserve">. Disability literature noted </w:t>
      </w:r>
      <w:r w:rsidR="00BE591C">
        <w:rPr>
          <w:rFonts w:eastAsia="Times New Roman"/>
          <w:color w:val="000000" w:themeColor="text1"/>
        </w:rPr>
        <w:t xml:space="preserve">a </w:t>
      </w:r>
      <w:r>
        <w:rPr>
          <w:rFonts w:eastAsia="Times New Roman"/>
          <w:color w:val="000000" w:themeColor="text1"/>
        </w:rPr>
        <w:t xml:space="preserve">substandard level of </w:t>
      </w:r>
      <w:r>
        <w:rPr>
          <w:rFonts w:eastAsia="Times New Roman"/>
          <w:color w:val="000000" w:themeColor="text1"/>
        </w:rPr>
        <w:lastRenderedPageBreak/>
        <w:t>healthcare (</w:t>
      </w:r>
      <w:r>
        <w:rPr>
          <w:color w:val="000000" w:themeColor="text1"/>
          <w:lang w:val="en-CA"/>
        </w:rPr>
        <w:t xml:space="preserve">Aulagnier et al., 2005) </w:t>
      </w:r>
      <w:r>
        <w:rPr>
          <w:rFonts w:eastAsia="Calibri"/>
          <w:color w:val="000000" w:themeColor="text1"/>
          <w:lang w:val="en-CA"/>
        </w:rPr>
        <w:t xml:space="preserve">accessibility and attitudes </w:t>
      </w:r>
      <w:r w:rsidR="00BE591C">
        <w:rPr>
          <w:rFonts w:eastAsia="Calibri"/>
          <w:color w:val="000000" w:themeColor="text1"/>
          <w:lang w:val="en-CA"/>
        </w:rPr>
        <w:t>were</w:t>
      </w:r>
      <w:r>
        <w:rPr>
          <w:rFonts w:eastAsia="Calibri"/>
          <w:color w:val="000000" w:themeColor="text1"/>
          <w:lang w:val="en-CA"/>
        </w:rPr>
        <w:t xml:space="preserve"> </w:t>
      </w:r>
      <w:r w:rsidR="00BE591C">
        <w:rPr>
          <w:rFonts w:eastAsia="Calibri"/>
          <w:color w:val="000000" w:themeColor="text1"/>
          <w:lang w:val="en-CA"/>
        </w:rPr>
        <w:t>singled out</w:t>
      </w:r>
      <w:r>
        <w:rPr>
          <w:rFonts w:eastAsia="Calibri"/>
          <w:color w:val="000000" w:themeColor="text1"/>
          <w:lang w:val="en-CA"/>
        </w:rPr>
        <w:t xml:space="preserve"> as two of the most important barriers </w:t>
      </w:r>
      <w:r>
        <w:fldChar w:fldCharType="begin"/>
      </w:r>
      <w:r>
        <w:instrText>ADDIN RW.CITE{{305 Shakespeare,Tom 1997}}</w:instrText>
      </w:r>
      <w:r>
        <w:fldChar w:fldCharType="separate"/>
      </w:r>
      <w:bookmarkStart w:id="402" w:name="__Fieldmark__2127_813835849"/>
      <w:r>
        <w:rPr>
          <w:rFonts w:eastAsia="Calibri"/>
          <w:color w:val="000000" w:themeColor="text1"/>
          <w:lang w:val="en-CA"/>
        </w:rPr>
        <w:t>(</w:t>
      </w:r>
      <w:bookmarkStart w:id="403" w:name="__Fieldmark__2344_1675857893"/>
      <w:r>
        <w:rPr>
          <w:rFonts w:eastAsia="Calibri"/>
          <w:color w:val="000000" w:themeColor="text1"/>
          <w:lang w:val="en-CA"/>
        </w:rPr>
        <w:t>S</w:t>
      </w:r>
      <w:bookmarkStart w:id="404" w:name="__Fieldmark__1804_857931355"/>
      <w:r>
        <w:rPr>
          <w:rFonts w:eastAsia="Calibri"/>
          <w:color w:val="000000" w:themeColor="text1"/>
          <w:lang w:val="en-CA"/>
        </w:rPr>
        <w:t>hakespeare &amp; Watson, 1997)</w:t>
      </w:r>
      <w:r>
        <w:fldChar w:fldCharType="end"/>
      </w:r>
      <w:bookmarkEnd w:id="402"/>
      <w:bookmarkEnd w:id="403"/>
      <w:bookmarkEnd w:id="404"/>
      <w:r>
        <w:rPr>
          <w:rFonts w:eastAsia="Calibri"/>
          <w:color w:val="000000" w:themeColor="text1"/>
          <w:lang w:val="en-CA"/>
        </w:rPr>
        <w:t>. Much of the time physicians also talked about accessibility, attitudes and resources in the society.</w:t>
      </w:r>
    </w:p>
    <w:p w:rsidR="00AA3D25" w:rsidRPr="00BD424E" w:rsidRDefault="005C6640" w:rsidP="00DD3744">
      <w:pPr>
        <w:spacing w:line="480" w:lineRule="auto"/>
        <w:ind w:firstLine="720"/>
      </w:pPr>
      <w:r>
        <w:rPr>
          <w:rFonts w:eastAsia="Times New Roman"/>
          <w:color w:val="000000" w:themeColor="text1"/>
        </w:rPr>
        <w:t xml:space="preserve">  </w:t>
      </w:r>
      <w:r>
        <w:rPr>
          <w:color w:val="000000" w:themeColor="text1"/>
        </w:rPr>
        <w:t xml:space="preserve">Knowing physicians’ perspectives and using it as a guiding model for future research and evaluating appropriate outcomes would help produce meaningful evidence. </w:t>
      </w:r>
      <w:r>
        <w:rPr>
          <w:rFonts w:eastAsia="Times New Roman"/>
        </w:rPr>
        <w:t xml:space="preserve">I found all the physicians to be co-operative and friendly. I do feel, however, they felt they were talking to “one of their </w:t>
      </w:r>
      <w:r w:rsidR="00BE591C">
        <w:rPr>
          <w:rFonts w:eastAsia="Times New Roman"/>
        </w:rPr>
        <w:t>own</w:t>
      </w:r>
      <w:r>
        <w:rPr>
          <w:rFonts w:eastAsia="Times New Roman"/>
        </w:rPr>
        <w:t>,” so as an insider they were not hesitant while talkin</w:t>
      </w:r>
      <w:r w:rsidR="00BD424E">
        <w:rPr>
          <w:rFonts w:eastAsia="Times New Roman"/>
        </w:rPr>
        <w:t>g about disability or policies. F</w:t>
      </w:r>
      <w:r>
        <w:rPr>
          <w:rFonts w:eastAsia="Times New Roman"/>
        </w:rPr>
        <w:t xml:space="preserve">ive </w:t>
      </w:r>
      <w:r w:rsidR="00BE591C">
        <w:rPr>
          <w:rFonts w:eastAsia="Times New Roman"/>
        </w:rPr>
        <w:t>themes (as shown in Fig.2) themes</w:t>
      </w:r>
      <w:r w:rsidR="00BD424E">
        <w:rPr>
          <w:rFonts w:eastAsia="Times New Roman"/>
        </w:rPr>
        <w:t xml:space="preserve"> emerged from the</w:t>
      </w:r>
      <w:r w:rsidR="00BE591C">
        <w:rPr>
          <w:rFonts w:eastAsia="Times New Roman"/>
        </w:rPr>
        <w:t xml:space="preserve"> </w:t>
      </w:r>
      <w:r>
        <w:rPr>
          <w:rFonts w:eastAsia="Times New Roman"/>
        </w:rPr>
        <w:t>interviews: accessibility, training, policies, resources and time remuner</w:t>
      </w:r>
      <w:r w:rsidR="00BD424E">
        <w:rPr>
          <w:rFonts w:eastAsia="Times New Roman"/>
        </w:rPr>
        <w:t>ation</w:t>
      </w:r>
      <w:r>
        <w:rPr>
          <w:rFonts w:eastAsia="Times New Roman"/>
        </w:rPr>
        <w:t>. Accessibility and time rem</w:t>
      </w:r>
      <w:r w:rsidR="00BD424E">
        <w:rPr>
          <w:rFonts w:eastAsia="Times New Roman"/>
        </w:rPr>
        <w:t xml:space="preserve">uneration seemed to be popular topics for </w:t>
      </w:r>
      <w:r>
        <w:rPr>
          <w:rFonts w:eastAsia="Times New Roman"/>
        </w:rPr>
        <w:t xml:space="preserve">the physicians </w:t>
      </w:r>
      <w:r w:rsidR="00BD424E">
        <w:rPr>
          <w:rFonts w:eastAsia="Times New Roman"/>
        </w:rPr>
        <w:t>al</w:t>
      </w:r>
      <w:r>
        <w:rPr>
          <w:rFonts w:eastAsia="Times New Roman"/>
        </w:rPr>
        <w:t>though interestingly everyone described accessibility differently.</w:t>
      </w:r>
    </w:p>
    <w:p w:rsidR="00AA3D25" w:rsidRDefault="005C6640" w:rsidP="00DD3744">
      <w:pPr>
        <w:spacing w:line="480" w:lineRule="auto"/>
        <w:jc w:val="center"/>
      </w:pPr>
      <w:r>
        <w:rPr>
          <w:noProof/>
        </w:rPr>
        <w:lastRenderedPageBreak/>
        <w:drawing>
          <wp:inline distT="0" distB="0" distL="0" distR="0" wp14:anchorId="00C07842">
            <wp:extent cx="5633085" cy="4639945"/>
            <wp:effectExtent l="0" t="25400" r="0" b="33655"/>
            <wp:docPr id="2" name="Diagram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rsidR="00AA3D25" w:rsidRDefault="005C6640" w:rsidP="00DD3744">
      <w:pPr>
        <w:spacing w:line="480" w:lineRule="auto"/>
        <w:jc w:val="center"/>
      </w:pPr>
      <w:r>
        <w:t xml:space="preserve">Fig 2: Fig. Different themes that emerged during the interviews </w:t>
      </w:r>
    </w:p>
    <w:p w:rsidR="00AA3D25" w:rsidRDefault="005C6640" w:rsidP="00DD3744">
      <w:pPr>
        <w:spacing w:line="480" w:lineRule="auto"/>
        <w:rPr>
          <w:b/>
          <w:bCs/>
          <w:color w:val="000000"/>
        </w:rPr>
      </w:pPr>
      <w:r>
        <w:br w:type="page"/>
      </w:r>
    </w:p>
    <w:p w:rsidR="00AA3D25" w:rsidRDefault="005C6640" w:rsidP="00DD3744">
      <w:pPr>
        <w:pStyle w:val="Heading3"/>
      </w:pPr>
      <w:bookmarkStart w:id="405" w:name="_Toc533852528"/>
      <w:r>
        <w:lastRenderedPageBreak/>
        <w:t>Training</w:t>
      </w:r>
      <w:bookmarkEnd w:id="405"/>
    </w:p>
    <w:p w:rsidR="00AA3D25" w:rsidRDefault="00AA3D25" w:rsidP="00DD3744">
      <w:pPr>
        <w:spacing w:line="480" w:lineRule="auto"/>
        <w:jc w:val="center"/>
        <w:rPr>
          <w:b/>
          <w:bCs/>
          <w:color w:val="000000"/>
        </w:rPr>
      </w:pPr>
    </w:p>
    <w:p w:rsidR="00AA3D25" w:rsidRDefault="005C6640" w:rsidP="00DD3744">
      <w:pPr>
        <w:spacing w:line="480" w:lineRule="auto"/>
        <w:ind w:firstLine="510"/>
      </w:pPr>
      <w:r>
        <w:rPr>
          <w:color w:val="000000"/>
        </w:rPr>
        <w:t xml:space="preserve">In this chapter, </w:t>
      </w:r>
      <w:r>
        <w:rPr>
          <w:color w:val="000000" w:themeColor="text1"/>
        </w:rPr>
        <w:t>I discuss the medical training physicians receive before starting their practice as an independent physician. Most universities do not have adequate contact for medical students regarding PWD. This results in physicians not feeling comfortable in the real life circumstances when facing disability. Lack of training eventually effected the clinical practice includin</w:t>
      </w:r>
      <w:r w:rsidR="00BD424E">
        <w:rPr>
          <w:color w:val="000000" w:themeColor="text1"/>
        </w:rPr>
        <w:t>g PWD (Lennox et al., 1997). This,</w:t>
      </w:r>
      <w:r>
        <w:rPr>
          <w:color w:val="000000" w:themeColor="text1"/>
        </w:rPr>
        <w:t xml:space="preserve"> </w:t>
      </w:r>
      <w:r w:rsidR="00BD424E">
        <w:rPr>
          <w:color w:val="000000" w:themeColor="text1"/>
        </w:rPr>
        <w:t xml:space="preserve">not only </w:t>
      </w:r>
      <w:r>
        <w:rPr>
          <w:color w:val="000000" w:themeColor="text1"/>
        </w:rPr>
        <w:t>put</w:t>
      </w:r>
      <w:r w:rsidR="00BD424E">
        <w:rPr>
          <w:color w:val="000000" w:themeColor="text1"/>
        </w:rPr>
        <w:t>s</w:t>
      </w:r>
      <w:r>
        <w:rPr>
          <w:color w:val="000000" w:themeColor="text1"/>
        </w:rPr>
        <w:t xml:space="preserve"> physicians in </w:t>
      </w:r>
      <w:r w:rsidR="00BD424E">
        <w:rPr>
          <w:color w:val="000000" w:themeColor="text1"/>
        </w:rPr>
        <w:t xml:space="preserve">a </w:t>
      </w:r>
      <w:r>
        <w:rPr>
          <w:color w:val="000000" w:themeColor="text1"/>
        </w:rPr>
        <w:t xml:space="preserve">position </w:t>
      </w:r>
      <w:r w:rsidR="00BD424E">
        <w:rPr>
          <w:color w:val="000000" w:themeColor="text1"/>
        </w:rPr>
        <w:t>for which they are untrained;</w:t>
      </w:r>
      <w:r>
        <w:rPr>
          <w:color w:val="000000" w:themeColor="text1"/>
        </w:rPr>
        <w:t xml:space="preserve"> it also puts PWD health in jeopardy. There is a gap when it comes to front-line reality of clinical </w:t>
      </w:r>
      <w:r>
        <w:rPr>
          <w:color w:val="000000"/>
        </w:rPr>
        <w:t xml:space="preserve">setup, which can only be fulfilled by further training of healthcare providers </w:t>
      </w:r>
      <w:r>
        <w:fldChar w:fldCharType="begin"/>
      </w:r>
      <w:r>
        <w:instrText>ADDIN RW.CITE{{276 Mudrick,NancyR 2012}}</w:instrText>
      </w:r>
      <w:r>
        <w:fldChar w:fldCharType="separate"/>
      </w:r>
      <w:bookmarkStart w:id="406" w:name="__Fieldmark__2153_813835849"/>
      <w:r>
        <w:rPr>
          <w:color w:val="000000"/>
          <w:lang w:val="en-CA"/>
        </w:rPr>
        <w:t>(</w:t>
      </w:r>
      <w:bookmarkStart w:id="407" w:name="__Fieldmark__2400_1675857893"/>
      <w:r>
        <w:rPr>
          <w:color w:val="000000"/>
          <w:lang w:val="en-CA"/>
        </w:rPr>
        <w:t>Mudrick et al., 2012)</w:t>
      </w:r>
      <w:r>
        <w:fldChar w:fldCharType="end"/>
      </w:r>
      <w:bookmarkEnd w:id="406"/>
      <w:bookmarkEnd w:id="407"/>
      <w:r>
        <w:t xml:space="preserve">. </w:t>
      </w:r>
    </w:p>
    <w:p w:rsidR="00AA3D25" w:rsidRDefault="005C6640" w:rsidP="00DD3744">
      <w:pPr>
        <w:spacing w:line="480" w:lineRule="auto"/>
        <w:ind w:left="510" w:right="964"/>
        <w:rPr>
          <w:color w:val="000000"/>
        </w:rPr>
      </w:pPr>
      <w:r>
        <w:rPr>
          <w:rFonts w:eastAsia="Times New Roman"/>
          <w:color w:val="000000"/>
        </w:rPr>
        <w:t>“</w:t>
      </w:r>
      <w:r>
        <w:rPr>
          <w:color w:val="000000"/>
        </w:rPr>
        <w:t>The role of education is very important,” mentioned a physician in the interview, “every procedure, every guideline and protocol, makes things easier and clearer. It would have been easy if we would have been trained and it would have streamlined …. everything. Physicians</w:t>
      </w:r>
      <w:r w:rsidR="000F588A">
        <w:rPr>
          <w:color w:val="000000"/>
        </w:rPr>
        <w:t xml:space="preserve"> </w:t>
      </w:r>
      <w:r>
        <w:rPr>
          <w:color w:val="000000"/>
        </w:rPr>
        <w:t xml:space="preserve"> should be prepared to interact with any type of person and disability at any point of time.” </w:t>
      </w:r>
    </w:p>
    <w:p w:rsidR="00AA3D25" w:rsidRDefault="000F588A" w:rsidP="00DD3744">
      <w:pPr>
        <w:spacing w:line="480" w:lineRule="auto"/>
        <w:ind w:firstLine="510"/>
        <w:rPr>
          <w:color w:val="000000"/>
        </w:rPr>
      </w:pPr>
      <w:r>
        <w:rPr>
          <w:color w:val="000000"/>
        </w:rPr>
        <w:t xml:space="preserve">One of the physicians </w:t>
      </w:r>
      <w:r w:rsidR="005C6640">
        <w:rPr>
          <w:color w:val="000000"/>
        </w:rPr>
        <w:t>trained</w:t>
      </w:r>
      <w:r>
        <w:rPr>
          <w:color w:val="000000"/>
        </w:rPr>
        <w:t xml:space="preserve"> internationally pointed out similarities</w:t>
      </w:r>
      <w:r w:rsidR="005C6640">
        <w:rPr>
          <w:color w:val="000000"/>
        </w:rPr>
        <w:t xml:space="preserve"> between the country she wa</w:t>
      </w:r>
      <w:r>
        <w:rPr>
          <w:color w:val="000000"/>
        </w:rPr>
        <w:t>s trained in</w:t>
      </w:r>
      <w:r w:rsidR="005C6640">
        <w:rPr>
          <w:color w:val="000000"/>
        </w:rPr>
        <w:t xml:space="preserve"> and working in Canada and the lack of any training in either country:</w:t>
      </w:r>
    </w:p>
    <w:p w:rsidR="00AA3D25" w:rsidRDefault="005C6640" w:rsidP="00DD3744">
      <w:pPr>
        <w:spacing w:line="480" w:lineRule="auto"/>
        <w:ind w:left="510" w:right="1020"/>
      </w:pPr>
      <w:r>
        <w:rPr>
          <w:rFonts w:eastAsia="Times New Roman"/>
          <w:color w:val="000000"/>
        </w:rPr>
        <w:t xml:space="preserve"> “</w:t>
      </w:r>
      <w:r>
        <w:rPr>
          <w:color w:val="000000"/>
        </w:rPr>
        <w:t>They teach you a little in the orientation that takes place before the residency but the system here is very different than back home…I started working up north …and then I returned after two years. I did not get any training here or back home about disabilities and I think it would have really helped in actual clinic while dealing with patients.</w:t>
      </w:r>
    </w:p>
    <w:p w:rsidR="00AA3D25" w:rsidRDefault="00AA3D25" w:rsidP="00DD3744">
      <w:pPr>
        <w:spacing w:line="480" w:lineRule="auto"/>
        <w:ind w:left="510" w:right="964"/>
        <w:rPr>
          <w:color w:val="000000"/>
        </w:rPr>
      </w:pPr>
    </w:p>
    <w:p w:rsidR="00AA3D25" w:rsidRDefault="005C6640" w:rsidP="00DD3744">
      <w:pPr>
        <w:spacing w:line="480" w:lineRule="auto"/>
        <w:ind w:firstLine="510"/>
      </w:pPr>
      <w:r>
        <w:rPr>
          <w:color w:val="000000"/>
        </w:rPr>
        <w:lastRenderedPageBreak/>
        <w:t>The idea that disability warrants some kind of “fixing” results in needless medical procedures and treatments. To compensate for it physicians prescribe unnecessary medications. It is evident</w:t>
      </w:r>
      <w:r w:rsidR="000F588A">
        <w:rPr>
          <w:color w:val="000000"/>
        </w:rPr>
        <w:t xml:space="preserve"> in the literature that many</w:t>
      </w:r>
      <w:r>
        <w:rPr>
          <w:color w:val="000000"/>
        </w:rPr>
        <w:t xml:space="preserve"> behavioral issues are unnecessarily medicated (</w:t>
      </w:r>
      <w:r>
        <w:rPr>
          <w:lang w:val="en-CA"/>
        </w:rPr>
        <w:t>Dovey &amp; Webb, 2000</w:t>
      </w:r>
      <w:r>
        <w:rPr>
          <w:b/>
          <w:lang w:val="en-CA"/>
        </w:rPr>
        <w:t xml:space="preserve">). </w:t>
      </w:r>
      <w:r>
        <w:rPr>
          <w:b/>
          <w:color w:val="000000"/>
        </w:rPr>
        <w:t xml:space="preserve"> </w:t>
      </w:r>
      <w:r>
        <w:rPr>
          <w:color w:val="000000"/>
        </w:rPr>
        <w:t xml:space="preserve">This dynamic leaves a lot on physicians’ judgment and time available. </w:t>
      </w:r>
      <w:r>
        <w:rPr>
          <w:rFonts w:eastAsia="Times New Roman"/>
          <w:color w:val="000000"/>
        </w:rPr>
        <w:t xml:space="preserve">PWD does not necessarily need different medicine or different kind of management. However, it is important to see their disability as a part of their being and not just a deficit in comparison to “normal” body. Health for PWD goes beyond their disability.  Sensitivity training would make a significant difference. </w:t>
      </w:r>
    </w:p>
    <w:p w:rsidR="00AA3D25" w:rsidRDefault="005C6640" w:rsidP="00DD3744">
      <w:pPr>
        <w:spacing w:line="480" w:lineRule="auto"/>
        <w:ind w:firstLine="510"/>
      </w:pPr>
      <w:r>
        <w:rPr>
          <w:rFonts w:eastAsia="Times New Roman"/>
          <w:color w:val="000000"/>
        </w:rPr>
        <w:t xml:space="preserve">Ideas regarding disability vary from culture to culture and have varied over time </w:t>
      </w:r>
      <w:r>
        <w:fldChar w:fldCharType="begin"/>
      </w:r>
      <w:r>
        <w:instrText>ADDIN RW.CITE{{279 Barnes,Colin 2012}}</w:instrText>
      </w:r>
      <w:r>
        <w:fldChar w:fldCharType="separate"/>
      </w:r>
      <w:bookmarkStart w:id="408" w:name="__Fieldmark__2173_813835849"/>
      <w:r>
        <w:rPr>
          <w:rFonts w:eastAsia="Times New Roman"/>
          <w:color w:val="000000"/>
          <w:lang w:val="en-CA"/>
        </w:rPr>
        <w:t>(</w:t>
      </w:r>
      <w:bookmarkStart w:id="409" w:name="__Fieldmark__2454_1675857893"/>
      <w:r>
        <w:rPr>
          <w:rFonts w:eastAsia="Times New Roman"/>
          <w:color w:val="000000"/>
          <w:lang w:val="en-CA"/>
        </w:rPr>
        <w:t>Barnes, 2009)</w:t>
      </w:r>
      <w:r>
        <w:fldChar w:fldCharType="end"/>
      </w:r>
      <w:bookmarkEnd w:id="408"/>
      <w:bookmarkEnd w:id="409"/>
      <w:r>
        <w:t xml:space="preserve">. It is important for the physician to understand different cultures and be culturally sensitive. It is fundamentally important to ensure full understanding of the situation rather than an assuming about one’s perception about disability and level of comfort a PWD might have with any procedure or management. The easier solution would have been either being trained involving PWD or just asking them questions about their comfort level. </w:t>
      </w:r>
      <w:r>
        <w:rPr>
          <w:rFonts w:eastAsia="Times New Roman"/>
          <w:color w:val="000000"/>
        </w:rPr>
        <w:t>Ignoring the obvious or overcompensating for the lack of knowledge just create more distance and results in distrust and poor health outcomes. Not a lot of physicians feel comfortable asking questions about PWD. Some of the responses were as follows:</w:t>
      </w:r>
    </w:p>
    <w:p w:rsidR="00AA3D25" w:rsidRDefault="005C6640" w:rsidP="00DD3744">
      <w:pPr>
        <w:spacing w:line="480" w:lineRule="auto"/>
        <w:ind w:left="510" w:right="1644"/>
        <w:rPr>
          <w:color w:val="000000"/>
        </w:rPr>
      </w:pPr>
      <w:r>
        <w:rPr>
          <w:color w:val="000000"/>
        </w:rPr>
        <w:t>“We know the disease and how to manage it, sometimes we do not know if we need to ask some questions about the disability or leave out some tests.”</w:t>
      </w:r>
    </w:p>
    <w:p w:rsidR="00AA3D25" w:rsidRDefault="005C6640" w:rsidP="00DD3744">
      <w:pPr>
        <w:spacing w:line="480" w:lineRule="auto"/>
        <w:ind w:left="510" w:right="1644"/>
        <w:rPr>
          <w:color w:val="000000"/>
        </w:rPr>
      </w:pPr>
      <w:r>
        <w:rPr>
          <w:color w:val="000000"/>
        </w:rPr>
        <w:t>“It is hard to have PWD, a lot of the time I keep thinking if I should talk to the patient or the caregiver. Also, I am scared of offending them. That might create bad reputation for myself.”</w:t>
      </w:r>
    </w:p>
    <w:p w:rsidR="00AA3D25" w:rsidRDefault="005C6640" w:rsidP="00DD3744">
      <w:pPr>
        <w:spacing w:line="480" w:lineRule="auto"/>
        <w:ind w:firstLine="510"/>
      </w:pPr>
      <w:r>
        <w:lastRenderedPageBreak/>
        <w:t xml:space="preserve">This mistrust also stems in not believing that PWD can lead a contented and admirable life. </w:t>
      </w:r>
      <w:r>
        <w:rPr>
          <w:color w:val="000000"/>
        </w:rPr>
        <w:t>Physicians, when asked, graded the quality of life of PWD lower than PWD themselves, even the family members graded it lower than patient.  (</w:t>
      </w:r>
      <w:r>
        <w:t xml:space="preserve">Nolan, R., Luther, B., Young, P., &amp; Murphy, N. A., 2014). </w:t>
      </w:r>
      <w:r>
        <w:rPr>
          <w:color w:val="000000"/>
        </w:rPr>
        <w:t xml:space="preserve">Lack of education deters physicians from giving the same quality of care as the people without disability </w:t>
      </w:r>
      <w:r>
        <w:fldChar w:fldCharType="begin"/>
      </w:r>
      <w:r>
        <w:instrText>ADDIN RW.CITE{{276 Mudrick,NancyR 2012}}</w:instrText>
      </w:r>
      <w:r>
        <w:fldChar w:fldCharType="separate"/>
      </w:r>
      <w:bookmarkStart w:id="410" w:name="__Fieldmark__2190_813835849"/>
      <w:r>
        <w:rPr>
          <w:color w:val="000000"/>
          <w:lang w:val="en-CA"/>
        </w:rPr>
        <w:t>(</w:t>
      </w:r>
      <w:bookmarkStart w:id="411" w:name="__Fieldmark__2478_1675857893"/>
      <w:r>
        <w:rPr>
          <w:color w:val="000000"/>
          <w:lang w:val="en-CA"/>
        </w:rPr>
        <w:t>Mudrick et al., 2012)</w:t>
      </w:r>
      <w:r>
        <w:fldChar w:fldCharType="end"/>
      </w:r>
      <w:bookmarkEnd w:id="410"/>
      <w:bookmarkEnd w:id="411"/>
      <w:r>
        <w:t xml:space="preserve"> </w:t>
      </w:r>
      <w:r>
        <w:rPr>
          <w:color w:val="000000"/>
        </w:rPr>
        <w:t>and often the only hope for physicians is to learn with time:</w:t>
      </w:r>
    </w:p>
    <w:p w:rsidR="00AA3D25" w:rsidRDefault="005C6640" w:rsidP="00DD3744">
      <w:pPr>
        <w:spacing w:line="480" w:lineRule="auto"/>
        <w:ind w:left="567" w:right="1020"/>
        <w:rPr>
          <w:rFonts w:eastAsia="Times New Roman"/>
        </w:rPr>
      </w:pPr>
      <w:r>
        <w:rPr>
          <w:rFonts w:eastAsia="Times New Roman"/>
          <w:color w:val="000000"/>
        </w:rPr>
        <w:t xml:space="preserve"> “</w:t>
      </w:r>
      <w:r>
        <w:rPr>
          <w:color w:val="000000"/>
        </w:rPr>
        <w:t>We were not educated about attitudes and behaviours and the impact it might have, but we learned with time. It would have been helpful having some guidance before or after the training.”</w:t>
      </w:r>
    </w:p>
    <w:p w:rsidR="00AA3D25" w:rsidRDefault="005C6640" w:rsidP="00DD3744">
      <w:pPr>
        <w:spacing w:line="480" w:lineRule="auto"/>
        <w:jc w:val="both"/>
      </w:pPr>
      <w:r>
        <w:rPr>
          <w:color w:val="000000"/>
        </w:rPr>
        <w:tab/>
        <w:t xml:space="preserve">Focusing only on physical design of the building is not enough. Training </w:t>
      </w:r>
      <w:r w:rsidR="000F588A">
        <w:rPr>
          <w:color w:val="000000"/>
        </w:rPr>
        <w:t>concerning predominant</w:t>
      </w:r>
      <w:r>
        <w:rPr>
          <w:color w:val="000000"/>
        </w:rPr>
        <w:t xml:space="preserve"> attitudes toward disability and stereotyping is also needed </w:t>
      </w:r>
      <w:r>
        <w:fldChar w:fldCharType="begin"/>
      </w:r>
      <w:r>
        <w:instrText>ADDIN RW.CITE{{276 Mudrick,NancyR 2012}}</w:instrText>
      </w:r>
      <w:r>
        <w:fldChar w:fldCharType="separate"/>
      </w:r>
      <w:bookmarkStart w:id="412" w:name="__Fieldmark__2203_813835849"/>
      <w:r>
        <w:rPr>
          <w:color w:val="000000"/>
          <w:lang w:val="en-CA"/>
        </w:rPr>
        <w:t>(</w:t>
      </w:r>
      <w:bookmarkStart w:id="413" w:name="__Fieldmark__2491_1675857893"/>
      <w:r>
        <w:rPr>
          <w:color w:val="000000"/>
          <w:lang w:val="en-CA"/>
        </w:rPr>
        <w:t>Mudrick et al., 2012)</w:t>
      </w:r>
      <w:r>
        <w:fldChar w:fldCharType="end"/>
      </w:r>
      <w:bookmarkEnd w:id="412"/>
      <w:bookmarkEnd w:id="413"/>
      <w:r>
        <w:t xml:space="preserve">. </w:t>
      </w:r>
      <w:r>
        <w:rPr>
          <w:color w:val="000000"/>
        </w:rPr>
        <w:t xml:space="preserve">Another participant mentioned continuing medical education classes after the graduation in addition to free seminars: </w:t>
      </w:r>
    </w:p>
    <w:p w:rsidR="00AA3D25" w:rsidRDefault="005C6640" w:rsidP="00DD3744">
      <w:pPr>
        <w:spacing w:line="480" w:lineRule="auto"/>
        <w:ind w:left="510" w:right="1644"/>
        <w:jc w:val="both"/>
        <w:rPr>
          <w:color w:val="000000"/>
        </w:rPr>
      </w:pPr>
      <w:r>
        <w:rPr>
          <w:rFonts w:eastAsia="Times New Roman"/>
          <w:color w:val="000000"/>
        </w:rPr>
        <w:t>“</w:t>
      </w:r>
      <w:r>
        <w:rPr>
          <w:color w:val="000000"/>
        </w:rPr>
        <w:t>No, we were not properly trained and it is different when we step into real practice to know the right way to deal with people having disability. Having more education and training centered around disability would have helped and can help, if Government of Manitoba provides free training classes.”</w:t>
      </w:r>
    </w:p>
    <w:p w:rsidR="00AA3D25" w:rsidRDefault="005C6640" w:rsidP="00DD3744">
      <w:pPr>
        <w:spacing w:line="480" w:lineRule="auto"/>
        <w:ind w:right="907"/>
        <w:jc w:val="both"/>
        <w:rPr>
          <w:color w:val="000000"/>
        </w:rPr>
      </w:pPr>
      <w:r>
        <w:rPr>
          <w:color w:val="000000"/>
        </w:rPr>
        <w:t>However, a physician also added that may be PWD need some kind of training too, she mentioned:</w:t>
      </w:r>
    </w:p>
    <w:p w:rsidR="00AA3D25" w:rsidRDefault="005C6640" w:rsidP="00DD3744">
      <w:pPr>
        <w:spacing w:line="480" w:lineRule="auto"/>
        <w:ind w:left="510" w:right="1644"/>
        <w:jc w:val="both"/>
        <w:rPr>
          <w:color w:val="000000"/>
        </w:rPr>
      </w:pPr>
      <w:r>
        <w:rPr>
          <w:color w:val="000000"/>
        </w:rPr>
        <w:t>“PWD, sometimes, assumes that they are rushed or they are treated differently but that is not true, people who do not have any disability are treated the same way too. Mostly, we do not have a lot of time for every individual, regardless of any kind of disability.”</w:t>
      </w:r>
    </w:p>
    <w:p w:rsidR="00AA3D25" w:rsidRDefault="005C6640" w:rsidP="00DD3744">
      <w:pPr>
        <w:pStyle w:val="Heading5"/>
      </w:pPr>
      <w:r>
        <w:lastRenderedPageBreak/>
        <w:t>Discussion</w:t>
      </w:r>
    </w:p>
    <w:p w:rsidR="00AA3D25" w:rsidRDefault="005C6640" w:rsidP="00DD3744">
      <w:pPr>
        <w:spacing w:line="480" w:lineRule="auto"/>
        <w:ind w:left="57" w:right="624" w:firstLine="720"/>
        <w:jc w:val="both"/>
      </w:pPr>
      <w:r>
        <w:rPr>
          <w:color w:val="000000"/>
        </w:rPr>
        <w:t xml:space="preserve">Over time, the curriculum and teaching methods need to be re-evaluated and re-designed according to the situation and the shared space. As the job descriptions of various healthcare service personnel are constantly evolving, so are the expectations of patient-physician interaction. Physicians are expected to have expertise in different areas for a smooth continuation of care. As technology is progressing, there </w:t>
      </w:r>
      <w:r w:rsidR="000F588A">
        <w:rPr>
          <w:color w:val="000000"/>
        </w:rPr>
        <w:t>is greater</w:t>
      </w:r>
      <w:r>
        <w:rPr>
          <w:color w:val="000000"/>
        </w:rPr>
        <w:t xml:space="preserve"> overlap of different cultures and values related to one’s health; global movement has allowed people from all backgrounds to access medical services across the world. This increase in interaction with multicultural patients’ needs to become a key focus area of growth and learning for physicians. </w:t>
      </w:r>
    </w:p>
    <w:p w:rsidR="00AA3D25" w:rsidRDefault="005C6640" w:rsidP="00DD3744">
      <w:pPr>
        <w:spacing w:line="480" w:lineRule="auto"/>
        <w:ind w:firstLine="720"/>
      </w:pPr>
      <w:r>
        <w:rPr>
          <w:color w:val="000000"/>
        </w:rPr>
        <w:t xml:space="preserve">Cultural competence, remarkably, is very different from </w:t>
      </w:r>
      <w:r w:rsidR="000F588A">
        <w:rPr>
          <w:color w:val="000000"/>
        </w:rPr>
        <w:t>textbook</w:t>
      </w:r>
      <w:r>
        <w:rPr>
          <w:color w:val="000000"/>
        </w:rPr>
        <w:t xml:space="preserve"> standardized knowledge that is same all over the world. It factors in the geographical location along with the lifestyles, cultural values and type of </w:t>
      </w:r>
      <w:r w:rsidR="000F588A">
        <w:rPr>
          <w:color w:val="000000"/>
        </w:rPr>
        <w:t xml:space="preserve">population </w:t>
      </w:r>
      <w:r>
        <w:fldChar w:fldCharType="begin"/>
      </w:r>
      <w:r>
        <w:instrText>ADDIN RW.CITE{{279 Barnes,Colin 2012}}</w:instrText>
      </w:r>
      <w:r>
        <w:fldChar w:fldCharType="separate"/>
      </w:r>
      <w:bookmarkStart w:id="414" w:name="__Fieldmark__2220_813835849"/>
      <w:r>
        <w:rPr>
          <w:color w:val="000000"/>
          <w:lang w:val="en-CA"/>
        </w:rPr>
        <w:t>(</w:t>
      </w:r>
      <w:bookmarkStart w:id="415" w:name="__Fieldmark__2517_1675857893"/>
      <w:r>
        <w:rPr>
          <w:color w:val="000000"/>
          <w:lang w:val="en-CA"/>
        </w:rPr>
        <w:t>Barnes, 2009)</w:t>
      </w:r>
      <w:r>
        <w:fldChar w:fldCharType="end"/>
      </w:r>
      <w:bookmarkEnd w:id="414"/>
      <w:bookmarkEnd w:id="415"/>
      <w:r>
        <w:rPr>
          <w:color w:val="000000"/>
        </w:rPr>
        <w:t xml:space="preserve">. </w:t>
      </w:r>
      <w:r w:rsidR="000F588A">
        <w:rPr>
          <w:color w:val="000000"/>
        </w:rPr>
        <w:t>In addition</w:t>
      </w:r>
      <w:r>
        <w:rPr>
          <w:color w:val="000000"/>
        </w:rPr>
        <w:t xml:space="preserve">, the sub groups formed in our society due to the arbitrary division according to the functional capacity of body also give rise to different cultural groups, such as disability, where decision-making power lies with the physicians, </w:t>
      </w:r>
      <w:r w:rsidR="000F588A">
        <w:rPr>
          <w:color w:val="000000"/>
        </w:rPr>
        <w:t>this</w:t>
      </w:r>
      <w:r>
        <w:rPr>
          <w:color w:val="000000"/>
        </w:rPr>
        <w:t xml:space="preserve"> changes the power dynamic. In order to serve PWD correctly it is important to understand this culture within and that can only be done by integrating PWD as a regular part of the medical curriculum. The integration of classroom seminars, involvement of the disabled population and community involvement can help physicians not only have a better understanding of their treatment of patients but also empower their patients, and be able to provide positive clinical experiences (Woodard, Havercamp, Zwygart, &amp; Perkins, 2012). Inclusion of PWD related training would give a more holistic approach to medicine </w:t>
      </w:r>
      <w:r w:rsidR="000F588A">
        <w:rPr>
          <w:color w:val="000000"/>
        </w:rPr>
        <w:t>and</w:t>
      </w:r>
      <w:r>
        <w:rPr>
          <w:color w:val="000000"/>
        </w:rPr>
        <w:t xml:space="preserve"> help in fostering better systems of care.</w:t>
      </w:r>
    </w:p>
    <w:p w:rsidR="00AA3D25" w:rsidRDefault="005C6640" w:rsidP="00DD3744">
      <w:pPr>
        <w:spacing w:line="480" w:lineRule="auto"/>
        <w:ind w:firstLine="720"/>
      </w:pPr>
      <w:r>
        <w:rPr>
          <w:color w:val="000000"/>
        </w:rPr>
        <w:lastRenderedPageBreak/>
        <w:t xml:space="preserve">Disability sensitivity training does not necessarily mean a year-long clinical rotation but it can be incorporated into other clinical training (Aulagnier et al., 2012). Assimilating disability focused training in continuing medical education can also help understand PWD in a positive perspective and encourage physicians to recognize the complex lives of their patients. There can be a few hours long session every week with PWD in a real clinic setting. One of the participants mentioned that a brief seminar style pre- residency orientation right before the residency program and commented that, “it was not the best time as everyone is so overwhelmed and does not fully understand about the practical situation of resources and setting.” </w:t>
      </w:r>
    </w:p>
    <w:p w:rsidR="00AA3D25" w:rsidRDefault="005C6640" w:rsidP="00DD3744">
      <w:pPr>
        <w:spacing w:line="480" w:lineRule="auto"/>
        <w:ind w:firstLine="720"/>
      </w:pPr>
      <w:r>
        <w:rPr>
          <w:color w:val="000000"/>
        </w:rPr>
        <w:t xml:space="preserve">All </w:t>
      </w:r>
      <w:r w:rsidR="00F11DC7">
        <w:rPr>
          <w:color w:val="000000"/>
        </w:rPr>
        <w:t>the interviewees expressed</w:t>
      </w:r>
      <w:r>
        <w:rPr>
          <w:color w:val="000000"/>
        </w:rPr>
        <w:t xml:space="preserve"> the desire for further training similar to the previous research studies: where 20% of the physicians desired further education (Kerins et al., 2004) The deficiency in medical training does not prepare physicians for the situations they would be facing </w:t>
      </w:r>
      <w:r>
        <w:t>(</w:t>
      </w:r>
      <w:r>
        <w:rPr>
          <w:color w:val="000000"/>
        </w:rPr>
        <w:t xml:space="preserve">Lennox et al., 1997). With the increasing number of chronic diseases and better health facilities there are more opportunities for physicians to find themselves engaging with PWD on a regular basis. </w:t>
      </w:r>
      <w:r w:rsidR="00F11DC7">
        <w:rPr>
          <w:color w:val="000000"/>
        </w:rPr>
        <w:t xml:space="preserve"> I</w:t>
      </w:r>
      <w:r>
        <w:rPr>
          <w:color w:val="000000"/>
        </w:rPr>
        <w:t>n France, only 17% of the medical students received minimal training regarding disability (Aulagnier et al., 2005). Having more knowledge might help physicians feel more confident being in a decision-making position and including PWD in their health care.</w:t>
      </w:r>
    </w:p>
    <w:p w:rsidR="00AA3D25" w:rsidRDefault="005C6640" w:rsidP="00DD3744">
      <w:pPr>
        <w:spacing w:line="480" w:lineRule="auto"/>
        <w:ind w:firstLine="720"/>
      </w:pPr>
      <w:r>
        <w:rPr>
          <w:color w:val="000000" w:themeColor="text1"/>
        </w:rPr>
        <w:t xml:space="preserve">Physicians and family alike believed PWD’s quality of life is poor, </w:t>
      </w:r>
      <w:r w:rsidR="00F11DC7">
        <w:rPr>
          <w:color w:val="000000" w:themeColor="text1"/>
        </w:rPr>
        <w:t>unlike</w:t>
      </w:r>
      <w:r>
        <w:rPr>
          <w:color w:val="000000" w:themeColor="text1"/>
        </w:rPr>
        <w:t xml:space="preserve"> disabled patients themselves. The notion that life for PWD is not a good life is alarming. </w:t>
      </w:r>
      <w:r w:rsidR="00F11DC7">
        <w:rPr>
          <w:color w:val="000000" w:themeColor="text1"/>
        </w:rPr>
        <w:t>Especially</w:t>
      </w:r>
      <w:r>
        <w:rPr>
          <w:color w:val="000000" w:themeColor="text1"/>
        </w:rPr>
        <w:t xml:space="preserve"> when making decisions concerning PWD. The training may help with having better insight regarding PWD’s health and life. </w:t>
      </w:r>
      <w:r w:rsidR="00F11DC7">
        <w:rPr>
          <w:color w:val="000000" w:themeColor="text1"/>
        </w:rPr>
        <w:t>In addition</w:t>
      </w:r>
      <w:r>
        <w:rPr>
          <w:color w:val="000000" w:themeColor="text1"/>
        </w:rPr>
        <w:t xml:space="preserve">, the confidence that comes with usual interaction in their learning years would translate in better communication and greater understanding. The interviews showed that participants knew their population and </w:t>
      </w:r>
      <w:r w:rsidR="00F11DC7">
        <w:rPr>
          <w:color w:val="000000" w:themeColor="text1"/>
        </w:rPr>
        <w:t>wanted training</w:t>
      </w:r>
      <w:r>
        <w:rPr>
          <w:color w:val="000000" w:themeColor="text1"/>
        </w:rPr>
        <w:t xml:space="preserve"> in specific areas </w:t>
      </w:r>
      <w:r>
        <w:rPr>
          <w:color w:val="000000" w:themeColor="text1"/>
        </w:rPr>
        <w:lastRenderedPageBreak/>
        <w:t xml:space="preserve">such as counselling as the waiting period is </w:t>
      </w:r>
      <w:r w:rsidR="00F11DC7">
        <w:rPr>
          <w:color w:val="000000" w:themeColor="text1"/>
        </w:rPr>
        <w:t>excessive</w:t>
      </w:r>
      <w:r>
        <w:rPr>
          <w:color w:val="000000" w:themeColor="text1"/>
        </w:rPr>
        <w:t>. A physician, who has been working independently for over 5 years stated:</w:t>
      </w:r>
    </w:p>
    <w:p w:rsidR="00AA3D25" w:rsidRDefault="005C6640" w:rsidP="00DD3744">
      <w:pPr>
        <w:spacing w:line="480" w:lineRule="auto"/>
        <w:ind w:left="567" w:right="340"/>
        <w:rPr>
          <w:color w:val="000000" w:themeColor="text1"/>
        </w:rPr>
      </w:pPr>
      <w:r>
        <w:rPr>
          <w:color w:val="000000" w:themeColor="text1"/>
        </w:rPr>
        <w:t>“The wait time for psychological help intake is really long, sometimes over 18 months. A lot changes in that time period. It is really helpful if we know more about it, I have attended a few seminars on therapies and try to incorporate them.”</w:t>
      </w:r>
    </w:p>
    <w:p w:rsidR="00AA3D25" w:rsidRDefault="005C6640" w:rsidP="00DD3744">
      <w:pPr>
        <w:spacing w:line="480" w:lineRule="auto"/>
        <w:ind w:firstLine="720"/>
        <w:rPr>
          <w:color w:val="000000" w:themeColor="text1"/>
        </w:rPr>
      </w:pPr>
      <w:r>
        <w:rPr>
          <w:color w:val="000000" w:themeColor="text1"/>
        </w:rPr>
        <w:t>That would help in having timely interventions along the process of waiting for the formal intake. Having apt knowledge helps in treating everyone with confidence and fewer chances of neglect.</w:t>
      </w:r>
    </w:p>
    <w:p w:rsidR="00AA3D25" w:rsidRDefault="005C6640" w:rsidP="00DD3744">
      <w:pPr>
        <w:spacing w:line="480" w:lineRule="auto"/>
        <w:rPr>
          <w:color w:val="000000"/>
        </w:rPr>
      </w:pPr>
      <w:r>
        <w:br w:type="page"/>
      </w:r>
    </w:p>
    <w:p w:rsidR="00AA3D25" w:rsidRDefault="005C6640" w:rsidP="00DD3744">
      <w:pPr>
        <w:pStyle w:val="Heading3"/>
      </w:pPr>
      <w:bookmarkStart w:id="416" w:name="_Toc533852529"/>
      <w:r>
        <w:lastRenderedPageBreak/>
        <w:t>Accessibility</w:t>
      </w:r>
      <w:bookmarkEnd w:id="416"/>
    </w:p>
    <w:p w:rsidR="00AA3D25" w:rsidRDefault="005C6640" w:rsidP="00DD3744">
      <w:pPr>
        <w:spacing w:line="480" w:lineRule="auto"/>
        <w:ind w:firstLine="720"/>
        <w:jc w:val="both"/>
        <w:rPr>
          <w:color w:val="000000" w:themeColor="text1"/>
        </w:rPr>
      </w:pPr>
      <w:r>
        <w:rPr>
          <w:color w:val="000000" w:themeColor="text1"/>
        </w:rPr>
        <w:t xml:space="preserve">While interviewing the participants it was clear, ‘accessibility’ translates very differently for every participant. In this </w:t>
      </w:r>
      <w:r w:rsidR="00F11DC7">
        <w:rPr>
          <w:color w:val="000000" w:themeColor="text1"/>
        </w:rPr>
        <w:t>chapter,</w:t>
      </w:r>
      <w:r>
        <w:rPr>
          <w:color w:val="000000" w:themeColor="text1"/>
        </w:rPr>
        <w:t xml:space="preserve"> I discuss “accessibility,” which seemed to be one focus of my project. Occasionally this manifests as a barrier in society for PWD causing problems at multiple levels of healthcare service. Almost all physicians assumed that clinics were accessible, while later in the interview they acknowledged that their facilities were in fact not completely accessible. When probed they stated:</w:t>
      </w:r>
    </w:p>
    <w:p w:rsidR="00AA3D25" w:rsidRDefault="005C6640" w:rsidP="00DD3744">
      <w:pPr>
        <w:spacing w:line="480" w:lineRule="auto"/>
        <w:ind w:left="567" w:right="850" w:firstLine="720"/>
        <w:jc w:val="both"/>
        <w:rPr>
          <w:color w:val="000000" w:themeColor="text1"/>
        </w:rPr>
      </w:pPr>
      <w:r>
        <w:rPr>
          <w:color w:val="000000" w:themeColor="text1"/>
        </w:rPr>
        <w:t xml:space="preserve">“We do have ramp at the back for </w:t>
      </w:r>
      <w:r w:rsidR="00F11DC7">
        <w:rPr>
          <w:color w:val="000000" w:themeColor="text1"/>
        </w:rPr>
        <w:t>PWD;</w:t>
      </w:r>
      <w:r>
        <w:rPr>
          <w:color w:val="000000" w:themeColor="text1"/>
        </w:rPr>
        <w:t xml:space="preserve"> they are always welcome in the clinic.” When I mentioned space for maneuvering the wheelchair or grab bars, they replied, </w:t>
      </w:r>
      <w:r w:rsidR="00F11DC7">
        <w:rPr>
          <w:color w:val="000000" w:themeColor="text1"/>
        </w:rPr>
        <w:t>“there</w:t>
      </w:r>
      <w:r>
        <w:rPr>
          <w:color w:val="000000" w:themeColor="text1"/>
        </w:rPr>
        <w:t xml:space="preserve"> is not much space, we would usually move things around.”</w:t>
      </w:r>
    </w:p>
    <w:p w:rsidR="00AA3D25" w:rsidRDefault="00F11DC7" w:rsidP="00DD3744">
      <w:pPr>
        <w:spacing w:line="480" w:lineRule="auto"/>
        <w:ind w:right="850"/>
        <w:jc w:val="both"/>
        <w:rPr>
          <w:color w:val="000000" w:themeColor="text1"/>
        </w:rPr>
      </w:pPr>
      <w:r>
        <w:rPr>
          <w:color w:val="000000" w:themeColor="text1"/>
        </w:rPr>
        <w:t>Similarly,</w:t>
      </w:r>
      <w:r w:rsidR="005C6640">
        <w:rPr>
          <w:color w:val="000000" w:themeColor="text1"/>
        </w:rPr>
        <w:t xml:space="preserve"> another physician stated:</w:t>
      </w:r>
    </w:p>
    <w:p w:rsidR="00AA3D25" w:rsidRDefault="005C6640" w:rsidP="00DD3744">
      <w:pPr>
        <w:spacing w:line="480" w:lineRule="auto"/>
        <w:ind w:left="567" w:right="850" w:firstLine="720"/>
        <w:jc w:val="both"/>
        <w:rPr>
          <w:color w:val="000000" w:themeColor="text1"/>
        </w:rPr>
      </w:pPr>
      <w:r>
        <w:rPr>
          <w:color w:val="000000" w:themeColor="text1"/>
        </w:rPr>
        <w:t xml:space="preserve">“Our clinic is </w:t>
      </w:r>
      <w:r w:rsidR="00F11DC7">
        <w:rPr>
          <w:color w:val="000000" w:themeColor="text1"/>
        </w:rPr>
        <w:t>accessible;</w:t>
      </w:r>
      <w:r>
        <w:rPr>
          <w:color w:val="000000" w:themeColor="text1"/>
        </w:rPr>
        <w:t xml:space="preserve"> we even have a lot of patients who have disability. We don’t have adjustable examination tables but we have a stool instead to help people out. We do have automated door in the washroom for PWD,” exploring more about the degree of access, when I asked more about grab bars, lower sink heights or accessible entry way, she replied, “ they did not have those facilities.” </w:t>
      </w:r>
    </w:p>
    <w:p w:rsidR="00AA3D25" w:rsidRDefault="005C6640" w:rsidP="00DD3744">
      <w:pPr>
        <w:spacing w:line="480" w:lineRule="auto"/>
        <w:ind w:firstLine="720"/>
        <w:jc w:val="both"/>
      </w:pPr>
      <w:r>
        <w:rPr>
          <w:color w:val="000000" w:themeColor="text1"/>
        </w:rPr>
        <w:t xml:space="preserve">Much of the time, it was </w:t>
      </w:r>
      <w:r w:rsidR="00F11DC7">
        <w:rPr>
          <w:color w:val="000000" w:themeColor="text1"/>
        </w:rPr>
        <w:t>obvious;</w:t>
      </w:r>
      <w:r>
        <w:rPr>
          <w:color w:val="000000" w:themeColor="text1"/>
        </w:rPr>
        <w:t xml:space="preserve"> the participants did not think accessibility really meant levelling the field for everyone. Access should not be dependent on the degree of “normalcy” a body showed. Vital information regarding one’s health can be </w:t>
      </w:r>
      <w:r w:rsidR="00F11DC7">
        <w:rPr>
          <w:color w:val="000000" w:themeColor="text1"/>
        </w:rPr>
        <w:t xml:space="preserve">overlooked. </w:t>
      </w:r>
      <w:r w:rsidR="00F865FC">
        <w:t xml:space="preserve"> F</w:t>
      </w:r>
      <w:r>
        <w:t>or example, some</w:t>
      </w:r>
      <w:r w:rsidR="00F865FC">
        <w:t xml:space="preserve">thing as important as weight can be missed because PWD might not be able to use </w:t>
      </w:r>
      <w:r>
        <w:t>conventional scales (Mudrick et al., 2012). This shows a gap between the PWD’s need to comfortably access medical healthcare services and the present status of healthcare. Some participants talked about accessibility:</w:t>
      </w:r>
    </w:p>
    <w:p w:rsidR="00AA3D25" w:rsidRDefault="005C6640" w:rsidP="00DD3744">
      <w:pPr>
        <w:spacing w:line="480" w:lineRule="auto"/>
        <w:ind w:left="794" w:right="1020"/>
        <w:jc w:val="both"/>
        <w:rPr>
          <w:color w:val="000000"/>
        </w:rPr>
      </w:pPr>
      <w:r>
        <w:rPr>
          <w:rFonts w:eastAsia="Times New Roman"/>
          <w:color w:val="000000"/>
        </w:rPr>
        <w:lastRenderedPageBreak/>
        <w:t>“</w:t>
      </w:r>
      <w:r>
        <w:rPr>
          <w:color w:val="000000"/>
        </w:rPr>
        <w:t xml:space="preserve">Our clinic is completely accessible,” said one participant, “we have grab bars and washroom doors open to the inside but we do not have a ramp outside, and we do not have the appropriate (adjustable) examination table, it is hard to examine but we let them (PWD) stay in the wheelchair.” </w:t>
      </w:r>
    </w:p>
    <w:p w:rsidR="00AA3D25" w:rsidRDefault="005C6640" w:rsidP="00DD3744">
      <w:pPr>
        <w:spacing w:line="480" w:lineRule="auto"/>
        <w:ind w:right="1020"/>
        <w:jc w:val="both"/>
      </w:pPr>
      <w:r>
        <w:rPr>
          <w:color w:val="000000"/>
        </w:rPr>
        <w:t>Another participant said:</w:t>
      </w:r>
    </w:p>
    <w:p w:rsidR="00AA3D25" w:rsidRDefault="005C6640" w:rsidP="00DD3744">
      <w:pPr>
        <w:spacing w:line="480" w:lineRule="auto"/>
        <w:ind w:left="794" w:right="1020"/>
        <w:jc w:val="both"/>
        <w:rPr>
          <w:color w:val="000000" w:themeColor="text1"/>
        </w:rPr>
      </w:pPr>
      <w:r>
        <w:rPr>
          <w:color w:val="000000"/>
        </w:rPr>
        <w:t xml:space="preserve">“We usually try to make PWD as comfortable as possible, even for weight we try to use a ball park figure, we know it will be </w:t>
      </w:r>
      <w:r>
        <w:rPr>
          <w:color w:val="000000" w:themeColor="text1"/>
        </w:rPr>
        <w:t>impossible to weigh them.”</w:t>
      </w:r>
    </w:p>
    <w:p w:rsidR="00AA3D25" w:rsidRDefault="005C6640" w:rsidP="00DD3744">
      <w:pPr>
        <w:spacing w:line="480" w:lineRule="auto"/>
        <w:jc w:val="both"/>
        <w:rPr>
          <w:color w:val="000000" w:themeColor="text1"/>
        </w:rPr>
      </w:pPr>
      <w:r>
        <w:rPr>
          <w:rFonts w:eastAsia="Times New Roman"/>
          <w:color w:val="000000" w:themeColor="text1"/>
        </w:rPr>
        <w:t>The accessibility standards were not very different at another practice:</w:t>
      </w:r>
    </w:p>
    <w:p w:rsidR="00AA3D25" w:rsidRDefault="005C6640" w:rsidP="00DD3744">
      <w:pPr>
        <w:spacing w:line="480" w:lineRule="auto"/>
        <w:ind w:left="680" w:right="794"/>
        <w:jc w:val="both"/>
      </w:pPr>
      <w:r>
        <w:rPr>
          <w:rFonts w:eastAsia="Times New Roman"/>
          <w:color w:val="000000" w:themeColor="text1"/>
        </w:rPr>
        <w:t xml:space="preserve"> “</w:t>
      </w:r>
      <w:r>
        <w:rPr>
          <w:color w:val="000000" w:themeColor="text1"/>
        </w:rPr>
        <w:t>They have a ramp at the back and if somebody is wheelchair</w:t>
      </w:r>
      <w:r>
        <w:rPr>
          <w:color w:val="000000"/>
        </w:rPr>
        <w:t xml:space="preserve">-bound they can come through the back”.... after probing about the infrastructure of the clinic, the participant replied, “it is a very old building so there is not much space to move around easily...it was designed a long time ago, they renovated it a couple of years back.” </w:t>
      </w:r>
    </w:p>
    <w:p w:rsidR="00AA3D25" w:rsidRDefault="005C6640" w:rsidP="00DD3744">
      <w:pPr>
        <w:spacing w:line="480" w:lineRule="auto"/>
        <w:ind w:hanging="720"/>
        <w:jc w:val="both"/>
      </w:pPr>
      <w:r>
        <w:rPr>
          <w:color w:val="000000"/>
        </w:rPr>
        <w:tab/>
      </w:r>
      <w:r>
        <w:rPr>
          <w:color w:val="000000"/>
        </w:rPr>
        <w:tab/>
        <w:t xml:space="preserve">The prominent concept of disability originates from the “individual or personal tragedy model” </w:t>
      </w:r>
      <w:r>
        <w:fldChar w:fldCharType="begin"/>
      </w:r>
      <w:r>
        <w:instrText>ADDIN RW.CITE{{279 Barnes,Colin 2012}}</w:instrText>
      </w:r>
      <w:r>
        <w:fldChar w:fldCharType="separate"/>
      </w:r>
      <w:bookmarkStart w:id="417" w:name="__Fieldmark__2261_813835849"/>
      <w:r>
        <w:rPr>
          <w:color w:val="000000"/>
          <w:lang w:val="en-CA"/>
        </w:rPr>
        <w:t>(</w:t>
      </w:r>
      <w:bookmarkStart w:id="418" w:name="__Fieldmark__2675_1675857893"/>
      <w:r>
        <w:rPr>
          <w:color w:val="000000"/>
          <w:lang w:val="en-CA"/>
        </w:rPr>
        <w:t>Barnes, 2009)</w:t>
      </w:r>
      <w:r>
        <w:fldChar w:fldCharType="end"/>
      </w:r>
      <w:bookmarkEnd w:id="417"/>
      <w:bookmarkEnd w:id="418"/>
      <w:r>
        <w:t>. Barriers to accessibility may be visible like architecture and the policies in place and invisible like ones attitude and behaviour. Lack of knowledge about accessibility results in lack of standardized policies.</w:t>
      </w:r>
      <w:r>
        <w:rPr>
          <w:color w:val="000000"/>
        </w:rPr>
        <w:t xml:space="preserve"> An absence of consistent measures provided at different clinics presents another hurdle. There is a </w:t>
      </w:r>
      <w:r w:rsidR="00F865FC">
        <w:rPr>
          <w:color w:val="000000"/>
        </w:rPr>
        <w:t>widespread</w:t>
      </w:r>
      <w:r>
        <w:rPr>
          <w:color w:val="000000"/>
        </w:rPr>
        <w:t xml:space="preserve"> lack of formal understanding at the policy level on how to provide inclusive healthcare for PWDs. One of the physicians emphasized the policies regarding accessibility:</w:t>
      </w:r>
    </w:p>
    <w:p w:rsidR="00AA3D25" w:rsidRDefault="005C6640" w:rsidP="00DD3744">
      <w:pPr>
        <w:spacing w:line="480" w:lineRule="auto"/>
        <w:ind w:left="720" w:right="907"/>
        <w:jc w:val="both"/>
      </w:pPr>
      <w:r>
        <w:rPr>
          <w:rFonts w:eastAsia="Times New Roman"/>
          <w:color w:val="000000"/>
        </w:rPr>
        <w:t>“</w:t>
      </w:r>
      <w:r>
        <w:rPr>
          <w:color w:val="000000"/>
        </w:rPr>
        <w:t xml:space="preserve">The clinic is accessible... there is enough space to move around, we do not have a movable (adjustable) examination table but we have grab bars... not great or ideal situation...but it is an old clinic. Nowadays there are better laws in place to </w:t>
      </w:r>
      <w:r>
        <w:rPr>
          <w:color w:val="000000"/>
        </w:rPr>
        <w:lastRenderedPageBreak/>
        <w:t xml:space="preserve">ensure that…but our clinic is not very good as it is an old building. I do not want to create barriers for PWD and would like to see them come in.” </w:t>
      </w:r>
    </w:p>
    <w:p w:rsidR="00AA3D25" w:rsidRDefault="005C6640" w:rsidP="00DD3744">
      <w:pPr>
        <w:spacing w:line="480" w:lineRule="auto"/>
        <w:ind w:firstLine="397"/>
        <w:jc w:val="both"/>
      </w:pPr>
      <w:r>
        <w:rPr>
          <w:color w:val="000000"/>
        </w:rPr>
        <w:t xml:space="preserve">The architectural barriers effectively isolate PWD from approaching healthcare and have a proper health continuum. A study showed that less than 8% physician’s clinic entrances were disability friendly and had appropriate elevators </w:t>
      </w:r>
      <w:r>
        <w:fldChar w:fldCharType="begin"/>
      </w:r>
      <w:r>
        <w:instrText>ADDIN RW.CITE{{276 Mudrick,NancyR 2012}}</w:instrText>
      </w:r>
      <w:r>
        <w:fldChar w:fldCharType="separate"/>
      </w:r>
      <w:bookmarkStart w:id="419" w:name="__Fieldmark__2273_813835849"/>
      <w:r>
        <w:rPr>
          <w:color w:val="000000"/>
          <w:lang w:val="en-CA"/>
        </w:rPr>
        <w:t>(</w:t>
      </w:r>
      <w:bookmarkStart w:id="420" w:name="__Fieldmark__2701_1675857893"/>
      <w:r>
        <w:rPr>
          <w:color w:val="000000"/>
          <w:lang w:val="en-CA"/>
        </w:rPr>
        <w:t>Mudrick et al., 2012)</w:t>
      </w:r>
      <w:r>
        <w:fldChar w:fldCharType="end"/>
      </w:r>
      <w:bookmarkEnd w:id="419"/>
      <w:bookmarkEnd w:id="420"/>
      <w:r>
        <w:t>.</w:t>
      </w:r>
      <w:r>
        <w:rPr>
          <w:color w:val="000000"/>
        </w:rPr>
        <w:t xml:space="preserve"> In United States, adjustable examination tables are not only helpful for people with mobility problems but also for people with arthritis, obesity, gait problem and vision issues </w:t>
      </w:r>
      <w:r>
        <w:fldChar w:fldCharType="begin"/>
      </w:r>
      <w:r>
        <w:instrText>ADDIN RW.CITE{{276 Mudrick,NancyR 2012}}</w:instrText>
      </w:r>
      <w:r>
        <w:fldChar w:fldCharType="separate"/>
      </w:r>
      <w:bookmarkStart w:id="421" w:name="__Fieldmark__2281_813835849"/>
      <w:r>
        <w:rPr>
          <w:color w:val="000000"/>
          <w:lang w:val="en-CA"/>
        </w:rPr>
        <w:t>(</w:t>
      </w:r>
      <w:bookmarkStart w:id="422" w:name="__Fieldmark__2709_1675857893"/>
      <w:r>
        <w:rPr>
          <w:color w:val="000000"/>
          <w:lang w:val="en-CA"/>
        </w:rPr>
        <w:t>Mudrick et al., 2012)</w:t>
      </w:r>
      <w:r>
        <w:fldChar w:fldCharType="end"/>
      </w:r>
      <w:bookmarkEnd w:id="421"/>
      <w:bookmarkEnd w:id="422"/>
      <w:r>
        <w:t xml:space="preserve">. </w:t>
      </w:r>
      <w:r>
        <w:rPr>
          <w:color w:val="000000"/>
        </w:rPr>
        <w:t xml:space="preserve">Another participant was not very convinced with the degree of accessibility: </w:t>
      </w:r>
    </w:p>
    <w:p w:rsidR="00AA3D25" w:rsidRDefault="005C6640" w:rsidP="00DD3744">
      <w:pPr>
        <w:spacing w:line="480" w:lineRule="auto"/>
        <w:ind w:left="720" w:right="907"/>
      </w:pPr>
      <w:r>
        <w:rPr>
          <w:rFonts w:eastAsia="Times New Roman"/>
          <w:color w:val="000000"/>
        </w:rPr>
        <w:t>“</w:t>
      </w:r>
      <w:r>
        <w:rPr>
          <w:color w:val="000000"/>
        </w:rPr>
        <w:t>The clinic is accessible...because it is necessary to have an accessible clinic but the rooms, I do not think they are appropriate, we do not have adjustable examination table</w:t>
      </w:r>
      <w:r w:rsidR="00F865FC">
        <w:rPr>
          <w:color w:val="000000"/>
        </w:rPr>
        <w:t>...</w:t>
      </w:r>
      <w:r>
        <w:rPr>
          <w:color w:val="000000"/>
        </w:rPr>
        <w:t xml:space="preserve"> but otherwise our clinic is accessible.” It is interesting to note even knowing that clinic is not appropriate for </w:t>
      </w:r>
      <w:r w:rsidR="00F865FC">
        <w:rPr>
          <w:color w:val="000000"/>
        </w:rPr>
        <w:t>not all kinds of disability physicians seemed</w:t>
      </w:r>
      <w:r>
        <w:rPr>
          <w:color w:val="000000"/>
        </w:rPr>
        <w:t xml:space="preserve"> too convinced about labelling their clinic inaccessible. The physician continued, “We have a lot of old patients...and I see them, it is really hard for them to move and it makes it very difficult for me to examine.” When asked about the grab bars and other basic accommodations in the clinic, he </w:t>
      </w:r>
      <w:r w:rsidR="00F865FC">
        <w:rPr>
          <w:color w:val="000000"/>
        </w:rPr>
        <w:t>stated,</w:t>
      </w:r>
      <w:r>
        <w:rPr>
          <w:color w:val="000000"/>
        </w:rPr>
        <w:t xml:space="preserve"> “we don’t have grab bars...but this clinic was not set up by me.” </w:t>
      </w:r>
    </w:p>
    <w:p w:rsidR="00AA3D25" w:rsidRDefault="005C6640" w:rsidP="00DD3744">
      <w:pPr>
        <w:spacing w:line="480" w:lineRule="auto"/>
        <w:ind w:left="283" w:right="907" w:firstLine="437"/>
        <w:jc w:val="both"/>
      </w:pPr>
      <w:r>
        <w:rPr>
          <w:color w:val="000000"/>
        </w:rPr>
        <w:t xml:space="preserve">Inaccessible washrooms are the most problematic, it hinders the medical care and is a barrier to diagnostic tests too </w:t>
      </w:r>
      <w:r>
        <w:fldChar w:fldCharType="begin"/>
      </w:r>
      <w:r>
        <w:instrText>ADDIN RW.CITE{{276 Mudrick,NancyR 2012}}</w:instrText>
      </w:r>
      <w:r>
        <w:fldChar w:fldCharType="separate"/>
      </w:r>
      <w:bookmarkStart w:id="423" w:name="__Fieldmark__2293_813835849"/>
      <w:r>
        <w:rPr>
          <w:color w:val="000000"/>
          <w:lang w:val="en-CA"/>
        </w:rPr>
        <w:t>(</w:t>
      </w:r>
      <w:bookmarkStart w:id="424" w:name="__Fieldmark__2726_1675857893"/>
      <w:r>
        <w:rPr>
          <w:color w:val="000000"/>
          <w:lang w:val="en-CA"/>
        </w:rPr>
        <w:t>Mudrick et al., 2012)</w:t>
      </w:r>
      <w:r>
        <w:fldChar w:fldCharType="end"/>
      </w:r>
      <w:bookmarkEnd w:id="423"/>
      <w:bookmarkEnd w:id="424"/>
      <w:r>
        <w:t xml:space="preserve">. </w:t>
      </w:r>
      <w:r>
        <w:rPr>
          <w:color w:val="000000"/>
        </w:rPr>
        <w:t>Too often accessible washrooms are an afterthought and are not considered a barrier for PWD. One of the physicians working in a newl</w:t>
      </w:r>
      <w:r w:rsidR="00F865FC">
        <w:rPr>
          <w:color w:val="000000"/>
        </w:rPr>
        <w:t xml:space="preserve">y established facility had </w:t>
      </w:r>
      <w:r>
        <w:rPr>
          <w:color w:val="000000"/>
        </w:rPr>
        <w:t xml:space="preserve">positive things to say: </w:t>
      </w:r>
    </w:p>
    <w:p w:rsidR="00AA3D25" w:rsidRDefault="00AA3D25" w:rsidP="00DD3744">
      <w:pPr>
        <w:spacing w:line="480" w:lineRule="auto"/>
        <w:jc w:val="both"/>
        <w:rPr>
          <w:color w:val="000000"/>
        </w:rPr>
      </w:pPr>
    </w:p>
    <w:p w:rsidR="00AA3D25" w:rsidRDefault="005C6640" w:rsidP="00DD3744">
      <w:pPr>
        <w:spacing w:line="480" w:lineRule="auto"/>
        <w:ind w:left="510" w:right="1077"/>
        <w:rPr>
          <w:color w:val="000000"/>
        </w:rPr>
      </w:pPr>
      <w:r>
        <w:rPr>
          <w:rFonts w:eastAsia="Times New Roman"/>
          <w:color w:val="000000"/>
        </w:rPr>
        <w:lastRenderedPageBreak/>
        <w:t>“</w:t>
      </w:r>
      <w:r>
        <w:rPr>
          <w:color w:val="000000"/>
        </w:rPr>
        <w:t>We do have the grab bars and an adjustable examination table as the building is new and it is very accessible…we have many patients with visible disabilities come in … the washrooms though, are not accessible.”</w:t>
      </w:r>
    </w:p>
    <w:p w:rsidR="00AA3D25" w:rsidRDefault="005C6640" w:rsidP="00DD3744">
      <w:pPr>
        <w:spacing w:line="480" w:lineRule="auto"/>
        <w:ind w:left="283" w:right="907" w:firstLine="437"/>
        <w:jc w:val="both"/>
      </w:pPr>
      <w:r>
        <w:rPr>
          <w:color w:val="000000"/>
        </w:rPr>
        <w:t xml:space="preserve">It was interesting how none of the physicians talked about the invisible barriers such as attitude, negligence, and inattention that comes with the sub-par notion of disability. </w:t>
      </w:r>
      <w:r w:rsidR="00F865FC">
        <w:rPr>
          <w:color w:val="000000"/>
        </w:rPr>
        <w:t>Some physicians (Nowlan et al. 2014) consider helping PWD to increase their life span problematic</w:t>
      </w:r>
      <w:r>
        <w:t>. Participants were confident they do not have any biases while running their practices:</w:t>
      </w:r>
    </w:p>
    <w:p w:rsidR="00AA3D25" w:rsidRDefault="005C6640" w:rsidP="00DD3744">
      <w:pPr>
        <w:spacing w:line="480" w:lineRule="auto"/>
        <w:ind w:left="720" w:right="907"/>
        <w:jc w:val="both"/>
      </w:pPr>
      <w:r>
        <w:t>“We don’t discriminate, and we treat everyone equally here. I see lot of disabled patients and I try to help them as much as possible.”</w:t>
      </w:r>
    </w:p>
    <w:p w:rsidR="00AA3D25" w:rsidRDefault="00AA3D25" w:rsidP="00DD3744">
      <w:pPr>
        <w:spacing w:line="480" w:lineRule="auto"/>
        <w:ind w:left="720" w:right="907"/>
        <w:jc w:val="both"/>
      </w:pPr>
    </w:p>
    <w:p w:rsidR="00AA3D25" w:rsidRDefault="005C6640" w:rsidP="00DD3744">
      <w:pPr>
        <w:spacing w:line="480" w:lineRule="auto"/>
        <w:ind w:right="907"/>
        <w:jc w:val="both"/>
      </w:pPr>
      <w:r>
        <w:t xml:space="preserve">Another participant mentioned, echoing </w:t>
      </w:r>
      <w:r w:rsidR="003018D2">
        <w:t>Medical Model</w:t>
      </w:r>
      <w:r>
        <w:t xml:space="preserve"> of disability, even after so many years of lobbying disability is still seen as a sign of “personal tragedy” (Barnes 2009):</w:t>
      </w:r>
    </w:p>
    <w:p w:rsidR="00AA3D25" w:rsidRDefault="005C6640" w:rsidP="00DD3744">
      <w:pPr>
        <w:spacing w:line="480" w:lineRule="auto"/>
        <w:ind w:left="720" w:right="1077"/>
        <w:jc w:val="both"/>
      </w:pPr>
      <w:r>
        <w:t>“I try to provide them as much access as it is possible, with the clinical setup and limitation their bodies have, there is only so much so that we can do.”</w:t>
      </w:r>
    </w:p>
    <w:p w:rsidR="00AA3D25" w:rsidRDefault="005C6640" w:rsidP="00DD3744">
      <w:pPr>
        <w:spacing w:line="480" w:lineRule="auto"/>
        <w:ind w:right="907" w:firstLine="720"/>
        <w:jc w:val="both"/>
      </w:pPr>
      <w:r>
        <w:t>In current able-bodied focused society, accessibility to healthcare is a multi-faceted issue (</w:t>
      </w:r>
      <w:r>
        <w:rPr>
          <w:color w:val="000000"/>
        </w:rPr>
        <w:t xml:space="preserve">Lennox et al., 1997). </w:t>
      </w:r>
      <w:r>
        <w:t xml:space="preserve">It was unfortunate </w:t>
      </w:r>
      <w:r w:rsidR="00F865FC">
        <w:t>that</w:t>
      </w:r>
      <w:r>
        <w:t xml:space="preserve"> accessibility or accommodations were </w:t>
      </w:r>
      <w:r w:rsidR="00F865FC">
        <w:t>considered</w:t>
      </w:r>
      <w:r>
        <w:t xml:space="preserve"> acts of generosity rather than a default practice. Moreover, attitudes were deemed non-problematic and flawless. The absence of any such conversation in our daily lives feeds into the status quo and </w:t>
      </w:r>
      <w:r w:rsidR="00F865FC">
        <w:t>encourages continuing</w:t>
      </w:r>
      <w:r>
        <w:t xml:space="preserve"> inequality.</w:t>
      </w:r>
    </w:p>
    <w:p w:rsidR="00AA3D25" w:rsidRDefault="00AA3D25" w:rsidP="00DD3744">
      <w:pPr>
        <w:spacing w:line="480" w:lineRule="auto"/>
        <w:ind w:right="907"/>
        <w:jc w:val="both"/>
      </w:pPr>
    </w:p>
    <w:p w:rsidR="00AA3D25" w:rsidRDefault="005C6640" w:rsidP="00DD3744">
      <w:pPr>
        <w:pStyle w:val="Heading5"/>
      </w:pPr>
      <w:r>
        <w:lastRenderedPageBreak/>
        <w:t>Discussion</w:t>
      </w:r>
    </w:p>
    <w:p w:rsidR="00AA3D25" w:rsidRDefault="005C6640" w:rsidP="00DD3744">
      <w:pPr>
        <w:spacing w:line="480" w:lineRule="auto"/>
        <w:ind w:firstLine="720"/>
        <w:jc w:val="both"/>
      </w:pPr>
      <w:r>
        <w:rPr>
          <w:color w:val="000000"/>
        </w:rPr>
        <w:t>Accessibility</w:t>
      </w:r>
      <w:r w:rsidR="00F865FC">
        <w:rPr>
          <w:color w:val="000000"/>
        </w:rPr>
        <w:t>, one</w:t>
      </w:r>
      <w:r>
        <w:rPr>
          <w:color w:val="000000"/>
        </w:rPr>
        <w:t xml:space="preserve"> would think, would be easy to understand. However, that was not the case; each physician had a very different percept</w:t>
      </w:r>
      <w:r w:rsidR="00D4043F">
        <w:rPr>
          <w:color w:val="000000"/>
        </w:rPr>
        <w:t>ion of accessibility was and what it means for their clinic</w:t>
      </w:r>
      <w:r>
        <w:rPr>
          <w:color w:val="000000"/>
        </w:rPr>
        <w:t xml:space="preserve"> to be accessible. This remained one of the popular themes across the interviews. Historically, PWD have pointed out the difficulty in accessing healthcare. This is a single most important factor for physician-patient engagement. Physicians are the first point of contact for the patient’s health care needs. Accessibility to clinics and hospitals means at least having a place to keep their health in check. Continuity of medical care is a problem for PWD (Kerins et al., 2004) and not just in the way society </w:t>
      </w:r>
      <w:r w:rsidR="00D4043F">
        <w:rPr>
          <w:color w:val="000000"/>
        </w:rPr>
        <w:t>developed</w:t>
      </w:r>
      <w:r>
        <w:rPr>
          <w:color w:val="000000"/>
        </w:rPr>
        <w:t xml:space="preserve">; transport, accessibility to the clinic and the clinic itself poses complications for PWD to have appropriate consistent medical care at one facility with one physician. </w:t>
      </w:r>
    </w:p>
    <w:p w:rsidR="00AA3D25" w:rsidRDefault="005C6640" w:rsidP="00DD3744">
      <w:pPr>
        <w:spacing w:line="480" w:lineRule="auto"/>
        <w:ind w:firstLine="720"/>
        <w:jc w:val="both"/>
      </w:pPr>
      <w:r>
        <w:rPr>
          <w:color w:val="000000"/>
        </w:rPr>
        <w:t xml:space="preserve">One study, from the United States, shows that washrooms are one of the most significant obstacles for people with mobility issues and out of more than 2000 </w:t>
      </w:r>
      <w:r w:rsidR="00D4043F">
        <w:rPr>
          <w:color w:val="000000"/>
        </w:rPr>
        <w:t>clinics,</w:t>
      </w:r>
      <w:r>
        <w:rPr>
          <w:color w:val="000000"/>
        </w:rPr>
        <w:t xml:space="preserve"> only 34.3% offices were structurally accessible (Mudrick, 2012). The accessibility problems persist mainly because of other architectural nuances too, such as high sink heights, </w:t>
      </w:r>
      <w:r>
        <w:rPr>
          <w:color w:val="000000" w:themeColor="text1"/>
        </w:rPr>
        <w:t xml:space="preserve">inadequate space for wheelchairs to move around and the lack of grab bars in washrooms. Adjustable examination tables are not only used for patients with mobility issues but also for obese patients, patients having arthritis or I </w:t>
      </w:r>
      <w:r w:rsidR="00D4043F">
        <w:rPr>
          <w:color w:val="000000" w:themeColor="text1"/>
        </w:rPr>
        <w:t>would think</w:t>
      </w:r>
      <w:r w:rsidR="00D4043F" w:rsidRPr="00D4043F">
        <w:rPr>
          <w:color w:val="000000" w:themeColor="text1"/>
        </w:rPr>
        <w:t xml:space="preserve"> </w:t>
      </w:r>
      <w:r w:rsidR="00D4043F">
        <w:rPr>
          <w:color w:val="000000" w:themeColor="text1"/>
        </w:rPr>
        <w:t>from my own experience</w:t>
      </w:r>
      <w:r>
        <w:rPr>
          <w:color w:val="000000" w:themeColor="text1"/>
        </w:rPr>
        <w:t xml:space="preserve"> pregnant women.  An accessible scale is </w:t>
      </w:r>
      <w:r>
        <w:rPr>
          <w:color w:val="000000"/>
        </w:rPr>
        <w:t xml:space="preserve">also an important </w:t>
      </w:r>
      <w:r w:rsidR="00D4043F">
        <w:rPr>
          <w:color w:val="000000"/>
        </w:rPr>
        <w:t>issue, which</w:t>
      </w:r>
      <w:r>
        <w:rPr>
          <w:color w:val="000000"/>
        </w:rPr>
        <w:t xml:space="preserve"> has gone undocumented. Weight and change in weight is an important indicator for health delivery. Lack of documented weight may pose a barrier to having a complete picture about the patient’s health. Even if a clinic provides an accessible entryway and grab bars, PWD are not expected to use washrooms while visiting the physician, which is a huge barrier to anticipated healthcare. Even with respect to architecture, accommodation goes well beyond just proper </w:t>
      </w:r>
      <w:r>
        <w:rPr>
          <w:color w:val="000000"/>
        </w:rPr>
        <w:lastRenderedPageBreak/>
        <w:t xml:space="preserve">weighing scales and adjustable examination tables </w:t>
      </w:r>
      <w:r>
        <w:fldChar w:fldCharType="begin"/>
      </w:r>
      <w:r>
        <w:instrText>ADDIN RW.CITE{{276 Mudrick,NancyR 2012}}</w:instrText>
      </w:r>
      <w:r>
        <w:fldChar w:fldCharType="separate"/>
      </w:r>
      <w:bookmarkStart w:id="425" w:name="__Fieldmark__2319_813835849"/>
      <w:r>
        <w:rPr>
          <w:color w:val="000000"/>
          <w:lang w:val="en-CA"/>
        </w:rPr>
        <w:t>(</w:t>
      </w:r>
      <w:bookmarkStart w:id="426" w:name="__Fieldmark__2813_1675857893"/>
      <w:r>
        <w:rPr>
          <w:lang w:val="en-CA"/>
        </w:rPr>
        <w:t>Mudrick et al., 2012)</w:t>
      </w:r>
      <w:r>
        <w:fldChar w:fldCharType="end"/>
      </w:r>
      <w:bookmarkEnd w:id="425"/>
      <w:bookmarkEnd w:id="426"/>
      <w:r>
        <w:t xml:space="preserve">. </w:t>
      </w:r>
      <w:r>
        <w:rPr>
          <w:color w:val="000000"/>
        </w:rPr>
        <w:t xml:space="preserve">This lack of accessibility does not end here. It </w:t>
      </w:r>
      <w:r w:rsidR="00D4043F">
        <w:rPr>
          <w:color w:val="000000"/>
        </w:rPr>
        <w:t>continues</w:t>
      </w:r>
      <w:r>
        <w:rPr>
          <w:color w:val="000000"/>
        </w:rPr>
        <w:t xml:space="preserve"> with a lack of awareness </w:t>
      </w:r>
      <w:r w:rsidR="00D4043F">
        <w:rPr>
          <w:color w:val="000000"/>
        </w:rPr>
        <w:t>about space</w:t>
      </w:r>
      <w:r>
        <w:rPr>
          <w:color w:val="000000"/>
        </w:rPr>
        <w:t xml:space="preserve"> and unjust behavior towards PWD. PWD tend to connect with physicians who are more open to recognizing that PWD can also have diseases like able-bodied individuals and </w:t>
      </w:r>
      <w:r w:rsidR="00D4043F">
        <w:rPr>
          <w:color w:val="000000"/>
        </w:rPr>
        <w:t>do more understand</w:t>
      </w:r>
      <w:r>
        <w:rPr>
          <w:color w:val="000000"/>
        </w:rPr>
        <w:t xml:space="preserve"> about moving away from the traditional medical setup (Derksen &amp; Chochinov, 2006).</w:t>
      </w:r>
    </w:p>
    <w:p w:rsidR="00AA3D25" w:rsidRDefault="005C6640" w:rsidP="00DD3744">
      <w:pPr>
        <w:spacing w:line="480" w:lineRule="auto"/>
        <w:ind w:firstLine="720"/>
        <w:jc w:val="both"/>
      </w:pPr>
      <w:r>
        <w:rPr>
          <w:color w:val="000000"/>
        </w:rPr>
        <w:t xml:space="preserve">Having access to health care at par with non-disabled people would change the course of health service delivery for the better and would facilitate in effective diagnosis. It might also help in saving money for the government in the longer run as timely care for PWD would be possible. Adequate provisions and an inclusive system would motivate PWD to seek medical care and receive treatment sooner. There is inconsistent research about the utilization of accessible services and its positive impact on healthcare. However, common sense dictates it would help in higher utilization of healthcare in an ideal way </w:t>
      </w:r>
      <w:r w:rsidR="00D4043F">
        <w:rPr>
          <w:color w:val="000000"/>
        </w:rPr>
        <w:t>and</w:t>
      </w:r>
      <w:r>
        <w:rPr>
          <w:color w:val="000000"/>
        </w:rPr>
        <w:t xml:space="preserve"> would help reduce the monetary burden on the government in the longer run. The barriers PWD face while accessing health prevention programs needs to be into and eradicated if our goal is for them to engage and benefit from all such programs. There are numerous flaws in the way our society is currently </w:t>
      </w:r>
      <w:r w:rsidR="004A610F">
        <w:rPr>
          <w:color w:val="000000"/>
        </w:rPr>
        <w:t>arranged creating</w:t>
      </w:r>
      <w:r>
        <w:rPr>
          <w:color w:val="000000"/>
        </w:rPr>
        <w:t xml:space="preserve"> added barriers for PWD </w:t>
      </w:r>
      <w:r>
        <w:t>(</w:t>
      </w:r>
      <w:r>
        <w:rPr>
          <w:color w:val="000000"/>
        </w:rPr>
        <w:t xml:space="preserve">Lennox et al., 1997). It is time we think about the invisible barriers, such as attitudes and beliefs about disability too </w:t>
      </w:r>
      <w:r>
        <w:fldChar w:fldCharType="begin"/>
      </w:r>
      <w:r>
        <w:instrText>ADDIN RW.CITE{{276 Mudrick,NancyR 2012}}</w:instrText>
      </w:r>
      <w:r>
        <w:fldChar w:fldCharType="separate"/>
      </w:r>
      <w:bookmarkStart w:id="427" w:name="__Fieldmark__2333_813835849"/>
      <w:r>
        <w:rPr>
          <w:color w:val="000000"/>
          <w:lang w:val="en-CA"/>
        </w:rPr>
        <w:t>(</w:t>
      </w:r>
      <w:bookmarkStart w:id="428" w:name="__Fieldmark__2864_1675857893"/>
      <w:r>
        <w:rPr>
          <w:color w:val="000000"/>
          <w:lang w:val="en-CA"/>
        </w:rPr>
        <w:t>Mudrick et al., 2012)</w:t>
      </w:r>
      <w:r>
        <w:fldChar w:fldCharType="end"/>
      </w:r>
      <w:bookmarkEnd w:id="427"/>
      <w:bookmarkEnd w:id="428"/>
      <w:r>
        <w:t>.</w:t>
      </w:r>
      <w:r>
        <w:rPr>
          <w:color w:val="000000"/>
        </w:rPr>
        <w:t xml:space="preserve"> </w:t>
      </w:r>
      <w:r>
        <w:t>Inaccessible healthcare would only result in increased hospitalization, poor quality of life, increased possibilities for poly medication, and increased premature deaths.</w:t>
      </w:r>
    </w:p>
    <w:p w:rsidR="00AA3D25" w:rsidRDefault="004A610F" w:rsidP="00DD3744">
      <w:pPr>
        <w:spacing w:line="480" w:lineRule="auto"/>
        <w:ind w:firstLine="720"/>
        <w:jc w:val="both"/>
      </w:pPr>
      <w:r>
        <w:t>In addition</w:t>
      </w:r>
      <w:r w:rsidR="005C6640">
        <w:t xml:space="preserve">, physicians seem to think it was not their job to be concerned about accessibility. During the interviews, GPs repeatedly stated how it is not their clinic so they did not have anything to do </w:t>
      </w:r>
      <w:r>
        <w:t xml:space="preserve">with the changes that needed </w:t>
      </w:r>
      <w:r w:rsidR="005C6640">
        <w:t>for their clinic to be accessible.</w:t>
      </w:r>
    </w:p>
    <w:p w:rsidR="00AA3D25" w:rsidRDefault="005C6640" w:rsidP="00DD3744">
      <w:pPr>
        <w:spacing w:line="480" w:lineRule="auto"/>
        <w:ind w:left="113" w:right="1644" w:firstLine="720"/>
        <w:jc w:val="both"/>
      </w:pPr>
      <w:r>
        <w:lastRenderedPageBreak/>
        <w:t xml:space="preserve">“I just work </w:t>
      </w:r>
      <w:r w:rsidR="004A610F">
        <w:t>here;</w:t>
      </w:r>
      <w:r>
        <w:t xml:space="preserve"> I cannot take decisions to change how it has been for so many years. I do feel we welcome everyone and we promote inclusivity.”</w:t>
      </w:r>
    </w:p>
    <w:p w:rsidR="00AA3D25" w:rsidRDefault="005C6640" w:rsidP="00DD3744">
      <w:pPr>
        <w:spacing w:line="480" w:lineRule="auto"/>
        <w:ind w:firstLine="720"/>
        <w:jc w:val="both"/>
      </w:pPr>
      <w:r>
        <w:t>Another participant also resonated stating:</w:t>
      </w:r>
    </w:p>
    <w:p w:rsidR="00AA3D25" w:rsidRDefault="005C6640" w:rsidP="00DD3744">
      <w:pPr>
        <w:spacing w:line="480" w:lineRule="auto"/>
        <w:ind w:right="1644" w:firstLine="720"/>
        <w:jc w:val="both"/>
      </w:pPr>
      <w:r>
        <w:t>“It is not my own work space, I just rent it from the owners and we get paid a certain amount only so it is not under our control.”</w:t>
      </w:r>
    </w:p>
    <w:p w:rsidR="00AA3D25" w:rsidRDefault="005C6640" w:rsidP="00DD3744">
      <w:pPr>
        <w:spacing w:line="480" w:lineRule="auto"/>
        <w:ind w:firstLine="720"/>
        <w:jc w:val="both"/>
      </w:pPr>
      <w:r>
        <w:t xml:space="preserve"> It seemed that the blame game has been going on for too long. The clinic owners, I assumed, would not be too bothered </w:t>
      </w:r>
      <w:r w:rsidR="004A610F">
        <w:t>until</w:t>
      </w:r>
      <w:r>
        <w:t xml:space="preserve"> they receive any complains about the space, demanding them to make the changes.</w:t>
      </w:r>
    </w:p>
    <w:p w:rsidR="00AA3D25" w:rsidRDefault="005C6640" w:rsidP="00DD3744">
      <w:pPr>
        <w:spacing w:line="480" w:lineRule="auto"/>
        <w:ind w:firstLine="720"/>
        <w:jc w:val="both"/>
      </w:pPr>
      <w:r>
        <w:rPr>
          <w:rFonts w:eastAsia="Times New Roman"/>
        </w:rPr>
        <w:t xml:space="preserve">Being one of the first to </w:t>
      </w:r>
      <w:r w:rsidR="004A610F">
        <w:rPr>
          <w:rFonts w:eastAsia="Times New Roman"/>
        </w:rPr>
        <w:t>enact provincial</w:t>
      </w:r>
      <w:r>
        <w:rPr>
          <w:rFonts w:eastAsia="Times New Roman"/>
        </w:rPr>
        <w:t xml:space="preserve"> accessibility </w:t>
      </w:r>
      <w:r w:rsidR="004A610F">
        <w:rPr>
          <w:rFonts w:eastAsia="Times New Roman"/>
        </w:rPr>
        <w:t>legislation</w:t>
      </w:r>
      <w:r>
        <w:rPr>
          <w:rFonts w:eastAsia="Times New Roman"/>
        </w:rPr>
        <w:t xml:space="preserve"> (AMA, 2013), it was</w:t>
      </w:r>
    </w:p>
    <w:p w:rsidR="00AA3D25" w:rsidRDefault="005C6640" w:rsidP="00DD3744">
      <w:pPr>
        <w:spacing w:line="480" w:lineRule="auto"/>
        <w:jc w:val="both"/>
      </w:pPr>
      <w:r>
        <w:rPr>
          <w:rFonts w:eastAsia="Times New Roman"/>
        </w:rPr>
        <w:t xml:space="preserve"> expe</w:t>
      </w:r>
      <w:r w:rsidR="004A610F">
        <w:rPr>
          <w:rFonts w:eastAsia="Times New Roman"/>
        </w:rPr>
        <w:t>cted that healthcare facilities would</w:t>
      </w:r>
      <w:r>
        <w:rPr>
          <w:rFonts w:eastAsia="Times New Roman"/>
        </w:rPr>
        <w:t xml:space="preserve"> have enough knowledge about accommodations needed for an accessible facility. With different perspectives concerning </w:t>
      </w:r>
      <w:r w:rsidR="004A610F">
        <w:rPr>
          <w:rFonts w:eastAsia="Times New Roman"/>
        </w:rPr>
        <w:t>accessibility,</w:t>
      </w:r>
      <w:r>
        <w:rPr>
          <w:rFonts w:eastAsia="Times New Roman"/>
        </w:rPr>
        <w:t xml:space="preserve"> it is extremely difficult to assess compliance of the policies in place. With the existing model, there is a need to have a better way to assess the compliance. Absence</w:t>
      </w:r>
      <w:r>
        <w:rPr>
          <w:color w:val="000000"/>
        </w:rPr>
        <w:t xml:space="preserve"> of any financial consequences for noncompliance, inaccessible medical equipment, an absence of accountability and lack of any measures against accreditation of hospital and medical equipment is highly problematic. There are no proper standards or effective approaches to deal with this issue. </w:t>
      </w:r>
    </w:p>
    <w:p w:rsidR="00AA3D25" w:rsidRDefault="005C6640" w:rsidP="00DD3744">
      <w:pPr>
        <w:spacing w:line="480" w:lineRule="auto"/>
        <w:rPr>
          <w:color w:val="000000"/>
        </w:rPr>
      </w:pPr>
      <w:r>
        <w:br w:type="page"/>
      </w:r>
    </w:p>
    <w:p w:rsidR="00AA3D25" w:rsidRDefault="005C6640" w:rsidP="00DD3744">
      <w:pPr>
        <w:pStyle w:val="Heading3"/>
      </w:pPr>
      <w:bookmarkStart w:id="429" w:name="_Toc533852530"/>
      <w:r>
        <w:lastRenderedPageBreak/>
        <w:t>Resources</w:t>
      </w:r>
      <w:bookmarkEnd w:id="429"/>
    </w:p>
    <w:p w:rsidR="00AA3D25" w:rsidRDefault="005C6640" w:rsidP="00DD3744">
      <w:pPr>
        <w:spacing w:line="480" w:lineRule="auto"/>
        <w:ind w:firstLine="720"/>
        <w:jc w:val="both"/>
      </w:pPr>
      <w:r>
        <w:rPr>
          <w:color w:val="000000"/>
        </w:rPr>
        <w:t xml:space="preserve">In this chapter, I am evaluating the theme of </w:t>
      </w:r>
      <w:r w:rsidR="004A610F">
        <w:rPr>
          <w:color w:val="000000"/>
        </w:rPr>
        <w:t>resources, which</w:t>
      </w:r>
      <w:r>
        <w:rPr>
          <w:color w:val="000000"/>
        </w:rPr>
        <w:t xml:space="preserve"> emerged during the conversations with PWD. Traditionally, physicians have been the sole contact point for PWD to access healthcare resources (Iezzoni&amp; Long-Bellil, 2012). Requiring someone (physicians) to assess their “disability” just to refer them to the appropriate resource is discrimination in itself. </w:t>
      </w:r>
    </w:p>
    <w:p w:rsidR="00AA3D25" w:rsidRDefault="005C6640" w:rsidP="00DD3744">
      <w:pPr>
        <w:spacing w:line="480" w:lineRule="auto"/>
        <w:ind w:left="900" w:right="800"/>
        <w:jc w:val="both"/>
        <w:rPr>
          <w:color w:val="000000"/>
        </w:rPr>
      </w:pPr>
      <w:r>
        <w:rPr>
          <w:color w:val="000000"/>
        </w:rPr>
        <w:t xml:space="preserve"> “I don’t remember the resources on the top of my mind…. After so many years I know where to access all of these resources and hopefully provide them to patients…Sometimes we are provided with brochures by the Regional Health Authority, or some other material is available….to read. In case we do not </w:t>
      </w:r>
      <w:r w:rsidR="004A610F">
        <w:rPr>
          <w:color w:val="000000"/>
        </w:rPr>
        <w:t>know,</w:t>
      </w:r>
      <w:r>
        <w:rPr>
          <w:color w:val="000000"/>
        </w:rPr>
        <w:t xml:space="preserve"> we make a call usually to Health Science Center… That takes time…”</w:t>
      </w:r>
    </w:p>
    <w:p w:rsidR="00AA3D25" w:rsidRDefault="005C6640" w:rsidP="00DD3744">
      <w:pPr>
        <w:spacing w:line="480" w:lineRule="auto"/>
        <w:ind w:right="800"/>
        <w:jc w:val="both"/>
        <w:rPr>
          <w:color w:val="000000"/>
        </w:rPr>
      </w:pPr>
      <w:r>
        <w:rPr>
          <w:color w:val="000000"/>
        </w:rPr>
        <w:t>Another participant notes:</w:t>
      </w:r>
    </w:p>
    <w:p w:rsidR="00AA3D25" w:rsidRDefault="005C6640" w:rsidP="00DD3744">
      <w:pPr>
        <w:spacing w:line="480" w:lineRule="auto"/>
        <w:ind w:left="900" w:right="800"/>
        <w:jc w:val="both"/>
      </w:pPr>
      <w:r>
        <w:rPr>
          <w:color w:val="000000"/>
        </w:rPr>
        <w:t>“I started noting all the resources on my cell phone and now I have a whole folder to make it easy for myself, but it takes a lot of time and effort.”</w:t>
      </w:r>
    </w:p>
    <w:p w:rsidR="00AA3D25" w:rsidRDefault="005C6640" w:rsidP="00DD3744">
      <w:pPr>
        <w:spacing w:line="480" w:lineRule="auto"/>
        <w:ind w:right="900" w:firstLine="720"/>
        <w:rPr>
          <w:color w:val="000000"/>
        </w:rPr>
      </w:pPr>
      <w:r>
        <w:t xml:space="preserve">Generally, physicians believed </w:t>
      </w:r>
      <w:r>
        <w:rPr>
          <w:color w:val="000000" w:themeColor="text1"/>
        </w:rPr>
        <w:t xml:space="preserve">that taking care of medical issues are their responsibility, however they should not be held </w:t>
      </w:r>
      <w:r>
        <w:t>a</w:t>
      </w:r>
      <w:r w:rsidR="004A610F">
        <w:t xml:space="preserve">ccountable for spending time </w:t>
      </w:r>
      <w:r>
        <w:t xml:space="preserve">screening and looking for resources (Bond, Kerr, Dunstan, &amp; Thapar, 1997, </w:t>
      </w:r>
      <w:r>
        <w:rPr>
          <w:lang w:val="en-CA"/>
        </w:rPr>
        <w:t xml:space="preserve">Dovey &amp; Webb, 2000). </w:t>
      </w:r>
      <w:r>
        <w:rPr>
          <w:color w:val="000000"/>
        </w:rPr>
        <w:t>Another physician mentioned:</w:t>
      </w:r>
    </w:p>
    <w:p w:rsidR="00AA3D25" w:rsidRDefault="005C6640" w:rsidP="00DD3744">
      <w:pPr>
        <w:spacing w:line="480" w:lineRule="auto"/>
        <w:ind w:right="900" w:firstLine="720"/>
        <w:rPr>
          <w:color w:val="000000"/>
        </w:rPr>
      </w:pPr>
      <w:r>
        <w:rPr>
          <w:color w:val="000000"/>
        </w:rPr>
        <w:t>“It takes a lot of time, and the clinic already has so many patients, it takes</w:t>
      </w:r>
      <w:r w:rsidR="009A7AAD">
        <w:rPr>
          <w:color w:val="000000"/>
        </w:rPr>
        <w:t xml:space="preserve"> </w:t>
      </w:r>
      <w:r>
        <w:rPr>
          <w:color w:val="000000"/>
        </w:rPr>
        <w:t xml:space="preserve">a lot of time! Sometimes we don’t have time to give information about all </w:t>
      </w:r>
    </w:p>
    <w:p w:rsidR="00AA3D25" w:rsidRDefault="005C6640" w:rsidP="00DD3744">
      <w:pPr>
        <w:spacing w:line="480" w:lineRule="auto"/>
        <w:ind w:right="900" w:firstLine="720"/>
      </w:pPr>
      <w:r>
        <w:rPr>
          <w:color w:val="000000"/>
        </w:rPr>
        <w:t>the organizations that are present in the society.”</w:t>
      </w:r>
    </w:p>
    <w:p w:rsidR="00AA3D25" w:rsidRDefault="005C6640" w:rsidP="00DD3744">
      <w:pPr>
        <w:spacing w:line="480" w:lineRule="auto"/>
        <w:ind w:firstLine="720"/>
        <w:jc w:val="both"/>
      </w:pPr>
      <w:r>
        <w:rPr>
          <w:color w:val="000000"/>
        </w:rPr>
        <w:t xml:space="preserve">Nevertheless, some physicians described how they had to spend time looking for the resources </w:t>
      </w:r>
      <w:r>
        <w:t>(</w:t>
      </w:r>
      <w:r>
        <w:rPr>
          <w:color w:val="000000"/>
        </w:rPr>
        <w:t>Lennox et al., 1997) despite reading material provided by the government.</w:t>
      </w:r>
      <w:r>
        <w:t xml:space="preserve"> </w:t>
      </w:r>
      <w:r>
        <w:rPr>
          <w:color w:val="000000"/>
        </w:rPr>
        <w:t xml:space="preserve">Having a properly organized resource center will not only help the physicians but also PWD, who are often </w:t>
      </w:r>
      <w:r>
        <w:rPr>
          <w:color w:val="000000"/>
        </w:rPr>
        <w:lastRenderedPageBreak/>
        <w:t>unaware of all the options available to them for example rehabilitation or wheelchairs, Many PWD with chronic illnesses do not know they can also have disabled parking permits. This</w:t>
      </w:r>
      <w:r w:rsidR="009A7AAD">
        <w:rPr>
          <w:color w:val="000000"/>
        </w:rPr>
        <w:t xml:space="preserve"> information </w:t>
      </w:r>
      <w:r>
        <w:rPr>
          <w:color w:val="000000"/>
        </w:rPr>
        <w:t xml:space="preserve"> gap </w:t>
      </w:r>
      <w:r w:rsidR="009A7AAD">
        <w:rPr>
          <w:color w:val="000000"/>
        </w:rPr>
        <w:t xml:space="preserve"> is </w:t>
      </w:r>
      <w:r>
        <w:rPr>
          <w:color w:val="000000"/>
        </w:rPr>
        <w:t>highlighted by researchers from Australia, who have discu</w:t>
      </w:r>
      <w:r w:rsidR="009A7AAD">
        <w:rPr>
          <w:color w:val="000000"/>
        </w:rPr>
        <w:t>ssed guidelines or a handbook being made</w:t>
      </w:r>
      <w:r>
        <w:rPr>
          <w:color w:val="000000"/>
        </w:rPr>
        <w:t xml:space="preserve"> available in the clinic (Lennox et al., 1997).  Having more information may encourage an organized, systematic flow and save everyone time looking up the resources themselves.</w:t>
      </w:r>
    </w:p>
    <w:p w:rsidR="00AA3D25" w:rsidRDefault="005C6640" w:rsidP="00DD3744">
      <w:pPr>
        <w:spacing w:line="480" w:lineRule="auto"/>
        <w:ind w:left="900" w:right="900"/>
        <w:jc w:val="both"/>
      </w:pPr>
      <w:r>
        <w:rPr>
          <w:color w:val="000000"/>
        </w:rPr>
        <w:t xml:space="preserve">“In my case, I have to work up </w:t>
      </w:r>
      <w:r w:rsidR="009A7AAD">
        <w:rPr>
          <w:color w:val="000000"/>
        </w:rPr>
        <w:t>N</w:t>
      </w:r>
      <w:r>
        <w:rPr>
          <w:color w:val="000000"/>
        </w:rPr>
        <w:t>orth; I worked there for two years.  Things are totally different there and then I came back to the city … and there is a gap of three years between the orientation they give you at the start of residency and till you start your own practice, it is really hard to remember the resources and a lot has changed too… once you are in the system in the clinic in the city, nobody is there to guide you, you go on internet and you can look for it or goo</w:t>
      </w:r>
      <w:r w:rsidR="009A7AAD">
        <w:rPr>
          <w:color w:val="000000"/>
        </w:rPr>
        <w:t>gle it on your own… There is a S</w:t>
      </w:r>
      <w:r>
        <w:rPr>
          <w:color w:val="000000"/>
        </w:rPr>
        <w:t xml:space="preserve">ocial </w:t>
      </w:r>
      <w:r w:rsidR="009A7AAD">
        <w:rPr>
          <w:color w:val="000000"/>
        </w:rPr>
        <w:t>W</w:t>
      </w:r>
      <w:r>
        <w:rPr>
          <w:color w:val="000000"/>
        </w:rPr>
        <w:t>ork</w:t>
      </w:r>
      <w:r w:rsidR="009A7AAD">
        <w:rPr>
          <w:color w:val="000000"/>
        </w:rPr>
        <w:t>er</w:t>
      </w:r>
      <w:r>
        <w:rPr>
          <w:color w:val="000000"/>
        </w:rPr>
        <w:t xml:space="preserve"> you have to find by yourself.  So that is a big gap…”</w:t>
      </w:r>
    </w:p>
    <w:p w:rsidR="00AA3D25" w:rsidRDefault="005C6640" w:rsidP="00DD3744">
      <w:pPr>
        <w:spacing w:line="480" w:lineRule="auto"/>
        <w:ind w:right="900" w:firstLine="720"/>
      </w:pPr>
      <w:r>
        <w:rPr>
          <w:color w:val="000000"/>
        </w:rPr>
        <w:t>Not having ready access to the resources in society further delays an appropriate course of action for PWD in their healthcare journey (</w:t>
      </w:r>
      <w:r>
        <w:rPr>
          <w:lang w:val="en-CA"/>
        </w:rPr>
        <w:t>Dovey &amp; Webb, 2000). Participants had a clear idea about their need to lessen the gap:</w:t>
      </w:r>
    </w:p>
    <w:p w:rsidR="00AA3D25" w:rsidRDefault="005C6640" w:rsidP="00DD3744">
      <w:pPr>
        <w:spacing w:line="480" w:lineRule="auto"/>
        <w:ind w:left="900" w:right="900"/>
        <w:jc w:val="both"/>
      </w:pPr>
      <w:r>
        <w:rPr>
          <w:color w:val="000000"/>
        </w:rPr>
        <w:t xml:space="preserve">“I think it would have been really helpful to have a handbook for a clear cut picture and well-defined guidelines.” </w:t>
      </w:r>
    </w:p>
    <w:p w:rsidR="00AA3D25" w:rsidRDefault="009A7AAD" w:rsidP="00DD3744">
      <w:pPr>
        <w:spacing w:line="480" w:lineRule="auto"/>
      </w:pPr>
      <w:r>
        <w:rPr>
          <w:color w:val="000000"/>
        </w:rPr>
        <w:t>A</w:t>
      </w:r>
      <w:r w:rsidR="005C6640">
        <w:rPr>
          <w:color w:val="000000"/>
        </w:rPr>
        <w:t xml:space="preserve"> physician talked not only about the lack of resources but highlighted the lack of a proper healthcare team tailored according to the need</w:t>
      </w:r>
      <w:r>
        <w:rPr>
          <w:color w:val="000000"/>
        </w:rPr>
        <w:t>s</w:t>
      </w:r>
      <w:r w:rsidR="005C6640">
        <w:rPr>
          <w:color w:val="000000"/>
        </w:rPr>
        <w:t xml:space="preserve"> of the patient.</w:t>
      </w:r>
      <w:r w:rsidR="005C6640">
        <w:t xml:space="preserve"> </w:t>
      </w:r>
      <w:r w:rsidR="005C6640">
        <w:rPr>
          <w:color w:val="000000"/>
        </w:rPr>
        <w:t xml:space="preserve">A study mentioned </w:t>
      </w:r>
      <w:r w:rsidR="005C6640">
        <w:t>(Bond, Kerr, Dunstan, &amp; Thapar, 1997) that GP’s sometimes believe that specialists should be playing a larger role when dealing with PWD having mental illnesses. However, it is often difficult easy to access to a specialist at any given time (</w:t>
      </w:r>
      <w:r w:rsidR="005C6640">
        <w:rPr>
          <w:lang w:val="en-CA"/>
        </w:rPr>
        <w:t xml:space="preserve">Dovey &amp; Webb, 2000). Not having a specialist often </w:t>
      </w:r>
      <w:r w:rsidR="005C6640">
        <w:rPr>
          <w:lang w:val="en-CA"/>
        </w:rPr>
        <w:lastRenderedPageBreak/>
        <w:t xml:space="preserve">results in poor continuity of care </w:t>
      </w:r>
      <w:r w:rsidR="005C6640">
        <w:t>(</w:t>
      </w:r>
      <w:r w:rsidR="005C6640">
        <w:rPr>
          <w:color w:val="000000"/>
        </w:rPr>
        <w:t>Lennox et al., 1997). Some physicians also referred to other resources they would consider in time of need:</w:t>
      </w:r>
    </w:p>
    <w:p w:rsidR="00AA3D25" w:rsidRDefault="005C6640" w:rsidP="00DD3744">
      <w:pPr>
        <w:spacing w:line="480" w:lineRule="auto"/>
        <w:ind w:left="900" w:right="1020"/>
        <w:jc w:val="both"/>
      </w:pPr>
      <w:r>
        <w:rPr>
          <w:color w:val="000000"/>
        </w:rPr>
        <w:t xml:space="preserve">“For physical disabilities, I usually try to get in contact with an occupational therapist and physiotherapist depending on the chronicity of the illness.  For mental health illness, I usually try to refer them to psychiatrist but before a psychiatrist can see them, I have to basically design their pharmacotherapy” </w:t>
      </w:r>
    </w:p>
    <w:p w:rsidR="00AA3D25" w:rsidRDefault="00AA3D25" w:rsidP="00DD3744">
      <w:pPr>
        <w:spacing w:line="480" w:lineRule="auto"/>
        <w:ind w:left="900" w:right="1020"/>
        <w:jc w:val="both"/>
        <w:rPr>
          <w:color w:val="000000"/>
        </w:rPr>
      </w:pPr>
    </w:p>
    <w:p w:rsidR="00AA3D25" w:rsidRDefault="005C6640" w:rsidP="00DD3744">
      <w:pPr>
        <w:spacing w:line="480" w:lineRule="auto"/>
        <w:ind w:right="900"/>
      </w:pPr>
      <w:r>
        <w:rPr>
          <w:color w:val="000000"/>
        </w:rPr>
        <w:t>Interestingly, usually physicians referred PWD to similar places:</w:t>
      </w:r>
    </w:p>
    <w:p w:rsidR="00AA3D25" w:rsidRDefault="005C6640" w:rsidP="00DD3744">
      <w:pPr>
        <w:spacing w:line="480" w:lineRule="auto"/>
        <w:ind w:left="900" w:right="900"/>
        <w:jc w:val="both"/>
      </w:pPr>
      <w:r>
        <w:rPr>
          <w:color w:val="000000"/>
        </w:rPr>
        <w:t>“I usually refer to the Rehab centers, occupational therapist, physiotherapist, mental health team depending on the need.”</w:t>
      </w:r>
    </w:p>
    <w:p w:rsidR="00AA3D25" w:rsidRDefault="005C6640" w:rsidP="00DD3744">
      <w:pPr>
        <w:spacing w:line="480" w:lineRule="auto"/>
        <w:ind w:firstLine="720"/>
        <w:jc w:val="both"/>
      </w:pPr>
      <w:r>
        <w:rPr>
          <w:color w:val="000000"/>
        </w:rPr>
        <w:t>Physicians do believe they have an important role to play. However, they are not appropriately trained (</w:t>
      </w:r>
      <w:r>
        <w:rPr>
          <w:lang w:val="en-CA"/>
        </w:rPr>
        <w:t xml:space="preserve">Dovey &amp; Webb, 2000). </w:t>
      </w:r>
      <w:r>
        <w:rPr>
          <w:color w:val="000000"/>
        </w:rPr>
        <w:t>Another participant also discussed the need for access to Cognitive Behavioral Therapy (CBT) in their training with the increase in mental illness and the lack of available slots for treatment of mental illness especially for PWD.</w:t>
      </w:r>
    </w:p>
    <w:p w:rsidR="00AA3D25" w:rsidRDefault="005C6640" w:rsidP="00DD3744">
      <w:pPr>
        <w:spacing w:line="480" w:lineRule="auto"/>
        <w:ind w:left="900" w:right="900"/>
        <w:jc w:val="both"/>
      </w:pPr>
      <w:r>
        <w:rPr>
          <w:color w:val="000000"/>
        </w:rPr>
        <w:t>“I have attended few seminars for CBT but I am not very well trained in that area, this is one more thing that physician should be trained during or after medical college, there is a shortage of psychologists in the system and if you go for a private psychologist, it can even cost you … 250 dollars per hour and not very … many people can go and get psychologist for themselves. Sometimes you do not just want to throw pills but need a multi-dimensional approach using other resources.”</w:t>
      </w:r>
    </w:p>
    <w:p w:rsidR="00AA3D25" w:rsidRDefault="005C6640" w:rsidP="00DD3744">
      <w:pPr>
        <w:spacing w:line="480" w:lineRule="auto"/>
      </w:pPr>
      <w:r>
        <w:rPr>
          <w:color w:val="000000"/>
        </w:rPr>
        <w:t xml:space="preserve"> </w:t>
      </w:r>
    </w:p>
    <w:p w:rsidR="00AA3D25" w:rsidRDefault="005C6640" w:rsidP="00DD3744">
      <w:pPr>
        <w:spacing w:line="480" w:lineRule="auto"/>
        <w:ind w:firstLine="720"/>
      </w:pPr>
      <w:r>
        <w:rPr>
          <w:color w:val="000000"/>
        </w:rPr>
        <w:lastRenderedPageBreak/>
        <w:t>Usually PWD would only approach physicians for the resources they already know about:</w:t>
      </w:r>
    </w:p>
    <w:p w:rsidR="00AA3D25" w:rsidRDefault="005C6640" w:rsidP="00DD3744">
      <w:pPr>
        <w:spacing w:line="480" w:lineRule="auto"/>
        <w:ind w:left="900" w:right="900"/>
        <w:jc w:val="both"/>
        <w:rPr>
          <w:color w:val="000000"/>
        </w:rPr>
      </w:pPr>
      <w:r>
        <w:rPr>
          <w:color w:val="000000"/>
        </w:rPr>
        <w:t>“We are mostly asked for the handicap parking permits…. I provide them with extra counselling (CBT) etc.”</w:t>
      </w:r>
    </w:p>
    <w:p w:rsidR="00AA3D25" w:rsidRDefault="005C6640" w:rsidP="00DD3744">
      <w:pPr>
        <w:spacing w:line="480" w:lineRule="auto"/>
        <w:ind w:right="900" w:firstLine="720"/>
        <w:jc w:val="both"/>
      </w:pPr>
      <w:r>
        <w:t xml:space="preserve">Literature shows physicians have advocated having a team and emphasizing the importance of having allied healthcare workers as colleagues </w:t>
      </w:r>
      <w:r>
        <w:rPr>
          <w:color w:val="000000"/>
        </w:rPr>
        <w:t>(</w:t>
      </w:r>
      <w:r>
        <w:rPr>
          <w:lang w:val="en-CA"/>
        </w:rPr>
        <w:t>Dovey &amp; Webb, 2000).</w:t>
      </w:r>
    </w:p>
    <w:p w:rsidR="00AA3D25" w:rsidRDefault="005C6640" w:rsidP="00DD3744">
      <w:pPr>
        <w:spacing w:line="480" w:lineRule="auto"/>
        <w:ind w:left="900" w:right="900"/>
        <w:jc w:val="both"/>
        <w:rPr>
          <w:color w:val="000000"/>
        </w:rPr>
      </w:pPr>
      <w:r>
        <w:rPr>
          <w:color w:val="000000"/>
        </w:rPr>
        <w:t xml:space="preserve"> “I think there should be case-managers involved, a lot of times we do not have any training for the assessment or know the point of view about different perspective of these people. About the resources; it took me time to get where I am right now, when I started off, I did not have any resources.”</w:t>
      </w:r>
    </w:p>
    <w:p w:rsidR="00AA3D25" w:rsidRDefault="005C6640" w:rsidP="00DD3744">
      <w:pPr>
        <w:pStyle w:val="Heading5"/>
      </w:pPr>
      <w:r>
        <w:t>Discussion</w:t>
      </w:r>
    </w:p>
    <w:p w:rsidR="00AA3D25" w:rsidRDefault="005C6640" w:rsidP="00DD3744">
      <w:pPr>
        <w:spacing w:line="480" w:lineRule="auto"/>
        <w:ind w:firstLine="720"/>
        <w:jc w:val="both"/>
      </w:pPr>
      <w:r>
        <w:rPr>
          <w:color w:val="000000"/>
        </w:rPr>
        <w:t>Resources and general guidelines would greatly help the physician-patient relationship (Aulagnier et al., 2005). Instead of PWD directly accessing resources, they have to take a detour and go through physicians to access services. The way society has developed, there is a gap between p</w:t>
      </w:r>
      <w:r w:rsidR="009A7AAD">
        <w:rPr>
          <w:color w:val="000000"/>
        </w:rPr>
        <w:t>hysician’s knowledge</w:t>
      </w:r>
      <w:r w:rsidR="00BD44F0">
        <w:rPr>
          <w:color w:val="000000"/>
        </w:rPr>
        <w:t>-base</w:t>
      </w:r>
      <w:r w:rsidR="009A7AAD">
        <w:rPr>
          <w:color w:val="000000"/>
        </w:rPr>
        <w:t xml:space="preserve"> and the resources in </w:t>
      </w:r>
      <w:r>
        <w:rPr>
          <w:color w:val="000000"/>
        </w:rPr>
        <w:t xml:space="preserve"> </w:t>
      </w:r>
      <w:r w:rsidR="009A7AAD">
        <w:rPr>
          <w:color w:val="000000"/>
        </w:rPr>
        <w:t xml:space="preserve">the community </w:t>
      </w:r>
      <w:r>
        <w:rPr>
          <w:color w:val="000000"/>
        </w:rPr>
        <w:t xml:space="preserve">, with </w:t>
      </w:r>
      <w:r w:rsidR="009A7AAD">
        <w:rPr>
          <w:color w:val="000000"/>
        </w:rPr>
        <w:t>limited</w:t>
      </w:r>
      <w:r>
        <w:rPr>
          <w:color w:val="000000"/>
        </w:rPr>
        <w:t xml:space="preserve"> guidelines. Physicians are expected to search</w:t>
      </w:r>
      <w:r w:rsidR="00BD44F0">
        <w:rPr>
          <w:color w:val="000000"/>
        </w:rPr>
        <w:t xml:space="preserve"> for the</w:t>
      </w:r>
      <w:r>
        <w:rPr>
          <w:color w:val="000000"/>
        </w:rPr>
        <w:t xml:space="preserve"> resources on their own time, and connect the patients with the appropriate resources. Many physicians do not agree that it should be their responsibility and that there should be other organization involved helping with connecting PWD </w:t>
      </w:r>
      <w:r>
        <w:t>(Bond, Kerr, Dunstan, &amp; Thapar, 1997). One way or the other, it is important to have a very clear idea about accountability of each individual and organization so no PWD would have to settle for less than optimum care.</w:t>
      </w:r>
    </w:p>
    <w:p w:rsidR="00AA3D25" w:rsidRDefault="005C6640" w:rsidP="00DD3744">
      <w:pPr>
        <w:spacing w:line="480" w:lineRule="auto"/>
        <w:ind w:firstLine="720"/>
        <w:jc w:val="both"/>
      </w:pPr>
      <w:r>
        <w:rPr>
          <w:color w:val="000000"/>
        </w:rPr>
        <w:t xml:space="preserve">Being the first point of contact expecting physicians to guide PWD in the current system is to be expected. As the </w:t>
      </w:r>
      <w:r w:rsidR="00BD44F0">
        <w:rPr>
          <w:color w:val="000000"/>
        </w:rPr>
        <w:t>gatekeeper,</w:t>
      </w:r>
      <w:r>
        <w:rPr>
          <w:color w:val="000000"/>
        </w:rPr>
        <w:t xml:space="preserve"> they are the focal points for resources in the community. </w:t>
      </w:r>
      <w:r w:rsidR="00BD44F0">
        <w:rPr>
          <w:color w:val="000000"/>
        </w:rPr>
        <w:lastRenderedPageBreak/>
        <w:t>Many</w:t>
      </w:r>
      <w:r>
        <w:rPr>
          <w:color w:val="000000"/>
        </w:rPr>
        <w:t xml:space="preserve"> </w:t>
      </w:r>
      <w:r w:rsidR="00BD44F0">
        <w:rPr>
          <w:color w:val="000000"/>
        </w:rPr>
        <w:t>physicians</w:t>
      </w:r>
      <w:r>
        <w:rPr>
          <w:color w:val="000000"/>
        </w:rPr>
        <w:t xml:space="preserve"> do not believe that it is their job to do so. Some physicians are more willing to go beyond any set expectations. </w:t>
      </w:r>
    </w:p>
    <w:p w:rsidR="00AA3D25" w:rsidRDefault="005C6640" w:rsidP="00DD3744">
      <w:pPr>
        <w:spacing w:line="480" w:lineRule="auto"/>
        <w:ind w:firstLine="720"/>
        <w:jc w:val="both"/>
      </w:pPr>
      <w:r>
        <w:rPr>
          <w:color w:val="000000"/>
        </w:rPr>
        <w:t xml:space="preserve">However, it eliminates a proper protocol or guideline to follow in order to establish consistency and leaves a lot on the physicians’ interest in understanding their job, time on hand and available assistance to run the clinic. The lack of any </w:t>
      </w:r>
      <w:r w:rsidR="00BD44F0">
        <w:rPr>
          <w:color w:val="000000"/>
        </w:rPr>
        <w:t>system endorses</w:t>
      </w:r>
      <w:r>
        <w:rPr>
          <w:color w:val="000000"/>
        </w:rPr>
        <w:t xml:space="preserve"> chaos, unsystematic healthcare development and gaps for PWD. Most physicians suggested an availability of handbooks, brochures or more accessible mental illness support. </w:t>
      </w:r>
      <w:r w:rsidR="00BD44F0">
        <w:rPr>
          <w:color w:val="000000"/>
        </w:rPr>
        <w:t>In addition</w:t>
      </w:r>
      <w:r>
        <w:rPr>
          <w:color w:val="000000"/>
        </w:rPr>
        <w:t xml:space="preserve">, the greater input from specialists also seemed to a popular opinion </w:t>
      </w:r>
      <w:r>
        <w:t xml:space="preserve">(Bond, Kerr, Dunstan, &amp; Thapar, 1997). </w:t>
      </w:r>
    </w:p>
    <w:p w:rsidR="00AA3D25" w:rsidRDefault="005C6640" w:rsidP="00DD3744">
      <w:pPr>
        <w:spacing w:line="480" w:lineRule="auto"/>
        <w:ind w:firstLine="720"/>
        <w:jc w:val="both"/>
      </w:pPr>
      <w:r>
        <w:rPr>
          <w:color w:val="000000"/>
        </w:rPr>
        <w:t xml:space="preserve">In many </w:t>
      </w:r>
      <w:r w:rsidR="00BD44F0">
        <w:rPr>
          <w:color w:val="000000"/>
        </w:rPr>
        <w:t>cases,</w:t>
      </w:r>
      <w:r>
        <w:rPr>
          <w:color w:val="000000"/>
        </w:rPr>
        <w:t xml:space="preserve"> physicians are hesitant to act as a gatekeeper to the resources or be the bridge for PWD. Aulagnier at al., (2005) stated in their research that many physicians did not believe acting like a liaison between the PWD and the resources are their responsibility, more importantly they believed there should be a social worker involved (</w:t>
      </w:r>
      <w:r>
        <w:rPr>
          <w:lang w:val="en-CA"/>
        </w:rPr>
        <w:t>Dovey &amp; Webb, 2000)</w:t>
      </w:r>
      <w:r>
        <w:rPr>
          <w:color w:val="000000"/>
        </w:rPr>
        <w:t>. This further reinforces the need for a standardized division of responsibility required to deal with PWD and an established process implemented</w:t>
      </w:r>
      <w:r>
        <w:t xml:space="preserve">. </w:t>
      </w:r>
      <w:r>
        <w:rPr>
          <w:color w:val="000000"/>
        </w:rPr>
        <w:t xml:space="preserve">The presence of an allied health professional is not a new concept the Canadian healthcare system. However, effective teamwork will only be helpful if guidelines and protocols dictating such meetings are clear. Lack of timely access to specialists at the right time frequently causes delay in management of any illness </w:t>
      </w:r>
      <w:r>
        <w:t>(</w:t>
      </w:r>
      <w:r>
        <w:rPr>
          <w:color w:val="000000"/>
        </w:rPr>
        <w:t>Lennox et al., 1997). The presence of a social worker or a case manager can help lessen the load</w:t>
      </w:r>
      <w:r w:rsidR="00BD44F0">
        <w:rPr>
          <w:color w:val="000000"/>
        </w:rPr>
        <w:t xml:space="preserve"> </w:t>
      </w:r>
      <w:r>
        <w:rPr>
          <w:color w:val="000000"/>
        </w:rPr>
        <w:t>(Dovey &amp; Webb, 2000).</w:t>
      </w:r>
    </w:p>
    <w:p w:rsidR="00AA3D25" w:rsidRDefault="005C6640" w:rsidP="00DD3744">
      <w:pPr>
        <w:spacing w:line="480" w:lineRule="auto"/>
        <w:jc w:val="both"/>
      </w:pPr>
      <w:r>
        <w:rPr>
          <w:color w:val="000000"/>
        </w:rPr>
        <w:t xml:space="preserve"> </w:t>
      </w:r>
      <w:r>
        <w:tab/>
      </w:r>
      <w:r>
        <w:rPr>
          <w:color w:val="000000"/>
        </w:rPr>
        <w:t>The</w:t>
      </w:r>
      <w:r w:rsidR="00BD44F0">
        <w:rPr>
          <w:color w:val="000000"/>
        </w:rPr>
        <w:t>re is a</w:t>
      </w:r>
      <w:r>
        <w:rPr>
          <w:color w:val="000000"/>
        </w:rPr>
        <w:t xml:space="preserve"> need for </w:t>
      </w:r>
      <w:r w:rsidR="00BD44F0">
        <w:rPr>
          <w:color w:val="000000"/>
        </w:rPr>
        <w:t xml:space="preserve">an organized </w:t>
      </w:r>
      <w:r>
        <w:rPr>
          <w:color w:val="000000"/>
        </w:rPr>
        <w:t xml:space="preserve">and effective system of care </w:t>
      </w:r>
      <w:r w:rsidR="00BD44F0">
        <w:rPr>
          <w:color w:val="000000"/>
        </w:rPr>
        <w:t xml:space="preserve">(Kerins et al., 2004).  This </w:t>
      </w:r>
      <w:r>
        <w:rPr>
          <w:color w:val="000000"/>
        </w:rPr>
        <w:t>will not only assist in instituting a simple flow of service delivery</w:t>
      </w:r>
      <w:r w:rsidR="00BD44F0">
        <w:rPr>
          <w:color w:val="000000"/>
        </w:rPr>
        <w:t xml:space="preserve"> it will</w:t>
      </w:r>
      <w:r>
        <w:rPr>
          <w:color w:val="000000"/>
        </w:rPr>
        <w:t xml:space="preserve"> </w:t>
      </w:r>
      <w:r w:rsidR="00BD44F0">
        <w:rPr>
          <w:color w:val="000000"/>
        </w:rPr>
        <w:t>a</w:t>
      </w:r>
      <w:r>
        <w:rPr>
          <w:color w:val="000000"/>
        </w:rPr>
        <w:t>lso help in identifying the right resource</w:t>
      </w:r>
      <w:r w:rsidR="00BD44F0">
        <w:rPr>
          <w:color w:val="000000"/>
        </w:rPr>
        <w:t>s</w:t>
      </w:r>
      <w:r>
        <w:rPr>
          <w:color w:val="000000"/>
        </w:rPr>
        <w:t xml:space="preserve"> for PWD</w:t>
      </w:r>
      <w:r w:rsidR="00BD44F0">
        <w:rPr>
          <w:color w:val="000000"/>
        </w:rPr>
        <w:t>.</w:t>
      </w:r>
      <w:r>
        <w:rPr>
          <w:color w:val="000000"/>
        </w:rPr>
        <w:t xml:space="preserve"> (</w:t>
      </w:r>
      <w:r w:rsidR="00BD44F0">
        <w:rPr>
          <w:color w:val="000000"/>
        </w:rPr>
        <w:t xml:space="preserve">Further </w:t>
      </w:r>
      <w:r>
        <w:rPr>
          <w:color w:val="000000"/>
        </w:rPr>
        <w:t>red</w:t>
      </w:r>
      <w:r w:rsidR="00883D67">
        <w:rPr>
          <w:color w:val="000000"/>
        </w:rPr>
        <w:t>u</w:t>
      </w:r>
      <w:r>
        <w:rPr>
          <w:color w:val="000000"/>
        </w:rPr>
        <w:t xml:space="preserve">cing the time </w:t>
      </w:r>
      <w:r w:rsidR="00883D67">
        <w:rPr>
          <w:color w:val="000000"/>
        </w:rPr>
        <w:t>need to access resources)/</w:t>
      </w:r>
    </w:p>
    <w:p w:rsidR="00AA3D25" w:rsidRDefault="005C6640" w:rsidP="00DD3744">
      <w:pPr>
        <w:spacing w:line="480" w:lineRule="auto"/>
        <w:ind w:firstLine="720"/>
      </w:pPr>
      <w:r>
        <w:rPr>
          <w:color w:val="000000"/>
        </w:rPr>
        <w:t>Physicians in busy settings only respond</w:t>
      </w:r>
      <w:r w:rsidR="00883D67">
        <w:rPr>
          <w:color w:val="000000"/>
        </w:rPr>
        <w:t>ed</w:t>
      </w:r>
      <w:r>
        <w:rPr>
          <w:color w:val="000000"/>
        </w:rPr>
        <w:t xml:space="preserve"> to the</w:t>
      </w:r>
      <w:r w:rsidR="00883D67">
        <w:rPr>
          <w:color w:val="000000"/>
        </w:rPr>
        <w:t xml:space="preserve"> queries they are asked about (f</w:t>
      </w:r>
      <w:r>
        <w:rPr>
          <w:color w:val="000000"/>
        </w:rPr>
        <w:t>or example parking permits</w:t>
      </w:r>
      <w:r w:rsidR="00883D67">
        <w:rPr>
          <w:color w:val="000000"/>
        </w:rPr>
        <w:t>)</w:t>
      </w:r>
      <w:r>
        <w:rPr>
          <w:color w:val="000000"/>
        </w:rPr>
        <w:t xml:space="preserve">. </w:t>
      </w:r>
      <w:r w:rsidR="00883D67">
        <w:rPr>
          <w:color w:val="000000"/>
        </w:rPr>
        <w:t>I</w:t>
      </w:r>
      <w:r>
        <w:rPr>
          <w:color w:val="000000"/>
        </w:rPr>
        <w:t xml:space="preserve">f the physician is busy, there is a limited amount of time they bill for </w:t>
      </w:r>
      <w:r>
        <w:rPr>
          <w:color w:val="000000"/>
        </w:rPr>
        <w:lastRenderedPageBreak/>
        <w:t xml:space="preserve">a single patient so </w:t>
      </w:r>
      <w:r w:rsidR="00883D67">
        <w:rPr>
          <w:color w:val="000000"/>
        </w:rPr>
        <w:t xml:space="preserve">chances </w:t>
      </w:r>
      <w:r>
        <w:rPr>
          <w:color w:val="000000"/>
        </w:rPr>
        <w:t>are PWD</w:t>
      </w:r>
      <w:r w:rsidR="00883D67">
        <w:rPr>
          <w:color w:val="000000"/>
        </w:rPr>
        <w:t xml:space="preserve"> will not get optimum care.</w:t>
      </w:r>
      <w:r>
        <w:rPr>
          <w:color w:val="000000"/>
        </w:rPr>
        <w:t xml:space="preserve"> Once again, there is an increased likelihood of PWD falling through the cracks even when</w:t>
      </w:r>
      <w:r w:rsidR="00883D67">
        <w:rPr>
          <w:color w:val="000000"/>
        </w:rPr>
        <w:t xml:space="preserve"> they are seeing physicians for regular follow-up appointments. Moreover</w:t>
      </w:r>
      <w:r>
        <w:rPr>
          <w:color w:val="000000"/>
        </w:rPr>
        <w:t xml:space="preserve">, often physicians do not think it is their responsibility to make sure regular screenings </w:t>
      </w:r>
      <w:r w:rsidR="00883D67">
        <w:rPr>
          <w:color w:val="000000"/>
        </w:rPr>
        <w:t>such as eyesight</w:t>
      </w:r>
      <w:r>
        <w:rPr>
          <w:color w:val="000000"/>
        </w:rPr>
        <w:t xml:space="preserve"> </w:t>
      </w:r>
      <w:r w:rsidR="00883D67">
        <w:rPr>
          <w:color w:val="000000"/>
        </w:rPr>
        <w:t>are</w:t>
      </w:r>
      <w:r>
        <w:rPr>
          <w:color w:val="000000"/>
        </w:rPr>
        <w:t xml:space="preserve"> done (</w:t>
      </w:r>
      <w:r>
        <w:rPr>
          <w:lang w:val="en-CA"/>
        </w:rPr>
        <w:t>Dovey &amp; Webb, 2000)</w:t>
      </w:r>
      <w:r>
        <w:rPr>
          <w:color w:val="000000"/>
        </w:rPr>
        <w:t xml:space="preserve">. </w:t>
      </w:r>
      <w:r>
        <w:rPr>
          <w:color w:val="000000" w:themeColor="text1"/>
        </w:rPr>
        <w:t xml:space="preserve">Looking through a social lens would likely change the upcoming health care innovation strategies and expected outcomes for PWD for </w:t>
      </w:r>
      <w:r w:rsidR="00F65456">
        <w:rPr>
          <w:color w:val="000000" w:themeColor="text1"/>
        </w:rPr>
        <w:t>example;</w:t>
      </w:r>
      <w:r>
        <w:rPr>
          <w:color w:val="000000" w:themeColor="text1"/>
        </w:rPr>
        <w:t xml:space="preserve"> a visually impaired diabetic patient wants to access a brochure. Looking through the medical lens, there would probably be no solution if there </w:t>
      </w:r>
      <w:r w:rsidR="00F65456">
        <w:rPr>
          <w:color w:val="000000" w:themeColor="text1"/>
        </w:rPr>
        <w:t>were</w:t>
      </w:r>
      <w:r>
        <w:rPr>
          <w:color w:val="000000" w:themeColor="text1"/>
        </w:rPr>
        <w:t xml:space="preserve"> no treatment for the impairment. However, SMD necessitates audio-recordings and recommends the resources to be likewise accessible in Braille or larger font. </w:t>
      </w:r>
    </w:p>
    <w:p w:rsidR="00AA3D25" w:rsidRDefault="005C6640" w:rsidP="00DD3744">
      <w:pPr>
        <w:spacing w:line="480" w:lineRule="auto"/>
        <w:ind w:firstLine="720"/>
      </w:pPr>
      <w:r>
        <w:rPr>
          <w:color w:val="000000" w:themeColor="text1"/>
          <w:lang w:val="en-CA"/>
        </w:rPr>
        <w:t xml:space="preserve">One of the three most common causes of disability: pain, mobility or flexibility, was reported by almost 3 million people in Canada (StatsCan, 2013). </w:t>
      </w:r>
      <w:r>
        <w:rPr>
          <w:color w:val="000000" w:themeColor="text1"/>
        </w:rPr>
        <w:t>Mobility affects accessibility at so many different points for example, if a wheelchair user needs to enter an inaccessible doctor’s clinic and accessibility does not only mean having ramp at the entrance, but also having broader hallways, adjustable examination table and grab bars in washrooms. Under a medical lens, there would be no solution but to go to another clinic, which may be further away. The SMD supports using ramps and providing equal access to PWD by having more space to maneuver a wheelchair or use of crutches and other supportive accommodations such as having someone who knows sign language.</w:t>
      </w:r>
    </w:p>
    <w:p w:rsidR="00AA3D25" w:rsidRDefault="00AA3D25" w:rsidP="00DD3744">
      <w:pPr>
        <w:spacing w:line="480" w:lineRule="auto"/>
        <w:ind w:firstLine="720"/>
        <w:jc w:val="both"/>
        <w:rPr>
          <w:color w:val="000000"/>
        </w:rPr>
      </w:pPr>
    </w:p>
    <w:p w:rsidR="00AA3D25" w:rsidRDefault="005C6640" w:rsidP="00DD3744">
      <w:pPr>
        <w:spacing w:line="480" w:lineRule="auto"/>
        <w:rPr>
          <w:color w:val="000000"/>
        </w:rPr>
      </w:pPr>
      <w:r>
        <w:br w:type="page"/>
      </w:r>
    </w:p>
    <w:p w:rsidR="00AA3D25" w:rsidRDefault="005C6640" w:rsidP="00DD3744">
      <w:pPr>
        <w:pStyle w:val="Heading3"/>
      </w:pPr>
      <w:bookmarkStart w:id="430" w:name="_Toc533852531"/>
      <w:r>
        <w:lastRenderedPageBreak/>
        <w:t>Time remuneration</w:t>
      </w:r>
      <w:bookmarkEnd w:id="430"/>
    </w:p>
    <w:p w:rsidR="00AA3D25" w:rsidRDefault="005C6640" w:rsidP="00DD3744">
      <w:pPr>
        <w:spacing w:line="480" w:lineRule="auto"/>
      </w:pPr>
      <w:r>
        <w:rPr>
          <w:color w:val="000000"/>
        </w:rPr>
        <w:t xml:space="preserve"> All participants expressed similar opinions about being unable to bill according to the time spent on any particular individual. In this </w:t>
      </w:r>
      <w:r w:rsidR="00F65456">
        <w:rPr>
          <w:color w:val="000000"/>
        </w:rPr>
        <w:t>chapter,</w:t>
      </w:r>
      <w:r>
        <w:rPr>
          <w:color w:val="000000"/>
        </w:rPr>
        <w:t xml:space="preserve"> </w:t>
      </w:r>
      <w:r w:rsidR="00F65456">
        <w:rPr>
          <w:color w:val="000000"/>
        </w:rPr>
        <w:t>I discuss</w:t>
      </w:r>
      <w:r>
        <w:rPr>
          <w:color w:val="000000"/>
        </w:rPr>
        <w:t xml:space="preserve"> adequate time remuneration. Time remuneration refers to the monetary compensation of the time spent with the patient. Many physicians believe PWD take considerably more time</w:t>
      </w:r>
      <w:r w:rsidR="00F65456">
        <w:rPr>
          <w:color w:val="000000"/>
        </w:rPr>
        <w:t xml:space="preserve"> to examine compared</w:t>
      </w:r>
      <w:r>
        <w:rPr>
          <w:color w:val="000000"/>
        </w:rPr>
        <w:t xml:space="preserve"> able-bodied patients (</w:t>
      </w:r>
      <w:r>
        <w:t>Lennox, Diggens, &amp; Ugoni, 1997). The idea alone made the physicians uncomfortable with the billing prospect:</w:t>
      </w:r>
    </w:p>
    <w:p w:rsidR="00AA3D25" w:rsidRDefault="005C6640" w:rsidP="00DD3744">
      <w:pPr>
        <w:spacing w:line="480" w:lineRule="auto"/>
        <w:ind w:left="907" w:right="907"/>
      </w:pPr>
      <w:r>
        <w:rPr>
          <w:color w:val="000000"/>
        </w:rPr>
        <w:t xml:space="preserve"> “You cannot bill a PWD if they have Urinary Tract Infection differently, so you bill PWD and a normal (able bodied) person a same way. It takes significantly more time to see a person with a disability. I am billed by fee for service method. So not having a different code means I cannot bill for the time spent and sometimes I have to rush the patient then…”</w:t>
      </w:r>
    </w:p>
    <w:p w:rsidR="00AA3D25" w:rsidRDefault="00AA3D25" w:rsidP="00DD3744">
      <w:pPr>
        <w:spacing w:line="480" w:lineRule="auto"/>
        <w:ind w:left="907" w:right="907"/>
        <w:rPr>
          <w:color w:val="000000"/>
        </w:rPr>
      </w:pPr>
    </w:p>
    <w:p w:rsidR="00AA3D25" w:rsidRDefault="005C6640" w:rsidP="00DD3744">
      <w:pPr>
        <w:spacing w:line="480" w:lineRule="auto"/>
        <w:ind w:right="907"/>
        <w:rPr>
          <w:color w:val="000000"/>
        </w:rPr>
      </w:pPr>
      <w:r>
        <w:rPr>
          <w:color w:val="000000"/>
        </w:rPr>
        <w:t>Another physician described the problem with the fee for service model stating:</w:t>
      </w:r>
    </w:p>
    <w:p w:rsidR="00AA3D25" w:rsidRDefault="005C6640" w:rsidP="00DD3744">
      <w:pPr>
        <w:spacing w:line="480" w:lineRule="auto"/>
        <w:ind w:left="907" w:right="907"/>
      </w:pPr>
      <w:r>
        <w:rPr>
          <w:color w:val="000000"/>
        </w:rPr>
        <w:t>“People are not very friendly with people having any disability mainly because they have to bill the same way and in fee for service model, even if they have a different code for mental illness, it does not pay much differently. If I am spending more time, then I deserve to bill accordingly.”</w:t>
      </w:r>
    </w:p>
    <w:p w:rsidR="00AA3D25" w:rsidRDefault="00AA3D25" w:rsidP="00DD3744">
      <w:pPr>
        <w:spacing w:line="480" w:lineRule="auto"/>
        <w:ind w:left="907" w:right="907"/>
        <w:rPr>
          <w:color w:val="000000"/>
        </w:rPr>
      </w:pPr>
    </w:p>
    <w:p w:rsidR="00AA3D25" w:rsidRDefault="005C6640" w:rsidP="00DD3744">
      <w:pPr>
        <w:spacing w:line="480" w:lineRule="auto"/>
      </w:pPr>
      <w:r>
        <w:rPr>
          <w:color w:val="000000"/>
        </w:rPr>
        <w:t xml:space="preserve"> The coding for the bill seemed to be a problem with almost everyone:</w:t>
      </w:r>
    </w:p>
    <w:p w:rsidR="00AA3D25" w:rsidRDefault="00AA3D25" w:rsidP="00DD3744">
      <w:pPr>
        <w:spacing w:line="480" w:lineRule="auto"/>
        <w:rPr>
          <w:color w:val="000000"/>
        </w:rPr>
      </w:pPr>
    </w:p>
    <w:p w:rsidR="00AA3D25" w:rsidRDefault="005C6640" w:rsidP="00DD3744">
      <w:pPr>
        <w:spacing w:line="480" w:lineRule="auto"/>
        <w:ind w:left="907" w:right="907"/>
        <w:rPr>
          <w:color w:val="000000"/>
        </w:rPr>
      </w:pPr>
      <w:r>
        <w:rPr>
          <w:color w:val="000000"/>
        </w:rPr>
        <w:t xml:space="preserve"> “Definitely PWD need more time, sometimes even a person with mental illness like depression would take a lot of time, sometime even double the </w:t>
      </w:r>
      <w:r>
        <w:rPr>
          <w:color w:val="000000"/>
        </w:rPr>
        <w:lastRenderedPageBreak/>
        <w:t>time. Sometime it takes a lot of time for me to examine someone in the wheelchair. Most of the time we would have same code for most of the patient. That cannot work all the time; there is no different code for different scenarios...”</w:t>
      </w:r>
    </w:p>
    <w:p w:rsidR="00AA3D25" w:rsidRDefault="005C6640" w:rsidP="00DD3744">
      <w:pPr>
        <w:spacing w:line="480" w:lineRule="auto"/>
        <w:ind w:firstLine="720"/>
      </w:pPr>
      <w:r>
        <w:rPr>
          <w:color w:val="000000"/>
        </w:rPr>
        <w:t xml:space="preserve">Under the </w:t>
      </w:r>
      <w:r w:rsidR="003018D2">
        <w:rPr>
          <w:color w:val="000000"/>
        </w:rPr>
        <w:t xml:space="preserve">Social </w:t>
      </w:r>
      <w:r w:rsidR="00F65456">
        <w:rPr>
          <w:color w:val="000000"/>
        </w:rPr>
        <w:t>Model lens</w:t>
      </w:r>
      <w:r>
        <w:rPr>
          <w:color w:val="000000"/>
        </w:rPr>
        <w:t xml:space="preserve"> the situation might have been different, disability no longer would </w:t>
      </w:r>
      <w:r w:rsidR="00F65456">
        <w:rPr>
          <w:color w:val="000000"/>
        </w:rPr>
        <w:t>be</w:t>
      </w:r>
      <w:r>
        <w:rPr>
          <w:color w:val="000000"/>
        </w:rPr>
        <w:t xml:space="preserve"> treated as a personal tragedy (Oliver, 2013). The design set up would have accounted for the delay too. The delays in running the clinic are usually the culprit behind the hesitancy found with the staff. Often participants also mentioned the unwillingness of the staff members like health care aide and office assistants to </w:t>
      </w:r>
      <w:r w:rsidR="00F65456">
        <w:rPr>
          <w:color w:val="000000"/>
        </w:rPr>
        <w:t>help</w:t>
      </w:r>
      <w:r>
        <w:rPr>
          <w:color w:val="000000"/>
        </w:rPr>
        <w:t xml:space="preserve"> with people in clinic setup. Most of the time this ends in unconscious passive bitterness toward PWD and sometimes physicians will also try to see a patient in the minimum time possible to try </w:t>
      </w:r>
      <w:r w:rsidR="00F65456">
        <w:rPr>
          <w:color w:val="000000"/>
        </w:rPr>
        <w:t>to</w:t>
      </w:r>
      <w:r>
        <w:rPr>
          <w:color w:val="000000"/>
        </w:rPr>
        <w:t xml:space="preserve"> see all the patients before closing the clinic:</w:t>
      </w:r>
    </w:p>
    <w:p w:rsidR="00AA3D25" w:rsidRDefault="005C6640" w:rsidP="00DD3744">
      <w:pPr>
        <w:spacing w:line="480" w:lineRule="auto"/>
        <w:ind w:left="907" w:right="907"/>
      </w:pPr>
      <w:r>
        <w:rPr>
          <w:color w:val="000000"/>
        </w:rPr>
        <w:t>“Yeah, they need more time, of course they do because there are barriers in communication sometimes, sometimes it is difficult to do examination since they cannot lean forward or they cannot sit on the examination table because it is difficult for them, so we have to examine them in their wheelchair or on the chair they are sitting.  It is time consuming of course.”</w:t>
      </w:r>
    </w:p>
    <w:p w:rsidR="00AA3D25" w:rsidRDefault="00AA3D25" w:rsidP="00DD3744">
      <w:pPr>
        <w:spacing w:line="480" w:lineRule="auto"/>
        <w:ind w:left="907" w:right="907"/>
        <w:rPr>
          <w:color w:val="000000"/>
        </w:rPr>
      </w:pPr>
    </w:p>
    <w:p w:rsidR="00AA3D25" w:rsidRDefault="005C6640" w:rsidP="00DD3744">
      <w:pPr>
        <w:spacing w:line="480" w:lineRule="auto"/>
        <w:ind w:right="907"/>
      </w:pPr>
      <w:r>
        <w:rPr>
          <w:color w:val="000000"/>
        </w:rPr>
        <w:t>A participant reiterated staff having issues:</w:t>
      </w:r>
    </w:p>
    <w:p w:rsidR="00AA3D25" w:rsidRDefault="00AA3D25" w:rsidP="00DD3744">
      <w:pPr>
        <w:spacing w:line="480" w:lineRule="auto"/>
        <w:ind w:right="907"/>
        <w:rPr>
          <w:color w:val="000000"/>
        </w:rPr>
      </w:pPr>
    </w:p>
    <w:p w:rsidR="00AA3D25" w:rsidRDefault="005C6640" w:rsidP="00DD3744">
      <w:pPr>
        <w:spacing w:line="480" w:lineRule="auto"/>
        <w:ind w:left="907" w:right="907"/>
        <w:rPr>
          <w:color w:val="000000"/>
        </w:rPr>
      </w:pPr>
      <w:r>
        <w:rPr>
          <w:color w:val="000000"/>
        </w:rPr>
        <w:t>“At times, even if I am willing to take the patient having disability, my assistants are not very excited and I try not to have a lot such patients.”</w:t>
      </w:r>
    </w:p>
    <w:p w:rsidR="00AA3D25" w:rsidRDefault="005C6640" w:rsidP="00DD3744">
      <w:pPr>
        <w:spacing w:line="480" w:lineRule="auto"/>
        <w:ind w:right="907" w:firstLine="720"/>
      </w:pPr>
      <w:r>
        <w:rPr>
          <w:color w:val="000000"/>
        </w:rPr>
        <w:t xml:space="preserve">A part of feeling time limited also manifests as not willing to take on other responsibilities like counselling or searching for appropriate social services. At times, </w:t>
      </w:r>
      <w:r>
        <w:rPr>
          <w:color w:val="000000"/>
        </w:rPr>
        <w:lastRenderedPageBreak/>
        <w:t xml:space="preserve">physicians felt that their job description did not include counselling regarding community transitioning and that increases their workload </w:t>
      </w:r>
      <w:r>
        <w:t>(Bond, Kerr, Dunstan, &amp; Thapar, 1997).</w:t>
      </w:r>
    </w:p>
    <w:p w:rsidR="00AA3D25" w:rsidRDefault="005C6640" w:rsidP="00DD3744">
      <w:pPr>
        <w:spacing w:line="480" w:lineRule="auto"/>
        <w:ind w:left="907" w:right="907"/>
      </w:pPr>
      <w:r>
        <w:rPr>
          <w:color w:val="000000"/>
        </w:rPr>
        <w:t xml:space="preserve">“There should be mandatory 20 minutes for physician-patient meeting, usually time is not enough for the physicians and due to the work load we feel we have to check in haste and most of the time we don’t have time to even dictate the </w:t>
      </w:r>
      <w:r>
        <w:rPr>
          <w:color w:val="000000" w:themeColor="text1"/>
        </w:rPr>
        <w:t>notes till after the clinic hours.”</w:t>
      </w:r>
    </w:p>
    <w:p w:rsidR="00AA3D25" w:rsidRDefault="00AA3D25" w:rsidP="00DD3744">
      <w:pPr>
        <w:spacing w:line="480" w:lineRule="auto"/>
        <w:ind w:left="907" w:right="907"/>
        <w:rPr>
          <w:color w:val="000000" w:themeColor="text1"/>
        </w:rPr>
      </w:pPr>
    </w:p>
    <w:p w:rsidR="00AA3D25" w:rsidRDefault="005C6640" w:rsidP="00DD3744">
      <w:pPr>
        <w:spacing w:line="480" w:lineRule="auto"/>
        <w:ind w:right="907" w:firstLine="720"/>
      </w:pPr>
      <w:r>
        <w:rPr>
          <w:color w:val="000000" w:themeColor="text1"/>
        </w:rPr>
        <w:t xml:space="preserve">Not surprisingly, a </w:t>
      </w:r>
      <w:r>
        <w:rPr>
          <w:color w:val="000000"/>
        </w:rPr>
        <w:t>participant who had a salaried position did not seem too concerned about the time required for PWD. Physicians working in this environment do not care about billing or time. In my opinion, the physician seemed satisfied with the workload and was genuinely concerned about the well-being of whoever was coming to the centre.</w:t>
      </w:r>
    </w:p>
    <w:p w:rsidR="00AA3D25" w:rsidRDefault="005C6640" w:rsidP="00DD3744">
      <w:pPr>
        <w:spacing w:line="480" w:lineRule="auto"/>
        <w:ind w:left="907" w:right="907"/>
        <w:rPr>
          <w:color w:val="000000"/>
        </w:rPr>
      </w:pPr>
      <w:r>
        <w:rPr>
          <w:color w:val="000000"/>
        </w:rPr>
        <w:t xml:space="preserve">“I do not work on fee for service, I have a salaried job, and I feel I have ample time to see my patients. PWD usually are examined carefully, and there is enough time to </w:t>
      </w:r>
      <w:r>
        <w:rPr>
          <w:color w:val="000000" w:themeColor="text1"/>
        </w:rPr>
        <w:t xml:space="preserve">take a history </w:t>
      </w:r>
      <w:r>
        <w:rPr>
          <w:color w:val="000000"/>
        </w:rPr>
        <w:t>and have a proper management plan”.</w:t>
      </w:r>
    </w:p>
    <w:p w:rsidR="00AA3D25" w:rsidRDefault="005C6640" w:rsidP="00DD3744">
      <w:pPr>
        <w:pStyle w:val="Heading5"/>
      </w:pPr>
      <w:r>
        <w:t>Discussion</w:t>
      </w:r>
    </w:p>
    <w:p w:rsidR="00AA3D25" w:rsidRDefault="005C6640" w:rsidP="00DD3744">
      <w:pPr>
        <w:spacing w:line="480" w:lineRule="auto"/>
        <w:ind w:firstLine="720"/>
      </w:pPr>
      <w:r>
        <w:rPr>
          <w:color w:val="000000"/>
        </w:rPr>
        <w:t>As discussed, some</w:t>
      </w:r>
      <w:r w:rsidR="00F65456">
        <w:rPr>
          <w:color w:val="000000"/>
        </w:rPr>
        <w:t xml:space="preserve"> physicians would like PWD to bill</w:t>
      </w:r>
      <w:r>
        <w:rPr>
          <w:color w:val="000000"/>
        </w:rPr>
        <w:t xml:space="preserve"> with a different code. It is essential to understand the models of primary health care in Winnipeg. </w:t>
      </w:r>
      <w:r>
        <w:rPr>
          <w:rFonts w:eastAsia="Times New Roman"/>
        </w:rPr>
        <w:t>Katz et al., (2016) discussed the five main models of primary care in Winnipeg:</w:t>
      </w:r>
    </w:p>
    <w:p w:rsidR="00AA3D25" w:rsidRDefault="005C6640" w:rsidP="00DD3744">
      <w:pPr>
        <w:spacing w:line="480" w:lineRule="auto"/>
        <w:rPr>
          <w:rFonts w:eastAsia="Times New Roman"/>
        </w:rPr>
      </w:pPr>
      <w:r>
        <w:rPr>
          <w:rFonts w:eastAsia="Times New Roman"/>
        </w:rPr>
        <w:t>1. Non PIN FFS (non-Physician Integrated Network Fee-for-Service)</w:t>
      </w:r>
    </w:p>
    <w:p w:rsidR="00AA3D25" w:rsidRDefault="005C6640" w:rsidP="00DD3744">
      <w:pPr>
        <w:spacing w:line="480" w:lineRule="auto"/>
        <w:rPr>
          <w:rFonts w:eastAsia="Times New Roman"/>
        </w:rPr>
      </w:pPr>
      <w:r>
        <w:rPr>
          <w:rFonts w:eastAsia="Times New Roman"/>
        </w:rPr>
        <w:t>2. PIN FFS (Physician Integrated Network, Fee-for-Service)</w:t>
      </w:r>
    </w:p>
    <w:p w:rsidR="00AA3D25" w:rsidRDefault="005C6640" w:rsidP="00DD3744">
      <w:pPr>
        <w:spacing w:line="480" w:lineRule="auto"/>
        <w:rPr>
          <w:rFonts w:eastAsia="Times New Roman"/>
        </w:rPr>
      </w:pPr>
      <w:r>
        <w:rPr>
          <w:rFonts w:eastAsia="Times New Roman"/>
        </w:rPr>
        <w:t>3. WRHA (Winnipeg Regional Health Association) Primary Care Clinics</w:t>
      </w:r>
    </w:p>
    <w:p w:rsidR="00AA3D25" w:rsidRDefault="005C6640" w:rsidP="00DD3744">
      <w:pPr>
        <w:spacing w:line="480" w:lineRule="auto"/>
        <w:rPr>
          <w:rFonts w:eastAsia="Times New Roman"/>
        </w:rPr>
      </w:pPr>
      <w:r>
        <w:rPr>
          <w:rFonts w:eastAsia="Times New Roman"/>
        </w:rPr>
        <w:lastRenderedPageBreak/>
        <w:t xml:space="preserve">4. Community Health Agency Clinics </w:t>
      </w:r>
    </w:p>
    <w:p w:rsidR="00AA3D25" w:rsidRDefault="005C6640" w:rsidP="00DD3744">
      <w:pPr>
        <w:spacing w:line="480" w:lineRule="auto"/>
        <w:rPr>
          <w:rFonts w:eastAsia="Times New Roman"/>
        </w:rPr>
      </w:pPr>
      <w:r>
        <w:rPr>
          <w:rFonts w:eastAsia="Times New Roman"/>
        </w:rPr>
        <w:t>5. Teaching Clinics</w:t>
      </w:r>
    </w:p>
    <w:p w:rsidR="00AA3D25" w:rsidRDefault="005C6640" w:rsidP="00DD3744">
      <w:pPr>
        <w:spacing w:line="480" w:lineRule="auto"/>
        <w:ind w:firstLine="720"/>
      </w:pPr>
      <w:r>
        <w:rPr>
          <w:rFonts w:eastAsia="Times New Roman"/>
        </w:rPr>
        <w:t>Most of the physicians in my thesis were working with the FFS model. This model, as the name suggests, requires physicians to charge on basis of the number of people they see and they have to be aware of the time spent with each individual. Lack of basic accommodations at the clinic for PWD results in either more time required for PWD or hurried examinations.</w:t>
      </w:r>
    </w:p>
    <w:p w:rsidR="00AA3D25" w:rsidRDefault="005C6640" w:rsidP="00DD3744">
      <w:pPr>
        <w:spacing w:line="480" w:lineRule="auto"/>
        <w:ind w:firstLine="720"/>
        <w:jc w:val="both"/>
      </w:pPr>
      <w:r>
        <w:rPr>
          <w:color w:val="000000"/>
        </w:rPr>
        <w:t xml:space="preserve">Recognizing this vicious cycle should be enough to make changes in the clinic setup or alternate arrangements for billing so PWD get more time with the physician than non-disabled patients, allowing for a more detailed examination. This would eliminate the need to rush and thus </w:t>
      </w:r>
      <w:r w:rsidR="00F65456">
        <w:rPr>
          <w:color w:val="000000"/>
        </w:rPr>
        <w:t>help reduce the</w:t>
      </w:r>
      <w:r>
        <w:rPr>
          <w:color w:val="000000"/>
        </w:rPr>
        <w:t xml:space="preserve"> barriers to communication or the difficulty of physical </w:t>
      </w:r>
      <w:r w:rsidR="00F65456">
        <w:rPr>
          <w:color w:val="000000"/>
        </w:rPr>
        <w:t xml:space="preserve">examination. </w:t>
      </w:r>
      <w:r>
        <w:rPr>
          <w:color w:val="000000"/>
        </w:rPr>
        <w:t>A different billing code will ensure that PWD get a fair chance and the quality of healthcare provided to them is at par with able-bodied or non-disabled patients.</w:t>
      </w:r>
    </w:p>
    <w:p w:rsidR="00AA3D25" w:rsidRDefault="00F65456" w:rsidP="00DD3744">
      <w:pPr>
        <w:spacing w:line="480" w:lineRule="auto"/>
        <w:ind w:firstLine="720"/>
      </w:pPr>
      <w:r>
        <w:rPr>
          <w:color w:val="000000"/>
        </w:rPr>
        <w:t>Otherwise,</w:t>
      </w:r>
      <w:r w:rsidR="005C6640">
        <w:rPr>
          <w:color w:val="000000"/>
        </w:rPr>
        <w:t xml:space="preserve"> it is certainly better for PWD to be referred to salaried staff and physicians who are not </w:t>
      </w:r>
      <w:r>
        <w:rPr>
          <w:color w:val="000000"/>
        </w:rPr>
        <w:t>usual</w:t>
      </w:r>
      <w:r w:rsidR="005C6640">
        <w:rPr>
          <w:color w:val="000000"/>
        </w:rPr>
        <w:t>ly bound by time limits per patient. This this would mean that health service providers would take the required amount of time for the patient to be seen without having to face monetary losses and thus not neglect PWD.</w:t>
      </w:r>
    </w:p>
    <w:p w:rsidR="00AA3D25" w:rsidRDefault="005C6640" w:rsidP="00DD3744">
      <w:pPr>
        <w:spacing w:line="480" w:lineRule="auto"/>
        <w:ind w:firstLine="720"/>
        <w:jc w:val="both"/>
      </w:pPr>
      <w:r>
        <w:rPr>
          <w:color w:val="000000"/>
        </w:rPr>
        <w:t xml:space="preserve">The time spent with the patients can only result in a more thorough diagnosis, happy patients and satisfied physician. In an ideal world, this might not be dependent on money but for </w:t>
      </w:r>
      <w:r w:rsidR="00F65456">
        <w:rPr>
          <w:color w:val="000000"/>
        </w:rPr>
        <w:t>now,</w:t>
      </w:r>
      <w:r>
        <w:rPr>
          <w:color w:val="000000"/>
        </w:rPr>
        <w:t xml:space="preserve"> every patient is given about ten minutes with the physician. Time remuneration is an important factor and it </w:t>
      </w:r>
      <w:r w:rsidR="00F65456">
        <w:rPr>
          <w:color w:val="000000"/>
        </w:rPr>
        <w:t>influences</w:t>
      </w:r>
      <w:r>
        <w:rPr>
          <w:color w:val="000000"/>
        </w:rPr>
        <w:t xml:space="preserve"> the time a physician spends with the patient (Aulagnier et al., 2005). Disability activists have long been fighting for more time to be properly examined (</w:t>
      </w:r>
      <w:r>
        <w:rPr>
          <w:color w:val="000000" w:themeColor="text1"/>
          <w:lang w:val="en-CA"/>
        </w:rPr>
        <w:t>Downs, Wile, Krahn, &amp; Turner, 2004).</w:t>
      </w:r>
    </w:p>
    <w:p w:rsidR="00AA3D25" w:rsidRDefault="005C6640" w:rsidP="00DD3744">
      <w:pPr>
        <w:spacing w:line="480" w:lineRule="auto"/>
        <w:ind w:firstLine="720"/>
        <w:jc w:val="both"/>
      </w:pPr>
      <w:r>
        <w:rPr>
          <w:color w:val="000000"/>
        </w:rPr>
        <w:lastRenderedPageBreak/>
        <w:t>Inadequate amounts of time create a barrier for effective communicat</w:t>
      </w:r>
      <w:r w:rsidR="00E70A51">
        <w:rPr>
          <w:color w:val="000000"/>
        </w:rPr>
        <w:t xml:space="preserve">ion and important details are </w:t>
      </w:r>
      <w:r>
        <w:rPr>
          <w:color w:val="000000"/>
        </w:rPr>
        <w:t>being left out (Kerins et al., 2004). It is therefore more important for a PWD to have a reasonable amount of time to communicate and go beyond and understand the already perceived idea of the disability.</w:t>
      </w:r>
      <w:r>
        <w:t xml:space="preserve"> </w:t>
      </w:r>
      <w:r>
        <w:rPr>
          <w:color w:val="000000"/>
        </w:rPr>
        <w:t xml:space="preserve">In one study, the time spent with someone with intellectual disability was 20 minutes (Kerins et al., 2004). For someone with a mental illness, let alone an intellectual disability 20 minutes is not adequate. If we assume for the sake of this study that there is assistance available to the </w:t>
      </w:r>
      <w:r w:rsidR="00E70A51">
        <w:rPr>
          <w:color w:val="000000"/>
        </w:rPr>
        <w:t>physician, 20 minutes would be ins</w:t>
      </w:r>
      <w:r>
        <w:rPr>
          <w:color w:val="000000"/>
        </w:rPr>
        <w:t xml:space="preserve">ufficient time for an </w:t>
      </w:r>
      <w:r w:rsidR="00E70A51">
        <w:rPr>
          <w:color w:val="000000"/>
        </w:rPr>
        <w:t>able-bodied</w:t>
      </w:r>
      <w:r>
        <w:rPr>
          <w:color w:val="000000"/>
        </w:rPr>
        <w:t xml:space="preserve"> person. The difficulty of patient history taking, examination and communicating, related to lack </w:t>
      </w:r>
      <w:r w:rsidR="00E70A51">
        <w:rPr>
          <w:color w:val="000000"/>
        </w:rPr>
        <w:t>of experience</w:t>
      </w:r>
      <w:r>
        <w:rPr>
          <w:color w:val="000000"/>
        </w:rPr>
        <w:t xml:space="preserve"> and training, while engaging with PWD result in more time spent on PWD (</w:t>
      </w:r>
      <w:r>
        <w:t>Lennox, Diggens, &amp; Ugoni, 1997).</w:t>
      </w:r>
    </w:p>
    <w:p w:rsidR="00AA3D25" w:rsidRDefault="00AA3D25" w:rsidP="00DD3744">
      <w:pPr>
        <w:spacing w:line="480" w:lineRule="auto"/>
        <w:ind w:firstLine="720"/>
        <w:jc w:val="both"/>
      </w:pPr>
    </w:p>
    <w:p w:rsidR="00AA3D25" w:rsidRDefault="005C6640" w:rsidP="00DD3744">
      <w:pPr>
        <w:spacing w:line="480" w:lineRule="auto"/>
        <w:rPr>
          <w:color w:val="000000"/>
        </w:rPr>
      </w:pPr>
      <w:r>
        <w:rPr>
          <w:color w:val="000000"/>
        </w:rPr>
        <w:t xml:space="preserve"> </w:t>
      </w:r>
      <w:r>
        <w:tab/>
      </w:r>
    </w:p>
    <w:p w:rsidR="00AA3D25" w:rsidRDefault="005C6640" w:rsidP="00DD3744">
      <w:pPr>
        <w:spacing w:line="480" w:lineRule="auto"/>
        <w:rPr>
          <w:color w:val="000000"/>
        </w:rPr>
      </w:pPr>
      <w:r>
        <w:br w:type="page"/>
      </w:r>
    </w:p>
    <w:p w:rsidR="00AA3D25" w:rsidRDefault="005C6640" w:rsidP="00DD3744">
      <w:pPr>
        <w:pStyle w:val="Heading3"/>
      </w:pPr>
      <w:bookmarkStart w:id="431" w:name="_Toc533852532"/>
      <w:r>
        <w:lastRenderedPageBreak/>
        <w:t>Policies</w:t>
      </w:r>
      <w:bookmarkEnd w:id="431"/>
    </w:p>
    <w:p w:rsidR="00AA3D25" w:rsidRDefault="005C6640" w:rsidP="00DD3744">
      <w:pPr>
        <w:spacing w:line="480" w:lineRule="auto"/>
        <w:ind w:firstLine="720"/>
        <w:jc w:val="both"/>
      </w:pPr>
      <w:r>
        <w:rPr>
          <w:color w:val="000000" w:themeColor="text1"/>
        </w:rPr>
        <w:t>This chapter examines the physician’s understanding of current policies. Effective policies facilitate a smooth running organization. It provides a status quo and a standard that everyone has to abide by and that in turn produces consistency. It standardizes rules for everyone. The uniformity encourages people to follow the same criteria and consistency of service provision. Participants in this project knew the importance of policies:</w:t>
      </w:r>
    </w:p>
    <w:p w:rsidR="00AA3D25" w:rsidRDefault="005C6640" w:rsidP="00DD3744">
      <w:pPr>
        <w:spacing w:line="480" w:lineRule="auto"/>
        <w:ind w:firstLine="720"/>
        <w:rPr>
          <w:color w:val="000000" w:themeColor="text1"/>
        </w:rPr>
      </w:pPr>
      <w:r>
        <w:rPr>
          <w:color w:val="000000" w:themeColor="text1"/>
        </w:rPr>
        <w:t xml:space="preserve">“Policies create a safe workplace, it sets a certain way of doing things and </w:t>
      </w:r>
      <w:r w:rsidR="00E70A51">
        <w:rPr>
          <w:color w:val="000000" w:themeColor="text1"/>
        </w:rPr>
        <w:t>then it’s</w:t>
      </w:r>
      <w:r>
        <w:rPr>
          <w:color w:val="000000" w:themeColor="text1"/>
        </w:rPr>
        <w:t xml:space="preserve">            easier to just follow what you already know.”</w:t>
      </w:r>
    </w:p>
    <w:p w:rsidR="00AA3D25" w:rsidRDefault="005C6640" w:rsidP="00DD3744">
      <w:pPr>
        <w:spacing w:line="480" w:lineRule="auto"/>
        <w:ind w:firstLine="720"/>
        <w:rPr>
          <w:color w:val="000000"/>
        </w:rPr>
      </w:pPr>
      <w:r>
        <w:rPr>
          <w:color w:val="000000"/>
        </w:rPr>
        <w:t>“Policies helps you by saving you time thinking what you might or might not do? You know what is expected out of you and you know how you can make it work.”</w:t>
      </w:r>
    </w:p>
    <w:p w:rsidR="00AA3D25" w:rsidRDefault="005C6640" w:rsidP="00DD3744">
      <w:pPr>
        <w:spacing w:line="480" w:lineRule="auto"/>
        <w:ind w:firstLine="720"/>
        <w:rPr>
          <w:color w:val="000000"/>
        </w:rPr>
      </w:pPr>
      <w:r>
        <w:rPr>
          <w:color w:val="000000"/>
        </w:rPr>
        <w:t>“For me policies are there to help me know how I can contribute in making this place appropriate for PWD and what I need to do.”</w:t>
      </w:r>
    </w:p>
    <w:p w:rsidR="00AA3D25" w:rsidRDefault="005C6640" w:rsidP="00DD3744">
      <w:pPr>
        <w:spacing w:line="480" w:lineRule="auto"/>
        <w:ind w:firstLine="720"/>
        <w:jc w:val="both"/>
      </w:pPr>
      <w:r>
        <w:rPr>
          <w:color w:val="000000"/>
        </w:rPr>
        <w:t xml:space="preserve">Not following all the policies or inefficient implementation only brings in distrust in the general population. Policies regarding accessibility, though not entirely absent, are obviously </w:t>
      </w:r>
      <w:r w:rsidR="00E70A51">
        <w:rPr>
          <w:color w:val="000000"/>
        </w:rPr>
        <w:t>sidelined</w:t>
      </w:r>
      <w:r>
        <w:rPr>
          <w:color w:val="000000"/>
        </w:rPr>
        <w:t xml:space="preserve"> and ignored on a </w:t>
      </w:r>
      <w:r w:rsidR="00E70A51">
        <w:rPr>
          <w:color w:val="000000"/>
        </w:rPr>
        <w:t>day-to-day</w:t>
      </w:r>
      <w:r>
        <w:rPr>
          <w:color w:val="000000"/>
        </w:rPr>
        <w:t xml:space="preserve"> basis. In the </w:t>
      </w:r>
      <w:r w:rsidR="00E70A51">
        <w:rPr>
          <w:color w:val="000000"/>
        </w:rPr>
        <w:t>past, these</w:t>
      </w:r>
      <w:r>
        <w:rPr>
          <w:color w:val="000000"/>
        </w:rPr>
        <w:t xml:space="preserve"> standards have been implemented very slowly and unsuccessfully </w:t>
      </w:r>
      <w:r>
        <w:fldChar w:fldCharType="begin"/>
      </w:r>
      <w:r>
        <w:instrText>ADDIN RW.CITE{{279 Barnes,Colin 2012}}</w:instrText>
      </w:r>
      <w:r>
        <w:fldChar w:fldCharType="separate"/>
      </w:r>
      <w:bookmarkStart w:id="432" w:name="__Fieldmark__2494_813835849"/>
      <w:r>
        <w:rPr>
          <w:color w:val="000000"/>
          <w:lang w:val="en-CA"/>
        </w:rPr>
        <w:t>(</w:t>
      </w:r>
      <w:bookmarkStart w:id="433" w:name="__Fieldmark__3301_1675857893"/>
      <w:r>
        <w:rPr>
          <w:color w:val="000000"/>
          <w:lang w:val="en-CA"/>
        </w:rPr>
        <w:t>Barnes, 2009)</w:t>
      </w:r>
      <w:r>
        <w:fldChar w:fldCharType="end"/>
      </w:r>
      <w:bookmarkEnd w:id="432"/>
      <w:bookmarkEnd w:id="433"/>
      <w:r>
        <w:rPr>
          <w:color w:val="000000"/>
        </w:rPr>
        <w:t xml:space="preserve">.  These laws not only help understand disability better but also give PWD a </w:t>
      </w:r>
      <w:proofErr w:type="spellStart"/>
      <w:r w:rsidR="00E70A51">
        <w:rPr>
          <w:color w:val="000000"/>
        </w:rPr>
        <w:t>well deserved</w:t>
      </w:r>
      <w:proofErr w:type="spellEnd"/>
      <w:r>
        <w:rPr>
          <w:color w:val="000000"/>
        </w:rPr>
        <w:t xml:space="preserve"> a chance to access many resources in society (Accessibility, 2016). Inability to enforce the policies even encourages people trying to implement a good change in society to feel chaotic and less inclined to be involved in any such progress.</w:t>
      </w:r>
    </w:p>
    <w:p w:rsidR="00AA3D25" w:rsidRDefault="005C6640" w:rsidP="00DD3744">
      <w:pPr>
        <w:spacing w:line="480" w:lineRule="auto"/>
        <w:jc w:val="both"/>
      </w:pPr>
      <w:r>
        <w:rPr>
          <w:color w:val="000000"/>
        </w:rPr>
        <w:t xml:space="preserve"> Almost 1 in 6 people having a personal experience with disability. Failure to accommodate, excludes a major segment of the population (Accessibility, 2016). To have an inclusive space, all the stakeholders need to be on the same page with current progress on accessibility standards. AMA is set out to make Manitoba an inclusive and barrier-free province (</w:t>
      </w:r>
      <w:r>
        <w:t xml:space="preserve">The Accessibility for </w:t>
      </w:r>
      <w:r>
        <w:lastRenderedPageBreak/>
        <w:t xml:space="preserve">Manitobans Act, 2013). </w:t>
      </w:r>
      <w:r>
        <w:rPr>
          <w:color w:val="000000"/>
        </w:rPr>
        <w:t>Most of the participants felt there should be more work done on designing policies related to accessibility. They stated:</w:t>
      </w:r>
    </w:p>
    <w:p w:rsidR="00AA3D25" w:rsidRDefault="005C6640" w:rsidP="00DD3744">
      <w:pPr>
        <w:spacing w:line="480" w:lineRule="auto"/>
        <w:ind w:left="907" w:right="907"/>
        <w:jc w:val="both"/>
        <w:rPr>
          <w:color w:val="000000"/>
        </w:rPr>
      </w:pPr>
      <w:r>
        <w:rPr>
          <w:color w:val="000000"/>
        </w:rPr>
        <w:t>“I think the government is putting a lot of emphasis on having accessible clinics and increasing accessibility standards so…. eventually everyone will be provided with equal care and PWD would have a better access.”</w:t>
      </w:r>
    </w:p>
    <w:p w:rsidR="00AA3D25" w:rsidRDefault="005C6640" w:rsidP="00DD3744">
      <w:pPr>
        <w:spacing w:line="480" w:lineRule="auto"/>
        <w:ind w:right="907"/>
        <w:jc w:val="both"/>
      </w:pPr>
      <w:r>
        <w:t>Another participant said:</w:t>
      </w:r>
    </w:p>
    <w:p w:rsidR="00AA3D25" w:rsidRDefault="005C6640" w:rsidP="00DD3744">
      <w:pPr>
        <w:spacing w:line="480" w:lineRule="auto"/>
        <w:ind w:left="907" w:right="907"/>
        <w:jc w:val="both"/>
        <w:rPr>
          <w:color w:val="000000"/>
        </w:rPr>
      </w:pPr>
      <w:r>
        <w:rPr>
          <w:color w:val="000000"/>
        </w:rPr>
        <w:t>“They need better policies because …these are not our own clinics, usually we are working on someone else’s place so if there will be policies…everybody will have to follow them. That might result in better and more accessible clinics”</w:t>
      </w:r>
    </w:p>
    <w:p w:rsidR="00AA3D25" w:rsidRDefault="005C6640" w:rsidP="00DD3744">
      <w:pPr>
        <w:spacing w:line="480" w:lineRule="auto"/>
        <w:ind w:firstLine="720"/>
        <w:jc w:val="both"/>
        <w:rPr>
          <w:color w:val="000000"/>
        </w:rPr>
      </w:pPr>
      <w:r>
        <w:rPr>
          <w:color w:val="000000"/>
        </w:rPr>
        <w:t xml:space="preserve">However, a trend was observed, during the interviews, the physicians would admit to the lack of policies for PWD and a dire need for more, but they felt the existing policies did not apply to them. The responsibility lay with the owners of the clinics and did not extend to them. A few even acknowledged that they </w:t>
      </w:r>
      <w:r w:rsidR="00E70A51">
        <w:rPr>
          <w:color w:val="000000"/>
        </w:rPr>
        <w:t>were not</w:t>
      </w:r>
      <w:r>
        <w:rPr>
          <w:color w:val="000000"/>
        </w:rPr>
        <w:t xml:space="preserve"> exactly clear about the policies. </w:t>
      </w:r>
    </w:p>
    <w:p w:rsidR="00AA3D25" w:rsidRDefault="005C6640" w:rsidP="00DD3744">
      <w:pPr>
        <w:spacing w:line="480" w:lineRule="auto"/>
        <w:ind w:left="907" w:right="907"/>
        <w:jc w:val="both"/>
      </w:pPr>
      <w:r>
        <w:t xml:space="preserve"> “The new policies are good, I am not totally aware of them but I was told by a colleague that there is some development …and every clinic needs to be accessible. I think that will help everyone and it will make it easier for PWD to approach clinics.”</w:t>
      </w:r>
    </w:p>
    <w:p w:rsidR="00AA3D25" w:rsidRDefault="005C6640" w:rsidP="00DD3744">
      <w:pPr>
        <w:spacing w:line="480" w:lineRule="auto"/>
        <w:ind w:left="907" w:right="907"/>
        <w:jc w:val="both"/>
      </w:pPr>
      <w:r>
        <w:t xml:space="preserve">“I work in two clinics, so they are not my </w:t>
      </w:r>
      <w:r w:rsidR="00E70A51">
        <w:t>clinics;</w:t>
      </w:r>
      <w:r>
        <w:t xml:space="preserve"> I think the policies applied to the owner of the clinics.”</w:t>
      </w:r>
    </w:p>
    <w:p w:rsidR="00AA3D25" w:rsidRDefault="00AA3D25" w:rsidP="00DD3744">
      <w:pPr>
        <w:spacing w:line="480" w:lineRule="auto"/>
        <w:ind w:left="907" w:right="907"/>
        <w:jc w:val="both"/>
      </w:pPr>
    </w:p>
    <w:p w:rsidR="00AA3D25" w:rsidRDefault="005C6640" w:rsidP="00DD3744">
      <w:pPr>
        <w:spacing w:line="480" w:lineRule="auto"/>
        <w:ind w:right="907"/>
        <w:jc w:val="both"/>
      </w:pPr>
      <w:r>
        <w:t>Some physicians stressed that they needed more policies:</w:t>
      </w:r>
    </w:p>
    <w:p w:rsidR="00AA3D25" w:rsidRDefault="005C6640" w:rsidP="00DD3744">
      <w:pPr>
        <w:spacing w:line="480" w:lineRule="auto"/>
        <w:ind w:left="907" w:right="907"/>
        <w:jc w:val="both"/>
      </w:pPr>
      <w:r>
        <w:lastRenderedPageBreak/>
        <w:t>“I think we are slowly getting there…there are policies in place. We need more laws, to guide all the clinics to be accessible.”</w:t>
      </w:r>
    </w:p>
    <w:p w:rsidR="00AA3D25" w:rsidRDefault="005C6640" w:rsidP="00DD3744">
      <w:pPr>
        <w:spacing w:line="480" w:lineRule="auto"/>
        <w:ind w:left="907" w:right="907"/>
        <w:jc w:val="both"/>
      </w:pPr>
      <w:r>
        <w:t>“I feel there are new policies for the clinic set up. It will help PWD as it will make clinics more accessible, but it is not our duty to take care of the setup of the clinic, we just work here.”</w:t>
      </w:r>
    </w:p>
    <w:p w:rsidR="00AA3D25" w:rsidRDefault="005C6640" w:rsidP="00DD3744">
      <w:pPr>
        <w:spacing w:line="480" w:lineRule="auto"/>
        <w:ind w:right="907"/>
        <w:jc w:val="both"/>
      </w:pPr>
      <w:r>
        <w:t xml:space="preserve">There were more </w:t>
      </w:r>
      <w:r w:rsidR="00E70A51">
        <w:t>participants,</w:t>
      </w:r>
      <w:r>
        <w:t xml:space="preserve"> who did not believe it was their job to know about the AMA,</w:t>
      </w:r>
    </w:p>
    <w:p w:rsidR="00AA3D25" w:rsidRDefault="005C6640" w:rsidP="00DD3744">
      <w:pPr>
        <w:spacing w:line="480" w:lineRule="auto"/>
        <w:ind w:left="720" w:right="1077"/>
      </w:pPr>
      <w:r>
        <w:tab/>
        <w:t xml:space="preserve">“AMA is a very good step in right direction, I hope government would have more laws, clinics will be more accessible I think, I do not </w:t>
      </w:r>
    </w:p>
    <w:p w:rsidR="00AA3D25" w:rsidRDefault="005C6640" w:rsidP="00DD3744">
      <w:pPr>
        <w:spacing w:line="480" w:lineRule="auto"/>
        <w:ind w:left="720" w:right="1077"/>
      </w:pPr>
      <w:r>
        <w:t>have much information about it, I think clinic owner would know.”</w:t>
      </w:r>
    </w:p>
    <w:p w:rsidR="00AA3D25" w:rsidRDefault="005C6640" w:rsidP="00DD3744">
      <w:pPr>
        <w:pStyle w:val="Heading5"/>
      </w:pPr>
      <w:r>
        <w:t>Discussion</w:t>
      </w:r>
    </w:p>
    <w:p w:rsidR="00AA3D25" w:rsidRDefault="005C6640" w:rsidP="00DD3744">
      <w:pPr>
        <w:spacing w:line="480" w:lineRule="auto"/>
        <w:ind w:firstLine="720"/>
      </w:pPr>
      <w:r>
        <w:rPr>
          <w:color w:val="000000" w:themeColor="text1"/>
          <w:lang w:val="en-CA"/>
        </w:rPr>
        <w:t>According to a report by the World Health Organization (WHO), 15% of the world population is reported to have a disability (World Health Organization, 2011). The marginalization experienced by PWD due to the lack of any proper s</w:t>
      </w:r>
      <w:r w:rsidR="00ED2742">
        <w:rPr>
          <w:color w:val="000000" w:themeColor="text1"/>
          <w:lang w:val="en-CA"/>
        </w:rPr>
        <w:t xml:space="preserve">tandards, continues in all aspects </w:t>
      </w:r>
      <w:r>
        <w:rPr>
          <w:color w:val="000000" w:themeColor="text1"/>
          <w:lang w:val="en-CA"/>
        </w:rPr>
        <w:t>of life. Almost 2.1 million people in Canada in the age group 25-64 experience difficulty in their daily activities due to a physical or mental disability, which makes approximately 11% of the whole population (StatsCan, 2013).  The M</w:t>
      </w:r>
      <w:r w:rsidR="00E70A51">
        <w:rPr>
          <w:color w:val="000000" w:themeColor="text1"/>
          <w:lang w:val="en-CA"/>
        </w:rPr>
        <w:t>edical Model of disability</w:t>
      </w:r>
      <w:r>
        <w:rPr>
          <w:color w:val="000000" w:themeColor="text1"/>
          <w:lang w:val="en-CA"/>
        </w:rPr>
        <w:t xml:space="preserve"> does not account for the consequences of non-inclusive development, as disability is seen as a personal attribute. A </w:t>
      </w:r>
      <w:r w:rsidR="00ED2742">
        <w:rPr>
          <w:color w:val="000000" w:themeColor="text1"/>
          <w:lang w:val="en-CA"/>
        </w:rPr>
        <w:t xml:space="preserve">recent </w:t>
      </w:r>
      <w:r>
        <w:rPr>
          <w:color w:val="000000" w:themeColor="text1"/>
          <w:lang w:val="en-CA"/>
        </w:rPr>
        <w:t xml:space="preserve">study showed PWD were three times more likely to have unmet health related needs than able-bodied people </w:t>
      </w:r>
      <w:r>
        <w:rPr>
          <w:rFonts w:eastAsia="Times New Roman"/>
          <w:color w:val="000000" w:themeColor="text1"/>
        </w:rPr>
        <w:t xml:space="preserve">(McColl, Jarynowska &amp; Shortt, 2010). </w:t>
      </w:r>
    </w:p>
    <w:p w:rsidR="00AA3D25" w:rsidRDefault="005C6640" w:rsidP="00DD3744">
      <w:pPr>
        <w:spacing w:line="480" w:lineRule="auto"/>
        <w:ind w:firstLine="720"/>
        <w:jc w:val="both"/>
      </w:pPr>
      <w:r>
        <w:t xml:space="preserve">An absence of formal policies, restricts access to better health care for PWD, ultimately endangers their health </w:t>
      </w:r>
      <w:r>
        <w:fldChar w:fldCharType="begin"/>
      </w:r>
      <w:r>
        <w:instrText>ADDIN RW.CITE{{279 Barnes,Colin 2012}}</w:instrText>
      </w:r>
      <w:r>
        <w:fldChar w:fldCharType="separate"/>
      </w:r>
      <w:bookmarkStart w:id="434" w:name="__Fieldmark__2529_813835849"/>
      <w:r>
        <w:rPr>
          <w:lang w:val="en-CA"/>
        </w:rPr>
        <w:t>(</w:t>
      </w:r>
      <w:bookmarkStart w:id="435" w:name="__Fieldmark__3392_1675857893"/>
      <w:r>
        <w:rPr>
          <w:lang w:val="en-CA"/>
        </w:rPr>
        <w:t>Barnes, 2009)</w:t>
      </w:r>
      <w:r>
        <w:fldChar w:fldCharType="end"/>
      </w:r>
      <w:bookmarkEnd w:id="434"/>
      <w:bookmarkEnd w:id="435"/>
      <w:r>
        <w:t xml:space="preserve">. Lack of any policies and set guidelines by default encourages the status quo. If a woman with disability cannot stand up for mammogram, which </w:t>
      </w:r>
      <w:r>
        <w:lastRenderedPageBreak/>
        <w:t>might be ideal for someone having a “normal” body, there are no policies in place to have an alternative. This</w:t>
      </w:r>
      <w:r w:rsidR="00ED2742">
        <w:t xml:space="preserve"> would not be considered</w:t>
      </w:r>
      <w:r>
        <w:t xml:space="preserve"> negligent on the part of a healthcare professional. Likewise, inaccessible clinic</w:t>
      </w:r>
      <w:r w:rsidR="00ED2742">
        <w:t>s hinder</w:t>
      </w:r>
      <w:r>
        <w:t xml:space="preserve"> having any sort of yearly </w:t>
      </w:r>
      <w:r w:rsidR="00ED2742">
        <w:t>checkup</w:t>
      </w:r>
      <w:r>
        <w:t>.</w:t>
      </w:r>
      <w:r>
        <w:rPr>
          <w:color w:val="FF0000"/>
        </w:rPr>
        <w:t xml:space="preserve"> </w:t>
      </w:r>
      <w:r>
        <w:t>This service gap will eventually result in detrimental consequences: higher use of the emergency department or completely avoiding the healthcare system altogether, causing health to worsen</w:t>
      </w:r>
      <w:r>
        <w:rPr>
          <w:color w:val="000000" w:themeColor="text1"/>
        </w:rPr>
        <w:t xml:space="preserve">. </w:t>
      </w:r>
      <w:r>
        <w:t xml:space="preserve">Diseases that can be managed through the in-patient clinic, for example, chronic heart disease or mental illness, could eventually end up in the emergency department if not managed properly, with drastic consequences such as stroke or even brief psychotic episodes. People are more likely to have high morbidity in this </w:t>
      </w:r>
      <w:r w:rsidR="00ED2742">
        <w:t>scenario, which</w:t>
      </w:r>
      <w:r>
        <w:t xml:space="preserve"> would result in higher expenditure on primary healthcare. Th</w:t>
      </w:r>
      <w:r w:rsidR="00ED2742">
        <w:t>e whole chain of events can be prevented by reducing</w:t>
      </w:r>
      <w:r>
        <w:t xml:space="preserve"> barriers for PWD. </w:t>
      </w:r>
      <w:r w:rsidR="00ED2742">
        <w:t>O</w:t>
      </w:r>
      <w:r>
        <w:t>ne way to do that is to have a formal layout of polices explaining the role and responsibilities of healthcare professionals for PWD.</w:t>
      </w:r>
    </w:p>
    <w:p w:rsidR="00AA3D25" w:rsidRDefault="005C6640" w:rsidP="00DD3744">
      <w:pPr>
        <w:spacing w:line="480" w:lineRule="auto"/>
        <w:ind w:firstLine="720"/>
        <w:jc w:val="both"/>
      </w:pPr>
      <w:r>
        <w:rPr>
          <w:lang w:val="en-CA"/>
        </w:rPr>
        <w:t>In the current system, physicians seem to be less concerned about existing policies and regulations, partially because it does not directly affect them. Most physicians have no equity in the clinic and do not care about accommodations.</w:t>
      </w:r>
      <w:r w:rsidR="00562C7E">
        <w:rPr>
          <w:lang w:val="en-CA"/>
        </w:rPr>
        <w:t xml:space="preserve"> Every participant</w:t>
      </w:r>
      <w:r>
        <w:rPr>
          <w:lang w:val="en-CA"/>
        </w:rPr>
        <w:t xml:space="preserve"> liked the idea of “accessibility” but </w:t>
      </w:r>
      <w:r w:rsidR="00ED2742">
        <w:rPr>
          <w:lang w:val="en-CA"/>
        </w:rPr>
        <w:t xml:space="preserve">lacked </w:t>
      </w:r>
      <w:r w:rsidR="00562C7E">
        <w:rPr>
          <w:lang w:val="en-CA"/>
        </w:rPr>
        <w:t>knowledge of the AMA or how to implement it with</w:t>
      </w:r>
      <w:r>
        <w:rPr>
          <w:lang w:val="en-CA"/>
        </w:rPr>
        <w:t xml:space="preserve">in the present setup.  </w:t>
      </w:r>
    </w:p>
    <w:p w:rsidR="00AA3D25" w:rsidRDefault="00562C7E" w:rsidP="00DD3744">
      <w:pPr>
        <w:spacing w:line="480" w:lineRule="auto"/>
        <w:ind w:firstLine="720"/>
        <w:jc w:val="both"/>
      </w:pPr>
      <w:r>
        <w:rPr>
          <w:lang w:val="en-CA"/>
        </w:rPr>
        <w:t>One</w:t>
      </w:r>
      <w:r w:rsidR="005C6640">
        <w:rPr>
          <w:lang w:val="en-CA"/>
        </w:rPr>
        <w:t xml:space="preserve"> participant stated:</w:t>
      </w:r>
    </w:p>
    <w:p w:rsidR="00AA3D25" w:rsidRDefault="005C6640" w:rsidP="00DD3744">
      <w:pPr>
        <w:spacing w:line="480" w:lineRule="auto"/>
        <w:ind w:left="227" w:right="567" w:firstLine="720"/>
        <w:jc w:val="both"/>
        <w:rPr>
          <w:lang w:val="en-CA"/>
        </w:rPr>
      </w:pPr>
      <w:r>
        <w:rPr>
          <w:lang w:val="en-CA"/>
        </w:rPr>
        <w:t>“We need more policies, and I think there should be more policies for accessibility of the clinic,” when probed about AMA, “… I don’t think it applies to the doctors, I think clinic owners need to know that, and it should be implemented.”</w:t>
      </w:r>
    </w:p>
    <w:p w:rsidR="00AA3D25" w:rsidRDefault="005C6640" w:rsidP="00DD3744">
      <w:pPr>
        <w:spacing w:line="480" w:lineRule="auto"/>
        <w:ind w:firstLine="720"/>
        <w:jc w:val="both"/>
      </w:pPr>
      <w:r>
        <w:rPr>
          <w:lang w:val="en-CA"/>
        </w:rPr>
        <w:t>It was shocking, when I found the same stance in other interviews as well. A physician said:</w:t>
      </w:r>
    </w:p>
    <w:p w:rsidR="00AA3D25" w:rsidRDefault="005C6640" w:rsidP="00DD3744">
      <w:pPr>
        <w:spacing w:line="480" w:lineRule="auto"/>
        <w:ind w:firstLine="720"/>
        <w:jc w:val="both"/>
      </w:pPr>
      <w:r>
        <w:rPr>
          <w:lang w:val="en-CA"/>
        </w:rPr>
        <w:lastRenderedPageBreak/>
        <w:t>“I heard about new accessibility law, I think they are very good and there should be more laws. Clinics should be made accessible.”</w:t>
      </w:r>
    </w:p>
    <w:p w:rsidR="00AA3D25" w:rsidRDefault="00AA3D25" w:rsidP="00DD3744">
      <w:pPr>
        <w:spacing w:line="480" w:lineRule="auto"/>
        <w:ind w:firstLine="720"/>
        <w:jc w:val="both"/>
        <w:rPr>
          <w:lang w:val="en-CA"/>
        </w:rPr>
      </w:pPr>
    </w:p>
    <w:p w:rsidR="00AA3D25" w:rsidRDefault="005C6640" w:rsidP="00DD3744">
      <w:pPr>
        <w:spacing w:line="480" w:lineRule="auto"/>
        <w:ind w:firstLine="720"/>
        <w:jc w:val="both"/>
      </w:pPr>
      <w:r>
        <w:rPr>
          <w:lang w:val="en-CA"/>
        </w:rPr>
        <w:t>Neither was there an effort to become aware about the policies, nor were they interested in talking to the owner of the cl</w:t>
      </w:r>
      <w:r w:rsidR="00562C7E">
        <w:rPr>
          <w:lang w:val="en-CA"/>
        </w:rPr>
        <w:t>inic. This type of behaviour may</w:t>
      </w:r>
      <w:r>
        <w:rPr>
          <w:lang w:val="en-CA"/>
        </w:rPr>
        <w:t xml:space="preserve"> be attribute</w:t>
      </w:r>
      <w:r w:rsidR="00562C7E">
        <w:rPr>
          <w:lang w:val="en-CA"/>
        </w:rPr>
        <w:t>d to the lack of any penalty for non-compliance</w:t>
      </w:r>
      <w:r>
        <w:rPr>
          <w:lang w:val="en-CA"/>
        </w:rPr>
        <w:t xml:space="preserve">. If physicians do not understand the concept of accessibility, it is difficult to gauge if </w:t>
      </w:r>
      <w:r w:rsidR="002473BA">
        <w:rPr>
          <w:lang w:val="en-CA"/>
        </w:rPr>
        <w:t>they</w:t>
      </w:r>
      <w:r>
        <w:rPr>
          <w:lang w:val="en-CA"/>
        </w:rPr>
        <w:t xml:space="preserve"> are making any effort to create a more accessible </w:t>
      </w:r>
      <w:r w:rsidR="002473BA">
        <w:rPr>
          <w:lang w:val="en-CA"/>
        </w:rPr>
        <w:t>space. In addition, if they do receive</w:t>
      </w:r>
      <w:r>
        <w:rPr>
          <w:lang w:val="en-CA"/>
        </w:rPr>
        <w:t xml:space="preserve"> any</w:t>
      </w:r>
      <w:r w:rsidR="002473BA">
        <w:rPr>
          <w:lang w:val="en-CA"/>
        </w:rPr>
        <w:t xml:space="preserve"> warning or notification, there is limited onus </w:t>
      </w:r>
      <w:r>
        <w:rPr>
          <w:lang w:val="en-CA"/>
        </w:rPr>
        <w:t>to change their attitude and advocate for a more accessible space. There should be serious</w:t>
      </w:r>
      <w:r w:rsidR="002473BA">
        <w:rPr>
          <w:lang w:val="en-CA"/>
        </w:rPr>
        <w:t xml:space="preserve"> consequences </w:t>
      </w:r>
      <w:r>
        <w:rPr>
          <w:lang w:val="en-CA"/>
        </w:rPr>
        <w:t xml:space="preserve">such </w:t>
      </w:r>
      <w:r w:rsidR="002473BA">
        <w:rPr>
          <w:lang w:val="en-CA"/>
        </w:rPr>
        <w:t>as</w:t>
      </w:r>
      <w:r>
        <w:rPr>
          <w:lang w:val="en-CA"/>
        </w:rPr>
        <w:t xml:space="preserve"> suspension of license</w:t>
      </w:r>
      <w:r w:rsidR="00D41051">
        <w:rPr>
          <w:lang w:val="en-CA"/>
        </w:rPr>
        <w:t>s</w:t>
      </w:r>
      <w:r>
        <w:rPr>
          <w:lang w:val="en-CA"/>
        </w:rPr>
        <w:t xml:space="preserve"> by a professional body or monet</w:t>
      </w:r>
      <w:r w:rsidR="002473BA">
        <w:rPr>
          <w:lang w:val="en-CA"/>
        </w:rPr>
        <w:t xml:space="preserve">ary </w:t>
      </w:r>
      <w:r w:rsidR="00D41051">
        <w:rPr>
          <w:lang w:val="en-CA"/>
        </w:rPr>
        <w:t>penalties</w:t>
      </w:r>
      <w:r w:rsidR="002473BA">
        <w:rPr>
          <w:lang w:val="en-CA"/>
        </w:rPr>
        <w:t xml:space="preserve">. Along with </w:t>
      </w:r>
      <w:r>
        <w:rPr>
          <w:lang w:val="en-CA"/>
        </w:rPr>
        <w:t>enforce</w:t>
      </w:r>
      <w:r w:rsidR="00D41051">
        <w:rPr>
          <w:lang w:val="en-CA"/>
        </w:rPr>
        <w:t>ment of policies, realistic timelines</w:t>
      </w:r>
      <w:r>
        <w:rPr>
          <w:lang w:val="en-CA"/>
        </w:rPr>
        <w:t xml:space="preserve"> for </w:t>
      </w:r>
      <w:r w:rsidR="00D41051">
        <w:rPr>
          <w:lang w:val="en-CA"/>
        </w:rPr>
        <w:t>change should</w:t>
      </w:r>
      <w:r>
        <w:rPr>
          <w:lang w:val="en-CA"/>
        </w:rPr>
        <w:t xml:space="preserve"> be established.</w:t>
      </w:r>
    </w:p>
    <w:p w:rsidR="00AA3D25" w:rsidRDefault="00AA3D25" w:rsidP="00DD3744">
      <w:pPr>
        <w:spacing w:line="480" w:lineRule="auto"/>
        <w:ind w:firstLine="720"/>
        <w:jc w:val="both"/>
        <w:rPr>
          <w:lang w:val="en-CA"/>
        </w:rPr>
      </w:pPr>
    </w:p>
    <w:p w:rsidR="00AA3D25" w:rsidRDefault="005C6640" w:rsidP="00DD3744">
      <w:pPr>
        <w:spacing w:line="480" w:lineRule="auto"/>
        <w:ind w:firstLine="720"/>
        <w:jc w:val="both"/>
      </w:pPr>
      <w:r>
        <w:rPr>
          <w:color w:val="000000" w:themeColor="text1"/>
          <w:lang w:val="en-CA"/>
        </w:rPr>
        <w:t xml:space="preserve">The PWD have been pointing out the barriers in healthcare delivery, but even </w:t>
      </w:r>
      <w:r w:rsidR="00D41051">
        <w:rPr>
          <w:color w:val="000000" w:themeColor="text1"/>
          <w:lang w:val="en-CA"/>
        </w:rPr>
        <w:t>with legislation</w:t>
      </w:r>
      <w:r>
        <w:rPr>
          <w:color w:val="000000" w:themeColor="text1"/>
          <w:lang w:val="en-CA"/>
        </w:rPr>
        <w:t xml:space="preserve">, very little has been translated into policies or shown any significant reduction in the barriers. In the past, apart from some policies with respect to physical accommodations, not much attention has been paid to other policies and consequently PWD remain dependent on the people around them </w:t>
      </w:r>
      <w:r>
        <w:fldChar w:fldCharType="begin"/>
      </w:r>
      <w:r>
        <w:instrText>ADDIN RW.CITE{{279 Barnes,Colin 2012}}</w:instrText>
      </w:r>
      <w:r>
        <w:fldChar w:fldCharType="separate"/>
      </w:r>
      <w:bookmarkStart w:id="436" w:name="__Fieldmark__2551_813835849"/>
      <w:r>
        <w:rPr>
          <w:color w:val="000000" w:themeColor="text1"/>
          <w:lang w:val="en-CA"/>
        </w:rPr>
        <w:t>(</w:t>
      </w:r>
      <w:bookmarkStart w:id="437" w:name="__Fieldmark__3465_1675857893"/>
      <w:r>
        <w:rPr>
          <w:color w:val="000000" w:themeColor="text1"/>
          <w:lang w:val="en-CA"/>
        </w:rPr>
        <w:t>Barnes, 2009)</w:t>
      </w:r>
      <w:r>
        <w:fldChar w:fldCharType="end"/>
      </w:r>
      <w:bookmarkEnd w:id="436"/>
      <w:bookmarkEnd w:id="437"/>
      <w:r>
        <w:t>.</w:t>
      </w:r>
      <w:r>
        <w:rPr>
          <w:color w:val="000000" w:themeColor="text1"/>
          <w:lang w:val="en-CA"/>
        </w:rPr>
        <w:t xml:space="preserve"> </w:t>
      </w:r>
      <w:r w:rsidR="00D41051">
        <w:rPr>
          <w:color w:val="000000" w:themeColor="text1"/>
          <w:lang w:val="en-CA"/>
        </w:rPr>
        <w:t xml:space="preserve"> In the past, </w:t>
      </w:r>
      <w:r>
        <w:rPr>
          <w:color w:val="000000" w:themeColor="text1"/>
          <w:lang w:val="en-CA"/>
        </w:rPr>
        <w:t xml:space="preserve">surveys focused on physicians’ binary responses to the problems they might have in delivering optimum healthcare services. </w:t>
      </w:r>
      <w:r>
        <w:rPr>
          <w:color w:val="000000" w:themeColor="text1"/>
        </w:rPr>
        <w:t>These surveys were designed to elicit opinions and perspectives</w:t>
      </w:r>
      <w:r w:rsidR="00D41051">
        <w:rPr>
          <w:color w:val="000000" w:themeColor="text1"/>
        </w:rPr>
        <w:t>.</w:t>
      </w:r>
      <w:r>
        <w:rPr>
          <w:color w:val="000000" w:themeColor="text1"/>
        </w:rPr>
        <w:t xml:space="preserve"> </w:t>
      </w:r>
      <w:r w:rsidR="00D41051">
        <w:rPr>
          <w:color w:val="000000" w:themeColor="text1"/>
        </w:rPr>
        <w:t xml:space="preserve"> They did not </w:t>
      </w:r>
      <w:r>
        <w:rPr>
          <w:color w:val="000000" w:themeColor="text1"/>
        </w:rPr>
        <w:t xml:space="preserve">evaluate outcomes </w:t>
      </w:r>
      <w:r w:rsidR="00D41051">
        <w:rPr>
          <w:color w:val="000000" w:themeColor="text1"/>
        </w:rPr>
        <w:t xml:space="preserve">or </w:t>
      </w:r>
      <w:r>
        <w:rPr>
          <w:color w:val="000000" w:themeColor="text1"/>
        </w:rPr>
        <w:t>intervention</w:t>
      </w:r>
      <w:r w:rsidR="00D41051">
        <w:rPr>
          <w:color w:val="000000" w:themeColor="text1"/>
        </w:rPr>
        <w:t>s.</w:t>
      </w:r>
      <w:r>
        <w:rPr>
          <w:color w:val="000000" w:themeColor="text1"/>
        </w:rPr>
        <w:t xml:space="preserve"> </w:t>
      </w:r>
      <w:r w:rsidR="008F3BF4">
        <w:rPr>
          <w:color w:val="000000" w:themeColor="text1"/>
        </w:rPr>
        <w:t>C</w:t>
      </w:r>
      <w:r>
        <w:rPr>
          <w:color w:val="000000" w:themeColor="text1"/>
        </w:rPr>
        <w:t xml:space="preserve">ommenting on the effectiveness </w:t>
      </w:r>
      <w:r w:rsidR="008F3BF4">
        <w:rPr>
          <w:color w:val="000000" w:themeColor="text1"/>
        </w:rPr>
        <w:t xml:space="preserve">using such research for establishing guidelines </w:t>
      </w:r>
      <w:r>
        <w:rPr>
          <w:color w:val="000000" w:themeColor="text1"/>
        </w:rPr>
        <w:t xml:space="preserve">of </w:t>
      </w:r>
      <w:r w:rsidR="008F3BF4">
        <w:rPr>
          <w:color w:val="000000" w:themeColor="text1"/>
        </w:rPr>
        <w:t xml:space="preserve">any such study is debatable. </w:t>
      </w:r>
      <w:r>
        <w:rPr>
          <w:color w:val="000000" w:themeColor="text1"/>
        </w:rPr>
        <w:t xml:space="preserve"> </w:t>
      </w:r>
      <w:r w:rsidR="008F3BF4">
        <w:rPr>
          <w:color w:val="000000" w:themeColor="text1"/>
        </w:rPr>
        <w:t>.</w:t>
      </w:r>
      <w:r>
        <w:rPr>
          <w:color w:val="000000" w:themeColor="text1"/>
        </w:rPr>
        <w:t xml:space="preserve">However, these </w:t>
      </w:r>
      <w:r w:rsidR="008F3BF4">
        <w:rPr>
          <w:color w:val="000000" w:themeColor="text1"/>
        </w:rPr>
        <w:t xml:space="preserve">surveys provide insight into the need for such </w:t>
      </w:r>
      <w:r>
        <w:rPr>
          <w:color w:val="000000" w:themeColor="text1"/>
        </w:rPr>
        <w:t>policies.</w:t>
      </w:r>
    </w:p>
    <w:p w:rsidR="00AA3D25" w:rsidRDefault="008F3BF4" w:rsidP="00DD3744">
      <w:pPr>
        <w:spacing w:line="480" w:lineRule="auto"/>
        <w:ind w:firstLine="720"/>
        <w:jc w:val="both"/>
      </w:pPr>
      <w:r>
        <w:rPr>
          <w:lang w:val="en-CA"/>
        </w:rPr>
        <w:t>Part of effective</w:t>
      </w:r>
      <w:r w:rsidR="005C6640">
        <w:rPr>
          <w:lang w:val="en-CA"/>
        </w:rPr>
        <w:t xml:space="preserve"> policy implementation is </w:t>
      </w:r>
      <w:r w:rsidR="002C7EFE">
        <w:rPr>
          <w:lang w:val="en-CA"/>
        </w:rPr>
        <w:t>ensuring that all stakeholders have</w:t>
      </w:r>
      <w:r w:rsidR="005C6640">
        <w:rPr>
          <w:lang w:val="en-CA"/>
        </w:rPr>
        <w:t xml:space="preserve"> similar objectives through constant feedback and engagement. </w:t>
      </w:r>
      <w:r>
        <w:rPr>
          <w:lang w:val="en-CA"/>
        </w:rPr>
        <w:t xml:space="preserve"> </w:t>
      </w:r>
      <w:r w:rsidR="002C7EFE">
        <w:rPr>
          <w:lang w:val="en-CA"/>
        </w:rPr>
        <w:t>PWD</w:t>
      </w:r>
      <w:r w:rsidR="00F34832">
        <w:rPr>
          <w:lang w:val="en-CA"/>
        </w:rPr>
        <w:t xml:space="preserve"> must</w:t>
      </w:r>
      <w:r w:rsidR="002C7EFE">
        <w:rPr>
          <w:lang w:val="en-CA"/>
        </w:rPr>
        <w:t xml:space="preserve"> be</w:t>
      </w:r>
      <w:r w:rsidR="005C6640">
        <w:rPr>
          <w:lang w:val="en-CA"/>
        </w:rPr>
        <w:t xml:space="preserve"> an i</w:t>
      </w:r>
      <w:r>
        <w:rPr>
          <w:lang w:val="en-CA"/>
        </w:rPr>
        <w:t xml:space="preserve">ntegral part of policy </w:t>
      </w:r>
      <w:r>
        <w:rPr>
          <w:lang w:val="en-CA"/>
        </w:rPr>
        <w:lastRenderedPageBreak/>
        <w:t>design</w:t>
      </w:r>
      <w:r w:rsidR="005C6640">
        <w:rPr>
          <w:lang w:val="en-CA"/>
        </w:rPr>
        <w:t xml:space="preserve"> and </w:t>
      </w:r>
      <w:r>
        <w:rPr>
          <w:lang w:val="en-CA"/>
        </w:rPr>
        <w:t xml:space="preserve">implementation. </w:t>
      </w:r>
      <w:r w:rsidR="005C6640">
        <w:rPr>
          <w:lang w:val="en-CA"/>
        </w:rPr>
        <w:t xml:space="preserve">The gap between knowledge and action can be addressed by taking initiative. </w:t>
      </w:r>
      <w:r w:rsidR="00F34832">
        <w:rPr>
          <w:lang w:val="en-CA"/>
        </w:rPr>
        <w:t>A</w:t>
      </w:r>
      <w:r w:rsidR="002C7EFE">
        <w:rPr>
          <w:lang w:val="en-CA"/>
        </w:rPr>
        <w:t xml:space="preserve">fter </w:t>
      </w:r>
      <w:r w:rsidR="00F34832">
        <w:rPr>
          <w:lang w:val="en-CA"/>
        </w:rPr>
        <w:t>implementation, i</w:t>
      </w:r>
      <w:r w:rsidR="005C6640">
        <w:rPr>
          <w:lang w:val="en-CA"/>
        </w:rPr>
        <w:t xml:space="preserve">t is important to analyse the </w:t>
      </w:r>
      <w:r w:rsidR="00F34832">
        <w:rPr>
          <w:lang w:val="en-CA"/>
        </w:rPr>
        <w:t>long-term results to illustrate success</w:t>
      </w:r>
      <w:r w:rsidR="005C6640">
        <w:rPr>
          <w:lang w:val="en-CA"/>
        </w:rPr>
        <w:t>.</w:t>
      </w:r>
    </w:p>
    <w:p w:rsidR="00AA3D25" w:rsidRDefault="005C6640" w:rsidP="00DD3744">
      <w:pPr>
        <w:spacing w:line="480" w:lineRule="auto"/>
        <w:rPr>
          <w:b/>
          <w:lang w:val="en-CA"/>
        </w:rPr>
      </w:pPr>
      <w:r>
        <w:rPr>
          <w:b/>
        </w:rPr>
        <w:t>Summary of Results</w:t>
      </w:r>
    </w:p>
    <w:p w:rsidR="00AA3D25" w:rsidRDefault="005C6640" w:rsidP="00DD3744">
      <w:pPr>
        <w:spacing w:line="480" w:lineRule="auto"/>
        <w:ind w:firstLine="720"/>
        <w:rPr>
          <w:lang w:val="en-CA"/>
        </w:rPr>
      </w:pPr>
      <w:r>
        <w:rPr>
          <w:lang w:val="en-CA"/>
        </w:rPr>
        <w:t>PWD have been largely invisible when it comes to population health</w:t>
      </w:r>
      <w:r w:rsidR="00A217B4">
        <w:rPr>
          <w:lang w:val="en-CA"/>
        </w:rPr>
        <w:t>,</w:t>
      </w:r>
      <w:r>
        <w:rPr>
          <w:lang w:val="en-CA"/>
        </w:rPr>
        <w:t xml:space="preserve"> allocation </w:t>
      </w:r>
      <w:r w:rsidR="00A217B4">
        <w:rPr>
          <w:lang w:val="en-CA"/>
        </w:rPr>
        <w:t xml:space="preserve">and </w:t>
      </w:r>
      <w:r>
        <w:rPr>
          <w:lang w:val="en-CA"/>
        </w:rPr>
        <w:t xml:space="preserve">innovation in the Canadian Healthcare system. </w:t>
      </w:r>
      <w:r w:rsidR="00132676">
        <w:rPr>
          <w:lang w:val="en-CA"/>
        </w:rPr>
        <w:t xml:space="preserve">All participants shared general agreement concerning </w:t>
      </w:r>
      <w:r>
        <w:rPr>
          <w:lang w:val="en-CA"/>
        </w:rPr>
        <w:t xml:space="preserve">health </w:t>
      </w:r>
      <w:r w:rsidR="00132676">
        <w:rPr>
          <w:lang w:val="en-CA"/>
        </w:rPr>
        <w:t>disparities and</w:t>
      </w:r>
      <w:r>
        <w:rPr>
          <w:lang w:val="en-CA"/>
        </w:rPr>
        <w:t xml:space="preserve"> PWD are a prime example of such inequity. These differences are associated with historical disadvantage that comes with </w:t>
      </w:r>
      <w:r w:rsidR="003018D2">
        <w:rPr>
          <w:lang w:val="en-CA"/>
        </w:rPr>
        <w:t>Medical Model</w:t>
      </w:r>
      <w:r>
        <w:rPr>
          <w:lang w:val="en-CA"/>
        </w:rPr>
        <w:t xml:space="preserve"> of Disability. The discussion around disability needs to move past the body to </w:t>
      </w:r>
      <w:r w:rsidR="00F34832">
        <w:rPr>
          <w:lang w:val="en-CA"/>
        </w:rPr>
        <w:t>include</w:t>
      </w:r>
      <w:r>
        <w:rPr>
          <w:lang w:val="en-CA"/>
        </w:rPr>
        <w:t xml:space="preserve"> </w:t>
      </w:r>
      <w:r w:rsidR="00F34832">
        <w:rPr>
          <w:lang w:val="en-CA"/>
        </w:rPr>
        <w:t>key</w:t>
      </w:r>
      <w:r>
        <w:rPr>
          <w:lang w:val="en-CA"/>
        </w:rPr>
        <w:t xml:space="preserve"> social, political and cultural contexts. This realization would </w:t>
      </w:r>
      <w:r w:rsidR="00A217B4">
        <w:rPr>
          <w:lang w:val="en-CA"/>
        </w:rPr>
        <w:t>lessen</w:t>
      </w:r>
      <w:r>
        <w:rPr>
          <w:lang w:val="en-CA"/>
        </w:rPr>
        <w:t xml:space="preserve"> the gap between the desired level of healthcare and existing conditions. The result of this study</w:t>
      </w:r>
      <w:r w:rsidR="00A217B4">
        <w:rPr>
          <w:lang w:val="en-CA"/>
        </w:rPr>
        <w:t xml:space="preserve"> may help </w:t>
      </w:r>
      <w:r>
        <w:rPr>
          <w:lang w:val="en-CA"/>
        </w:rPr>
        <w:t xml:space="preserve">dismiss the assumption that all the stakeholders are on the same page on the opposite ends of the spectrum; it is neither. There are </w:t>
      </w:r>
      <w:r w:rsidR="00F34832">
        <w:rPr>
          <w:lang w:val="en-CA"/>
        </w:rPr>
        <w:t>many</w:t>
      </w:r>
      <w:r>
        <w:rPr>
          <w:lang w:val="en-CA"/>
        </w:rPr>
        <w:t xml:space="preserve"> intersections, just as in our real lives.</w:t>
      </w:r>
      <w:r>
        <w:rPr>
          <w:lang w:val="en-CA"/>
        </w:rPr>
        <w:tab/>
      </w:r>
    </w:p>
    <w:p w:rsidR="00AA3D25" w:rsidRDefault="005C6640" w:rsidP="00DD3744">
      <w:pPr>
        <w:spacing w:line="480" w:lineRule="auto"/>
        <w:ind w:firstLine="720"/>
      </w:pPr>
      <w:r>
        <w:t xml:space="preserve">The major shift from institutional to community-based care has placed the responsibility of primary health care of individuals with disability in the hands of </w:t>
      </w:r>
      <w:r w:rsidR="00132676">
        <w:t>GP’s which</w:t>
      </w:r>
      <w:r>
        <w:t xml:space="preserve"> perpetuates inequity. Advancements in medical science has increased the life expectancy of adults with disability. However, these individuals face serious lack of access and</w:t>
      </w:r>
      <w:r w:rsidR="00CF1FCC">
        <w:t xml:space="preserve"> a</w:t>
      </w:r>
      <w:r>
        <w:t xml:space="preserve"> safe space to talk about their health</w:t>
      </w:r>
      <w:r w:rsidR="00CF1FCC">
        <w:t xml:space="preserve"> concerns</w:t>
      </w:r>
      <w:r>
        <w:t xml:space="preserve">. As a result, in most cases, PWD </w:t>
      </w:r>
      <w:r w:rsidR="00CF1FCC">
        <w:t xml:space="preserve">face a lack </w:t>
      </w:r>
      <w:r w:rsidR="00A260DC">
        <w:t>of coordinated</w:t>
      </w:r>
      <w:r>
        <w:t xml:space="preserve"> care. PWD warrant high quality care and </w:t>
      </w:r>
      <w:r w:rsidR="00132676">
        <w:t>attention,</w:t>
      </w:r>
      <w:r>
        <w:t xml:space="preserve"> as by default healthcare is largely set up for able-bodied individuals. Therefore, establishing a meaningfu</w:t>
      </w:r>
      <w:r w:rsidR="00132676">
        <w:t xml:space="preserve">l relationship while filling </w:t>
      </w:r>
      <w:r>
        <w:t xml:space="preserve">care gaps is crucial for PWD who often experience health care disparities. This </w:t>
      </w:r>
      <w:r w:rsidR="00A260DC">
        <w:t>is achieved</w:t>
      </w:r>
      <w:r>
        <w:t xml:space="preserve"> by </w:t>
      </w:r>
      <w:r w:rsidR="00A260DC">
        <w:t>examining</w:t>
      </w:r>
      <w:r>
        <w:t xml:space="preserve"> disability </w:t>
      </w:r>
      <w:r w:rsidR="00A260DC">
        <w:t xml:space="preserve">studies </w:t>
      </w:r>
      <w:r>
        <w:t xml:space="preserve">literature is already stating and what physicians </w:t>
      </w:r>
      <w:r w:rsidR="00A260DC">
        <w:t>have found.</w:t>
      </w:r>
    </w:p>
    <w:p w:rsidR="00AA3D25" w:rsidRDefault="005C6640" w:rsidP="00DD3744">
      <w:pPr>
        <w:spacing w:line="480" w:lineRule="auto"/>
        <w:ind w:firstLine="720"/>
        <w:rPr>
          <w:lang w:val="en-CA"/>
        </w:rPr>
      </w:pPr>
      <w:r>
        <w:rPr>
          <w:lang w:val="en-CA"/>
        </w:rPr>
        <w:lastRenderedPageBreak/>
        <w:t>All the participants answered in the affirmative when it came to having an accessible clinic. However, none of the physicians had an adjustable examination table in their clinic. One physician mentioned they let the patient remain in their wheelchair for examination if they have a mobility issue. It is a creative makeshift solution, however, I would argue this would not result in a proper examination and can eventually result in missing important examination findings. Others mentioned they usually lift the patient with the help of attendants, which does sound time consuming and can be problematic for some. Usually accessibility problems, when probed, were justified by asserting that clinic did do not belong to them or it was build before they joined the practice and a lot of money is involved in renovating. In the end, it seemed like a blame game.</w:t>
      </w:r>
    </w:p>
    <w:p w:rsidR="00AA3D25" w:rsidRDefault="005C6640" w:rsidP="00DD3744">
      <w:pPr>
        <w:spacing w:line="480" w:lineRule="auto"/>
        <w:ind w:firstLine="720"/>
      </w:pPr>
      <w:r>
        <w:t xml:space="preserve">This study highlights the important themes that give an insight into the problems faced by the physicians. The </w:t>
      </w:r>
      <w:r w:rsidR="003018D2">
        <w:t>Medical Model</w:t>
      </w:r>
      <w:r>
        <w:t xml:space="preserve"> plays an essential role in setting the mindset of the physicians </w:t>
      </w:r>
      <w:r>
        <w:fldChar w:fldCharType="begin"/>
      </w:r>
      <w:r>
        <w:instrText>ADDIN F1000_CSL_CITATION&lt;~#@#~&gt;[{"title":"The need for disability awareness training among rurally based Australian general medical practitioners.","id":"4707134","page":"249-259","type":"article-journal","volume":"19","issue":"6","author":[{"family":"Gething","given":"L"},{"family":"Fethney","given":"J"}],"issued":{"date-parts":[["1997"]]},"URL":"http://www.tandfonline.com/doi/abs/10.3109/09638289709166535","itemType":"RESEARCH_ARTICLE","container-title":"Disability and Rehabilitation","container-title-short":"Disability and Rehabilitation"}]</w:instrText>
      </w:r>
      <w:r>
        <w:fldChar w:fldCharType="separate"/>
      </w:r>
      <w:bookmarkStart w:id="438" w:name="__Fieldmark__2568_813835849"/>
      <w:r>
        <w:t>(</w:t>
      </w:r>
      <w:bookmarkStart w:id="439" w:name="__Fieldmark__3544_1675857893"/>
      <w:r>
        <w:t>G</w:t>
      </w:r>
      <w:bookmarkStart w:id="440" w:name="__Fieldmark__2155_857931355"/>
      <w:r>
        <w:t>ething &amp; Fethney, 1997)</w:t>
      </w:r>
      <w:r>
        <w:fldChar w:fldCharType="end"/>
      </w:r>
      <w:bookmarkEnd w:id="438"/>
      <w:bookmarkEnd w:id="439"/>
      <w:bookmarkEnd w:id="440"/>
      <w:r>
        <w:t>. Health inequity for PWDs is widely associated with the weak definition of perception of disability. Explaining the meaning of health and disability in the context of PWD is difficult by medicine alone. According to the SMD, physicians have the duty to restore the medical health of the patient. Evidence from this research states that contrary to the past times where physicians had been firm about their assumptions about disability, which kept them from transitioning with evolving job descriptions of healthcare professionals, now they are asking for support and change in the system (</w:t>
      </w:r>
      <w:r>
        <w:rPr>
          <w:lang w:val="en-CA"/>
        </w:rPr>
        <w:t>Dovey &amp; Webb, 2000)</w:t>
      </w:r>
      <w:r>
        <w:t xml:space="preserve">. Similarly, PWD also believe that the role of a physician goes beyond treatment and ensuring their patients are </w:t>
      </w:r>
      <w:r w:rsidR="008E5129">
        <w:t>correctly</w:t>
      </w:r>
      <w:r w:rsidR="00FB3A2A">
        <w:t xml:space="preserve"> informed</w:t>
      </w:r>
      <w:r>
        <w:t xml:space="preserve">. Some physicians focused on the minimum </w:t>
      </w:r>
      <w:r w:rsidR="00E60118">
        <w:t>information about disability in</w:t>
      </w:r>
      <w:r w:rsidR="00E60118" w:rsidRPr="00E60118">
        <w:t xml:space="preserve"> </w:t>
      </w:r>
      <w:r w:rsidR="00E60118">
        <w:t>the curriculum for medical students</w:t>
      </w:r>
      <w:r>
        <w:t xml:space="preserve">. Participants reported a lack of prior training and education regarding the treatment of PWD, and as a result, they did not feel comfortable while engaging with disability of any kind. Generally, they believed that the inadequate exposure to care for </w:t>
      </w:r>
      <w:r>
        <w:lastRenderedPageBreak/>
        <w:t>PWD in universities resulted in the distance between physician and PWD. Training prepares a physician to handle any type of patient without communication gaps.</w:t>
      </w:r>
      <w:r w:rsidR="00FB3A2A">
        <w:t xml:space="preserve"> T</w:t>
      </w:r>
      <w:r>
        <w:t>he literature</w:t>
      </w:r>
      <w:r w:rsidR="00F35CD1">
        <w:t xml:space="preserve"> confirms</w:t>
      </w:r>
      <w:r w:rsidR="00FB3A2A">
        <w:t xml:space="preserve"> the </w:t>
      </w:r>
      <w:r w:rsidR="00F35CD1">
        <w:t xml:space="preserve">need to modify the </w:t>
      </w:r>
      <w:r>
        <w:t xml:space="preserve">incorporating </w:t>
      </w:r>
      <w:r w:rsidR="00E60118">
        <w:t>focused</w:t>
      </w:r>
      <w:r>
        <w:t xml:space="preserve"> training regarding the treatment of PWD</w:t>
      </w:r>
      <w:r w:rsidR="00FB3A2A">
        <w:t xml:space="preserve">. The results of this </w:t>
      </w:r>
      <w:r w:rsidR="00F35CD1">
        <w:t>study confirmed this finding.</w:t>
      </w:r>
      <w:r>
        <w:t xml:space="preserve"> Patient-physician interaction should be </w:t>
      </w:r>
      <w:r w:rsidR="00F35CD1">
        <w:t>refocused</w:t>
      </w:r>
      <w:r>
        <w:t xml:space="preserve"> </w:t>
      </w:r>
      <w:r w:rsidR="00F35CD1">
        <w:t>according to</w:t>
      </w:r>
      <w:r>
        <w:t xml:space="preserve"> the needs of modern medicine. It is crucial </w:t>
      </w:r>
      <w:r w:rsidR="00F35CD1">
        <w:t>that</w:t>
      </w:r>
      <w:r>
        <w:t xml:space="preserve"> physicians have expertise in providing </w:t>
      </w:r>
      <w:r>
        <w:rPr>
          <w:color w:val="000000" w:themeColor="text1"/>
        </w:rPr>
        <w:t xml:space="preserve">care for various types </w:t>
      </w:r>
      <w:r>
        <w:t xml:space="preserve">of patients. </w:t>
      </w:r>
    </w:p>
    <w:p w:rsidR="00AA3D25" w:rsidRDefault="00FB3A2A" w:rsidP="00DD3744">
      <w:pPr>
        <w:spacing w:line="480" w:lineRule="auto"/>
        <w:ind w:firstLine="720"/>
      </w:pPr>
      <w:r>
        <w:t>Physician a</w:t>
      </w:r>
      <w:r w:rsidR="005C6640">
        <w:t xml:space="preserve">uthorization </w:t>
      </w:r>
      <w:r w:rsidR="006111B6">
        <w:t xml:space="preserve">is often </w:t>
      </w:r>
      <w:r w:rsidR="00F35CD1">
        <w:t xml:space="preserve">essential in order </w:t>
      </w:r>
      <w:r w:rsidR="006111B6">
        <w:t>for patients</w:t>
      </w:r>
      <w:r w:rsidR="005C6640">
        <w:t xml:space="preserve"> to have access to </w:t>
      </w:r>
      <w:r w:rsidR="006111B6">
        <w:t xml:space="preserve">needed </w:t>
      </w:r>
      <w:r w:rsidR="005C6640">
        <w:t>community-based services and accommodations</w:t>
      </w:r>
      <w:r w:rsidR="005C6640">
        <w:rPr>
          <w:color w:val="000000" w:themeColor="text1"/>
        </w:rPr>
        <w:t xml:space="preserve">. </w:t>
      </w:r>
      <w:r w:rsidR="006111B6">
        <w:rPr>
          <w:color w:val="000000" w:themeColor="text1"/>
        </w:rPr>
        <w:t>In addition</w:t>
      </w:r>
      <w:r w:rsidR="005C6640">
        <w:rPr>
          <w:color w:val="000000" w:themeColor="text1"/>
        </w:rPr>
        <w:t xml:space="preserve">, just being able to refer to a </w:t>
      </w:r>
      <w:r w:rsidR="005C6640">
        <w:t>specialist at the right time would be essential to have a proper healthcare team (</w:t>
      </w:r>
      <w:r w:rsidR="005C6640">
        <w:rPr>
          <w:lang w:val="en-CA"/>
        </w:rPr>
        <w:t>Dovey &amp; Webb, 2000).</w:t>
      </w:r>
      <w:r w:rsidR="005C6640">
        <w:t xml:space="preserve"> However, current literature shows that physicians are not well informed about the problems faced by PWD, and thus they are unable to refer clients to the range of benefits and supports available through community-based services </w:t>
      </w:r>
      <w:r w:rsidR="005C6640">
        <w:fldChar w:fldCharType="begin"/>
      </w:r>
      <w:r w:rsidR="005C6640">
        <w:instrText>ADDIN F1000_CSL_CITATION&lt;~#@#~&gt;[{"title":"The general practice care of people with intellectual disability: barriers and solutions.","id":"4707129","page":"380-390","type":"article-journal","volume":"41","issue":"5","author":[{"family":"Lennox","given":"NG"},{"family":"Diggens","given":"JN"},{"family":"Ugoni","given":"AM"}],"issued":{"date-parts":[["1997"]]},"URL":"http://onlinelibrary.wiley.com/doi/10.1111/j.1365-2788.1997.tb00725.x/full","itemType":"RESEARCH_ARTICLE","container-title":"Journal of Intellectual Disability Research","container-title-short":"Journal of Intellectual Disability Research"},{"title":"Attitudes of general practitioners towards health care for people with intellectual disability and the factors underlying these attitudes.","id":"4707127","page":"391-400","type":"article-journal","volume":"41","issue":"5","author":[{"family":"Bond","given":"L"},{"family":"Kerr","given":"M"},{"family":"Dunstan","given":"F"},{"family":"Thapar","given":"A"}],"issued":{"date-parts":[["1997"]]},"URL":"http://onlinelibrary.wiley.com/doi/10.1111/j.1365-2788.1997.tb00726.x/full","itemType":"RESEARCH_ARTICLE","container-title":"Journal of Intellectual Disability Research","container-title-short":"Journal of Intellectual Disability Research"}]</w:instrText>
      </w:r>
      <w:r w:rsidR="005C6640">
        <w:fldChar w:fldCharType="separate"/>
      </w:r>
      <w:bookmarkStart w:id="441" w:name="__Fieldmark__2589_813835849"/>
      <w:r w:rsidR="005C6640">
        <w:t>(</w:t>
      </w:r>
      <w:bookmarkStart w:id="442" w:name="__Fieldmark__3612_1675857893"/>
      <w:r w:rsidR="005C6640">
        <w:t>B</w:t>
      </w:r>
      <w:bookmarkStart w:id="443" w:name="__Fieldmark__2194_857931355"/>
      <w:r w:rsidR="005C6640">
        <w:t>ond, Kerr, Dunstan, &amp; Thapar, 1997; Lennox, Diggens, &amp; Ugoni, 1997)</w:t>
      </w:r>
      <w:r w:rsidR="005C6640">
        <w:fldChar w:fldCharType="end"/>
      </w:r>
      <w:bookmarkEnd w:id="441"/>
      <w:bookmarkEnd w:id="442"/>
      <w:bookmarkEnd w:id="443"/>
      <w:r w:rsidR="005C6640">
        <w:t xml:space="preserve">. </w:t>
      </w:r>
      <w:r w:rsidR="005C6640">
        <w:rPr>
          <w:lang w:val="en-CA"/>
        </w:rPr>
        <w:t xml:space="preserve">During the interviews, </w:t>
      </w:r>
      <w:r w:rsidR="005C6640">
        <w:rPr>
          <w:color w:val="000000" w:themeColor="text1"/>
          <w:lang w:val="en-CA"/>
        </w:rPr>
        <w:t>physicians were keen to talk about resources in society.</w:t>
      </w:r>
      <w:r w:rsidR="005C6640">
        <w:rPr>
          <w:color w:val="000000" w:themeColor="text1"/>
        </w:rPr>
        <w:t xml:space="preserve"> Availability </w:t>
      </w:r>
      <w:r w:rsidR="006111B6">
        <w:rPr>
          <w:color w:val="000000" w:themeColor="text1"/>
        </w:rPr>
        <w:t>of resources</w:t>
      </w:r>
      <w:r w:rsidR="005C6640">
        <w:rPr>
          <w:color w:val="000000" w:themeColor="text1"/>
        </w:rPr>
        <w:t xml:space="preserve"> is another important barrier for PWD.</w:t>
      </w:r>
      <w:r w:rsidR="005C6640">
        <w:rPr>
          <w:color w:val="000000" w:themeColor="text1"/>
          <w:lang w:val="en-CA"/>
        </w:rPr>
        <w:t xml:space="preserve"> Physicians mentioned:</w:t>
      </w:r>
    </w:p>
    <w:p w:rsidR="00AA3D25" w:rsidRDefault="005C6640" w:rsidP="00DD3744">
      <w:pPr>
        <w:spacing w:line="480" w:lineRule="auto"/>
        <w:ind w:left="720" w:right="283"/>
        <w:rPr>
          <w:color w:val="000000" w:themeColor="text1"/>
          <w:lang w:val="en-CA"/>
        </w:rPr>
      </w:pPr>
      <w:r>
        <w:rPr>
          <w:color w:val="000000" w:themeColor="text1"/>
          <w:lang w:val="en-CA"/>
        </w:rPr>
        <w:t>“If I compare myself from the day I started my residency, I have a lot of information where to send the patients, it is kind of hit and trial method. I look up the resources myself and if it works I try to remember them.”</w:t>
      </w:r>
    </w:p>
    <w:p w:rsidR="00AA3D25" w:rsidRDefault="006111B6" w:rsidP="00DD3744">
      <w:pPr>
        <w:spacing w:line="480" w:lineRule="auto"/>
        <w:ind w:left="720" w:right="283"/>
        <w:rPr>
          <w:color w:val="000000" w:themeColor="text1"/>
          <w:lang w:val="en-CA"/>
        </w:rPr>
      </w:pPr>
      <w:r>
        <w:rPr>
          <w:color w:val="000000" w:themeColor="text1"/>
          <w:lang w:val="en-CA"/>
        </w:rPr>
        <w:t>“There</w:t>
      </w:r>
      <w:r w:rsidR="005C6640">
        <w:rPr>
          <w:color w:val="000000" w:themeColor="text1"/>
          <w:lang w:val="en-CA"/>
        </w:rPr>
        <w:t xml:space="preserve"> are so many resources out there, and organizations providing guidance and a structure, luckily the nurse that worked in our clinic knows all these resources, usually she links them up. Such help is always needed in clinics.”</w:t>
      </w:r>
    </w:p>
    <w:p w:rsidR="00AA3D25" w:rsidRDefault="005C6640" w:rsidP="00DD3744">
      <w:pPr>
        <w:spacing w:line="480" w:lineRule="auto"/>
        <w:rPr>
          <w:lang w:val="en-CA"/>
        </w:rPr>
      </w:pPr>
      <w:r>
        <w:t xml:space="preserve">Physicians acknowledged they needed to play a supportive role while ensuring timely examination but also did not have any clear idea how to go about it. </w:t>
      </w:r>
      <w:r>
        <w:rPr>
          <w:lang w:val="en-CA"/>
        </w:rPr>
        <w:t xml:space="preserve">One of the physicians </w:t>
      </w:r>
      <w:r>
        <w:rPr>
          <w:lang w:val="en-CA"/>
        </w:rPr>
        <w:lastRenderedPageBreak/>
        <w:t>mentioned she writes down all the resources in her cellphone and saved these in different folder so she can manage to connect PWD with appropriate resources:</w:t>
      </w:r>
    </w:p>
    <w:p w:rsidR="00AA3D25" w:rsidRDefault="005C6640" w:rsidP="00DD3744">
      <w:pPr>
        <w:spacing w:line="480" w:lineRule="auto"/>
        <w:ind w:left="283" w:right="680"/>
        <w:rPr>
          <w:lang w:val="en-CA"/>
        </w:rPr>
      </w:pPr>
      <w:r>
        <w:rPr>
          <w:lang w:val="en-CA"/>
        </w:rPr>
        <w:t xml:space="preserve">"Initially I </w:t>
      </w:r>
      <w:r w:rsidR="006111B6">
        <w:rPr>
          <w:lang w:val="en-CA"/>
        </w:rPr>
        <w:t>did not</w:t>
      </w:r>
      <w:r>
        <w:rPr>
          <w:lang w:val="en-CA"/>
        </w:rPr>
        <w:t xml:space="preserve"> know what to do, so I started noting down all the resources I would need frequently and made a folder in my cellphone. It is easier for me to access and saves a lot of time. I don’t have time in clinic to go back and search for referrals every time I see a patient.”</w:t>
      </w:r>
    </w:p>
    <w:p w:rsidR="00AA3D25" w:rsidRDefault="005C6640" w:rsidP="00DD3744">
      <w:pPr>
        <w:spacing w:line="480" w:lineRule="auto"/>
        <w:ind w:firstLine="283"/>
      </w:pPr>
      <w:r>
        <w:rPr>
          <w:color w:val="000000" w:themeColor="text1"/>
          <w:lang w:val="en-CA"/>
        </w:rPr>
        <w:t>One of the physicians working in the Access centre did not seem to encounter the same type of problems since all the resources were available in the facility.</w:t>
      </w:r>
    </w:p>
    <w:p w:rsidR="00AA3D25" w:rsidRDefault="006111B6" w:rsidP="00DD3744">
      <w:pPr>
        <w:spacing w:line="480" w:lineRule="auto"/>
        <w:ind w:firstLine="720"/>
      </w:pPr>
      <w:r>
        <w:t xml:space="preserve">This study showed </w:t>
      </w:r>
      <w:r w:rsidR="002165DE">
        <w:t xml:space="preserve">the </w:t>
      </w:r>
      <w:r>
        <w:t>large amounts of time</w:t>
      </w:r>
      <w:r w:rsidR="005C6640">
        <w:t xml:space="preserve"> and effort</w:t>
      </w:r>
      <w:r w:rsidR="002165DE">
        <w:t xml:space="preserve"> required</w:t>
      </w:r>
      <w:r w:rsidR="005C6640">
        <w:t xml:space="preserve"> to look for </w:t>
      </w:r>
      <w:r w:rsidR="002165DE">
        <w:t xml:space="preserve"> </w:t>
      </w:r>
      <w:r w:rsidR="005C6640">
        <w:t xml:space="preserve"> available</w:t>
      </w:r>
      <w:r w:rsidR="002165DE">
        <w:t xml:space="preserve"> services</w:t>
      </w:r>
      <w:r w:rsidR="005C6640">
        <w:t>. Physicians believe that properly organized resources will help them save time and would let them focus more on their patients. Some of the important resources required when treating PWDs include physiotherapists, occupational therapists, and psychiatrists. Treatin</w:t>
      </w:r>
      <w:r>
        <w:t>g mental illness is reported as</w:t>
      </w:r>
      <w:r w:rsidR="005C6640">
        <w:t xml:space="preserve"> the most difficult due to the absence of an expert who can deliver Cognitive Behavioral Therapy (CBT) along with other behavioral therapies. </w:t>
      </w:r>
      <w:r w:rsidR="002165DE">
        <w:t>H</w:t>
      </w:r>
      <w:r w:rsidR="005C6640">
        <w:t>iring a psychologist for handling intellectually disabled individuals is di</w:t>
      </w:r>
      <w:r w:rsidR="002165DE">
        <w:t xml:space="preserve">fficult and costly. An established protocol </w:t>
      </w:r>
      <w:r w:rsidR="005C6640">
        <w:t>takes</w:t>
      </w:r>
      <w:r>
        <w:t xml:space="preserve"> the</w:t>
      </w:r>
      <w:r w:rsidR="005C6640">
        <w:t xml:space="preserve"> burden from the physicians </w:t>
      </w:r>
      <w:r w:rsidR="002165DE">
        <w:t xml:space="preserve">and </w:t>
      </w:r>
      <w:r w:rsidR="005C6640">
        <w:t>establish</w:t>
      </w:r>
      <w:r w:rsidR="002165DE">
        <w:t>es</w:t>
      </w:r>
      <w:r w:rsidR="005C6640">
        <w:t xml:space="preserve"> consistency</w:t>
      </w:r>
      <w:r w:rsidR="002165DE">
        <w:t xml:space="preserve"> of treatment</w:t>
      </w:r>
      <w:r w:rsidR="005C6640">
        <w:t>. Fu</w:t>
      </w:r>
      <w:r w:rsidR="002165DE">
        <w:t xml:space="preserve">rthermore, the availability of </w:t>
      </w:r>
      <w:r w:rsidR="005C6640">
        <w:t>guideline</w:t>
      </w:r>
      <w:r w:rsidR="002165DE">
        <w:t>s</w:t>
      </w:r>
      <w:r w:rsidR="005C6640">
        <w:t>, informational booklets and brochures help</w:t>
      </w:r>
      <w:r w:rsidR="002165DE">
        <w:t>s</w:t>
      </w:r>
      <w:r w:rsidR="005C6640">
        <w:t xml:space="preserve"> improve </w:t>
      </w:r>
      <w:r w:rsidR="002165DE">
        <w:t>the</w:t>
      </w:r>
      <w:r w:rsidR="005C6640">
        <w:t xml:space="preserve"> healthcare system. Previous research studies </w:t>
      </w:r>
      <w:r w:rsidR="002165DE">
        <w:t>have shown that incorporating Social W</w:t>
      </w:r>
      <w:r w:rsidR="005C6640">
        <w:t>orker</w:t>
      </w:r>
      <w:r w:rsidR="002165DE">
        <w:t>s</w:t>
      </w:r>
      <w:r w:rsidR="005C6640">
        <w:t xml:space="preserve"> into the</w:t>
      </w:r>
      <w:r w:rsidR="00D85243">
        <w:t xml:space="preserve"> delivery</w:t>
      </w:r>
      <w:r w:rsidR="005C6640">
        <w:t xml:space="preserve"> system </w:t>
      </w:r>
      <w:r w:rsidR="00D85243">
        <w:t xml:space="preserve">lessens the workload of </w:t>
      </w:r>
      <w:r w:rsidR="005C6640">
        <w:t xml:space="preserve">physicians while keeping the flow of information intact. This practice </w:t>
      </w:r>
      <w:r w:rsidR="00D85243">
        <w:t>where</w:t>
      </w:r>
      <w:r w:rsidR="005C6640">
        <w:t xml:space="preserve"> implemented in the </w:t>
      </w:r>
      <w:r w:rsidR="00D85243">
        <w:t>helps</w:t>
      </w:r>
      <w:r w:rsidR="005C6640">
        <w:t xml:space="preserve"> to improve healthcare quality. </w:t>
      </w:r>
    </w:p>
    <w:p w:rsidR="00AA3D25" w:rsidRDefault="00D85243" w:rsidP="00DD3744">
      <w:pPr>
        <w:spacing w:line="480" w:lineRule="auto"/>
        <w:ind w:firstLine="720"/>
        <w:rPr>
          <w:lang w:val="en-CA"/>
        </w:rPr>
      </w:pPr>
      <w:r>
        <w:rPr>
          <w:lang w:val="en-CA"/>
        </w:rPr>
        <w:t xml:space="preserve">Participants often mentioned </w:t>
      </w:r>
      <w:r w:rsidR="005C6640">
        <w:rPr>
          <w:lang w:val="en-CA"/>
        </w:rPr>
        <w:t>time</w:t>
      </w:r>
      <w:r>
        <w:rPr>
          <w:lang w:val="en-CA"/>
        </w:rPr>
        <w:t xml:space="preserve"> related </w:t>
      </w:r>
      <w:r w:rsidR="005C6640">
        <w:rPr>
          <w:lang w:val="en-CA"/>
        </w:rPr>
        <w:t xml:space="preserve"> remuneration</w:t>
      </w:r>
      <w:r>
        <w:rPr>
          <w:lang w:val="en-CA"/>
        </w:rPr>
        <w:t>.</w:t>
      </w:r>
      <w:r w:rsidR="005C6640">
        <w:rPr>
          <w:lang w:val="en-CA"/>
        </w:rPr>
        <w:t xml:space="preserve"> All physicians who employed under the FFS model of healthcare wanted </w:t>
      </w:r>
      <w:r>
        <w:rPr>
          <w:lang w:val="en-CA"/>
        </w:rPr>
        <w:t>an extra code for PWD. This coding would give</w:t>
      </w:r>
      <w:r w:rsidR="005C6640">
        <w:rPr>
          <w:lang w:val="en-CA"/>
        </w:rPr>
        <w:t xml:space="preserve"> </w:t>
      </w:r>
      <w:r>
        <w:rPr>
          <w:lang w:val="en-CA"/>
        </w:rPr>
        <w:t xml:space="preserve">them </w:t>
      </w:r>
      <w:r w:rsidR="00BF4C32">
        <w:rPr>
          <w:lang w:val="en-CA"/>
        </w:rPr>
        <w:lastRenderedPageBreak/>
        <w:t xml:space="preserve">required billing </w:t>
      </w:r>
      <w:r w:rsidR="00BF4C32">
        <w:t>time and enhance</w:t>
      </w:r>
      <w:r w:rsidR="005C6640">
        <w:t xml:space="preserve"> quality of care. </w:t>
      </w:r>
      <w:r w:rsidR="00BF4C32">
        <w:rPr>
          <w:lang w:val="en-CA"/>
        </w:rPr>
        <w:t xml:space="preserve">The physician, </w:t>
      </w:r>
      <w:r w:rsidR="005C6640">
        <w:rPr>
          <w:lang w:val="en-CA"/>
        </w:rPr>
        <w:t xml:space="preserve">working at the access </w:t>
      </w:r>
      <w:r w:rsidR="00BF4C32">
        <w:rPr>
          <w:lang w:val="en-CA"/>
        </w:rPr>
        <w:t>centre,</w:t>
      </w:r>
      <w:r w:rsidR="005C6640">
        <w:rPr>
          <w:lang w:val="en-CA"/>
        </w:rPr>
        <w:t xml:space="preserve"> did not </w:t>
      </w:r>
      <w:r w:rsidR="00BF4C32">
        <w:rPr>
          <w:lang w:val="en-CA"/>
        </w:rPr>
        <w:t>mention the</w:t>
      </w:r>
      <w:r w:rsidR="005C6640">
        <w:rPr>
          <w:lang w:val="en-CA"/>
        </w:rPr>
        <w:t xml:space="preserve"> code. I would assume this was probably because they had enough time (30 minutes) for each patient and salary was not contingent on the number of patients they would attend. </w:t>
      </w:r>
      <w:r w:rsidR="00BF4C32">
        <w:rPr>
          <w:lang w:val="en-CA"/>
        </w:rPr>
        <w:t xml:space="preserve">It would appear that </w:t>
      </w:r>
      <w:r w:rsidR="005C6640">
        <w:rPr>
          <w:lang w:val="en-CA"/>
        </w:rPr>
        <w:t>this setup was b</w:t>
      </w:r>
      <w:r w:rsidR="00BF4C32">
        <w:rPr>
          <w:lang w:val="en-CA"/>
        </w:rPr>
        <w:t>etter, but since this model is only recently operational;</w:t>
      </w:r>
      <w:r w:rsidR="005C6640">
        <w:rPr>
          <w:lang w:val="en-CA"/>
        </w:rPr>
        <w:t xml:space="preserve"> I would argue it is too early</w:t>
      </w:r>
      <w:r w:rsidR="00BF4C32">
        <w:rPr>
          <w:lang w:val="en-CA"/>
        </w:rPr>
        <w:t xml:space="preserve"> identify </w:t>
      </w:r>
      <w:r w:rsidR="005C6640">
        <w:rPr>
          <w:lang w:val="en-CA"/>
        </w:rPr>
        <w:t>advantages and disadvantages of any such model of primary healthcare.</w:t>
      </w:r>
    </w:p>
    <w:p w:rsidR="007F539A" w:rsidRDefault="005C6640" w:rsidP="00DD3744">
      <w:pPr>
        <w:spacing w:line="480" w:lineRule="auto"/>
        <w:ind w:firstLine="720"/>
      </w:pPr>
      <w:r>
        <w:t xml:space="preserve"> In various cases, the clinics lack the facilities </w:t>
      </w:r>
      <w:r w:rsidR="007F539A">
        <w:t>to</w:t>
      </w:r>
      <w:r>
        <w:t xml:space="preserve"> provid</w:t>
      </w:r>
      <w:r w:rsidR="007F539A">
        <w:t>e</w:t>
      </w:r>
      <w:r>
        <w:t xml:space="preserve"> care </w:t>
      </w:r>
      <w:r w:rsidR="007F539A">
        <w:t xml:space="preserve">for </w:t>
      </w:r>
      <w:r>
        <w:t xml:space="preserve">PWD having inaccessible entrances. In </w:t>
      </w:r>
      <w:r w:rsidR="007F539A">
        <w:t xml:space="preserve">addition, </w:t>
      </w:r>
      <w:r>
        <w:t xml:space="preserve">old and new clinics did not have advanced technology to support the needs of the people with disabilities such as adjustable tables, documents brochures in </w:t>
      </w:r>
      <w:r w:rsidR="007F539A">
        <w:t>B</w:t>
      </w:r>
      <w:r>
        <w:t>raille, grab bars in the washroom</w:t>
      </w:r>
      <w:r w:rsidR="007F539A">
        <w:t>s</w:t>
      </w:r>
      <w:r>
        <w:t xml:space="preserve"> or interpreters for better com</w:t>
      </w:r>
      <w:r w:rsidR="007F539A">
        <w:t xml:space="preserve">munication. All participants </w:t>
      </w:r>
      <w:r>
        <w:t>interviewed had varied perspectives regarding accessibility of healthcare servic</w:t>
      </w:r>
      <w:r w:rsidR="007F539A">
        <w:t>es. H</w:t>
      </w:r>
      <w:r>
        <w:t xml:space="preserve">owever, they believed that improving the condition of clinics and making them PWD friendly </w:t>
      </w:r>
      <w:r w:rsidR="007F539A">
        <w:t>would</w:t>
      </w:r>
    </w:p>
    <w:p w:rsidR="00AA3D25" w:rsidRDefault="005C6640" w:rsidP="00DD3744">
      <w:pPr>
        <w:spacing w:line="480" w:lineRule="auto"/>
        <w:ind w:firstLine="720"/>
        <w:rPr>
          <w:lang w:val="en-CA"/>
        </w:rPr>
      </w:pPr>
      <w:r>
        <w:t>motivate PWD to seek medical treatment on time. It is a co</w:t>
      </w:r>
      <w:r w:rsidR="007F539A">
        <w:t xml:space="preserve">st-effective intervention that has a </w:t>
      </w:r>
      <w:r>
        <w:t xml:space="preserve"> positive impact on healthcare because inaccessible healthcare will result in poor quality of life, increased readmission and hospitalization rates. </w:t>
      </w:r>
      <w:r w:rsidR="007F539A">
        <w:t>Often,</w:t>
      </w:r>
      <w:r>
        <w:t xml:space="preserve"> it is assumed that PWD have more physicians’ visits, while according to the evidence, </w:t>
      </w:r>
      <w:r>
        <w:rPr>
          <w:lang w:val="en-CA"/>
        </w:rPr>
        <w:t xml:space="preserve">the number of times PWD made contacts with physician were not different than the number of times people without disability would present to the clinic (Howells, 1986). </w:t>
      </w:r>
    </w:p>
    <w:p w:rsidR="00AA3D25" w:rsidRDefault="005C6640" w:rsidP="00DD3744">
      <w:pPr>
        <w:spacing w:line="480" w:lineRule="auto"/>
        <w:ind w:firstLine="720"/>
      </w:pPr>
      <w:r>
        <w:t xml:space="preserve">Evidence stated that PWDs struggled for support and assistance all across the world. This study showed conflicts existed among physicians regarding their role, expectations of government and PWD. These conflicts become more serious when it comes to PWD where the opportunities for PWD to speak up are limited. Communication is one of the most critical barriers faced by both parties in this scenario. Communication barriers include lack of </w:t>
      </w:r>
      <w:r>
        <w:lastRenderedPageBreak/>
        <w:t xml:space="preserve">understanding and not obtaining information from PWD. </w:t>
      </w:r>
      <w:r w:rsidR="000561D1">
        <w:t xml:space="preserve">In addition, at </w:t>
      </w:r>
      <w:r>
        <w:t>times the medical histories of the patients were unclear which lead to poor comprehension of the case and affected the quality of care. Apart from communication, the absence of compliance with the physician’s management plan also creates difficulties in cooperating with the patient and obtaining a patient’s loyalty. It could partially be due to the lack of extra support and limited time. Furthermore, policies lack an understanding of PWD needs, which keeps them from improving the condition of the clinics.</w:t>
      </w:r>
    </w:p>
    <w:p w:rsidR="00AA3D25" w:rsidRDefault="005C6640" w:rsidP="00DD3744">
      <w:pPr>
        <w:spacing w:line="480" w:lineRule="auto"/>
        <w:ind w:firstLine="720"/>
      </w:pPr>
      <w:r>
        <w:t xml:space="preserve">Multicultural interaction along with a modified education curriculum, and training will cover communication gaps between physicians and PWD. As the technology </w:t>
      </w:r>
      <w:r w:rsidR="000561D1">
        <w:t xml:space="preserve">improves, </w:t>
      </w:r>
      <w:r>
        <w:t xml:space="preserve">there is </w:t>
      </w:r>
      <w:r w:rsidR="000561D1">
        <w:t>greater</w:t>
      </w:r>
      <w:r>
        <w:t xml:space="preserve"> overlap of different cultures and values related to one’s health; global movement has allowed people from all backgrounds to access medical services across the world. This increase in interaction with multicultural </w:t>
      </w:r>
      <w:r w:rsidR="000561D1">
        <w:t>patients’</w:t>
      </w:r>
      <w:r>
        <w:t xml:space="preserve"> needs to become a key focus for growth of physicians. </w:t>
      </w:r>
    </w:p>
    <w:p w:rsidR="00AA3D25" w:rsidRDefault="00AA3D25" w:rsidP="00DD3744">
      <w:pPr>
        <w:spacing w:line="480" w:lineRule="auto"/>
        <w:rPr>
          <w:highlight w:val="cyan"/>
          <w:lang w:val="en-CA"/>
        </w:rPr>
      </w:pPr>
    </w:p>
    <w:p w:rsidR="00AA3D25" w:rsidRDefault="005C6640" w:rsidP="00DD3744">
      <w:pPr>
        <w:spacing w:line="480" w:lineRule="auto"/>
        <w:rPr>
          <w:highlight w:val="cyan"/>
          <w:lang w:val="en-CA"/>
        </w:rPr>
      </w:pPr>
      <w:r>
        <w:br w:type="page"/>
      </w:r>
    </w:p>
    <w:p w:rsidR="00AA3D25" w:rsidRDefault="005C6640" w:rsidP="00DD3744">
      <w:pPr>
        <w:pStyle w:val="Heading1"/>
      </w:pPr>
      <w:bookmarkStart w:id="444" w:name="_Toc533852533"/>
      <w:r>
        <w:lastRenderedPageBreak/>
        <w:t>Concluding Remarks</w:t>
      </w:r>
      <w:bookmarkEnd w:id="444"/>
    </w:p>
    <w:p w:rsidR="00AA3D25" w:rsidRDefault="005C6640" w:rsidP="00DD3744">
      <w:pPr>
        <w:pStyle w:val="ListParagraph"/>
        <w:spacing w:line="480" w:lineRule="auto"/>
        <w:ind w:left="0" w:firstLine="720"/>
        <w:jc w:val="both"/>
        <w:rPr>
          <w:rFonts w:ascii="Times New Roman" w:hAnsi="Times New Roman" w:cs="Times New Roman"/>
          <w:color w:val="000000" w:themeColor="text1"/>
          <w:sz w:val="24"/>
          <w:szCs w:val="24"/>
        </w:rPr>
      </w:pPr>
      <w:r>
        <w:rPr>
          <w:rFonts w:ascii="Times New Roman" w:hAnsi="Times New Roman" w:cs="Times New Roman"/>
          <w:sz w:val="24"/>
          <w:szCs w:val="24"/>
        </w:rPr>
        <w:t xml:space="preserve">Disability is not a </w:t>
      </w:r>
      <w:r w:rsidR="000561D1">
        <w:rPr>
          <w:rFonts w:ascii="Times New Roman" w:hAnsi="Times New Roman" w:cs="Times New Roman"/>
          <w:sz w:val="24"/>
          <w:szCs w:val="24"/>
        </w:rPr>
        <w:t>disease;</w:t>
      </w:r>
      <w:r>
        <w:rPr>
          <w:rFonts w:ascii="Times New Roman" w:hAnsi="Times New Roman" w:cs="Times New Roman"/>
          <w:sz w:val="24"/>
          <w:szCs w:val="24"/>
        </w:rPr>
        <w:t xml:space="preserve"> rather it is a dynamic relationship between an individual and society. Most of the world population has or will experience disability at some point in life and at the present </w:t>
      </w:r>
      <w:r w:rsidR="000561D1">
        <w:rPr>
          <w:rFonts w:ascii="Times New Roman" w:hAnsi="Times New Roman" w:cs="Times New Roman"/>
          <w:sz w:val="24"/>
          <w:szCs w:val="24"/>
        </w:rPr>
        <w:t>rate;</w:t>
      </w:r>
      <w:r>
        <w:rPr>
          <w:rFonts w:ascii="Times New Roman" w:hAnsi="Times New Roman" w:cs="Times New Roman"/>
          <w:sz w:val="24"/>
          <w:szCs w:val="24"/>
        </w:rPr>
        <w:t xml:space="preserve"> it will keep getting higher as more and more people age. The relationship of disability and the primary healthcare system is extremely complex and an important one. </w:t>
      </w:r>
      <w:r w:rsidR="000561D1">
        <w:rPr>
          <w:rFonts w:ascii="Times New Roman" w:hAnsi="Times New Roman" w:cs="Times New Roman"/>
          <w:sz w:val="24"/>
          <w:szCs w:val="24"/>
        </w:rPr>
        <w:t>Often,</w:t>
      </w:r>
      <w:r>
        <w:rPr>
          <w:rFonts w:ascii="Times New Roman" w:hAnsi="Times New Roman" w:cs="Times New Roman"/>
          <w:sz w:val="24"/>
          <w:szCs w:val="24"/>
        </w:rPr>
        <w:t xml:space="preserve"> PWD </w:t>
      </w:r>
      <w:r w:rsidR="000561D1">
        <w:rPr>
          <w:rFonts w:ascii="Times New Roman" w:hAnsi="Times New Roman" w:cs="Times New Roman"/>
          <w:sz w:val="24"/>
          <w:szCs w:val="24"/>
        </w:rPr>
        <w:t xml:space="preserve">are seen </w:t>
      </w:r>
      <w:r>
        <w:rPr>
          <w:rFonts w:ascii="Times New Roman" w:hAnsi="Times New Roman" w:cs="Times New Roman"/>
          <w:sz w:val="24"/>
          <w:szCs w:val="24"/>
        </w:rPr>
        <w:t xml:space="preserve">through the medical lens, the </w:t>
      </w:r>
      <w:r w:rsidR="003018D2">
        <w:rPr>
          <w:rFonts w:ascii="Times New Roman" w:hAnsi="Times New Roman" w:cs="Times New Roman"/>
          <w:sz w:val="24"/>
          <w:szCs w:val="24"/>
        </w:rPr>
        <w:t>Medical Model</w:t>
      </w:r>
      <w:r>
        <w:rPr>
          <w:rFonts w:ascii="Times New Roman" w:hAnsi="Times New Roman" w:cs="Times New Roman"/>
          <w:sz w:val="24"/>
          <w:szCs w:val="24"/>
        </w:rPr>
        <w:t xml:space="preserve"> of disability. </w:t>
      </w:r>
      <w:r w:rsidR="000561D1">
        <w:rPr>
          <w:rFonts w:ascii="Times New Roman" w:hAnsi="Times New Roman" w:cs="Times New Roman"/>
          <w:sz w:val="24"/>
          <w:szCs w:val="24"/>
        </w:rPr>
        <w:t>T</w:t>
      </w:r>
      <w:r w:rsidR="001A5E1B">
        <w:rPr>
          <w:rFonts w:ascii="Times New Roman" w:hAnsi="Times New Roman" w:cs="Times New Roman"/>
          <w:sz w:val="24"/>
          <w:szCs w:val="24"/>
        </w:rPr>
        <w:t>he</w:t>
      </w:r>
      <w:r w:rsidR="000561D1">
        <w:rPr>
          <w:rFonts w:ascii="Times New Roman" w:hAnsi="Times New Roman" w:cs="Times New Roman"/>
          <w:sz w:val="24"/>
          <w:szCs w:val="24"/>
        </w:rPr>
        <w:t xml:space="preserve"> SMD to </w:t>
      </w:r>
      <w:r w:rsidR="001A5E1B">
        <w:rPr>
          <w:rFonts w:ascii="Times New Roman" w:hAnsi="Times New Roman" w:cs="Times New Roman"/>
          <w:sz w:val="24"/>
          <w:szCs w:val="24"/>
        </w:rPr>
        <w:t>highlights societal</w:t>
      </w:r>
      <w:r>
        <w:rPr>
          <w:rFonts w:ascii="Times New Roman" w:hAnsi="Times New Roman" w:cs="Times New Roman"/>
          <w:sz w:val="24"/>
          <w:szCs w:val="24"/>
        </w:rPr>
        <w:t xml:space="preserve"> barriers. The SMD does not claim to </w:t>
      </w:r>
      <w:r>
        <w:rPr>
          <w:rFonts w:ascii="Times New Roman" w:hAnsi="Times New Roman" w:cs="Times New Roman"/>
          <w:color w:val="000000" w:themeColor="text1"/>
          <w:sz w:val="24"/>
          <w:szCs w:val="24"/>
        </w:rPr>
        <w:t xml:space="preserve">understand the complex process of disability or answer to all questions. However, it can be used as a </w:t>
      </w:r>
      <w:r w:rsidR="000561D1">
        <w:rPr>
          <w:rFonts w:ascii="Times New Roman" w:hAnsi="Times New Roman" w:cs="Times New Roman"/>
          <w:color w:val="000000" w:themeColor="text1"/>
          <w:sz w:val="24"/>
          <w:szCs w:val="24"/>
        </w:rPr>
        <w:t>guidepost</w:t>
      </w:r>
      <w:r w:rsidR="001A5E1B">
        <w:rPr>
          <w:rFonts w:ascii="Times New Roman" w:hAnsi="Times New Roman" w:cs="Times New Roman"/>
          <w:color w:val="000000" w:themeColor="text1"/>
          <w:sz w:val="24"/>
          <w:szCs w:val="24"/>
        </w:rPr>
        <w:t xml:space="preserve"> as </w:t>
      </w:r>
      <w:r>
        <w:rPr>
          <w:rFonts w:ascii="Times New Roman" w:hAnsi="Times New Roman" w:cs="Times New Roman"/>
          <w:color w:val="000000" w:themeColor="text1"/>
          <w:sz w:val="24"/>
          <w:szCs w:val="24"/>
        </w:rPr>
        <w:t xml:space="preserve">was my intention when I chose to this topic. This paper focuses on the physicians’ point of view and challenges they encounter because of the current healthcare setup.. My research illustrates how this gap can be reduced and </w:t>
      </w:r>
    </w:p>
    <w:p w:rsidR="00AA3D25" w:rsidRDefault="005C6640" w:rsidP="00DD3744">
      <w:pPr>
        <w:spacing w:line="480" w:lineRule="auto"/>
        <w:ind w:firstLine="720"/>
      </w:pPr>
      <w:r>
        <w:rPr>
          <w:color w:val="000000" w:themeColor="text1"/>
        </w:rPr>
        <w:t>Disability theorists who approach health</w:t>
      </w:r>
      <w:r w:rsidR="001A5E1B">
        <w:rPr>
          <w:color w:val="000000" w:themeColor="text1"/>
        </w:rPr>
        <w:t>care</w:t>
      </w:r>
      <w:r>
        <w:rPr>
          <w:color w:val="000000" w:themeColor="text1"/>
        </w:rPr>
        <w:t xml:space="preserve"> from a </w:t>
      </w:r>
      <w:r w:rsidR="003018D2">
        <w:rPr>
          <w:color w:val="000000" w:themeColor="text1"/>
        </w:rPr>
        <w:t>Social Model</w:t>
      </w:r>
      <w:r w:rsidR="001A5E1B">
        <w:rPr>
          <w:color w:val="000000" w:themeColor="text1"/>
        </w:rPr>
        <w:t xml:space="preserve"> </w:t>
      </w:r>
      <w:r>
        <w:rPr>
          <w:color w:val="000000" w:themeColor="text1"/>
        </w:rPr>
        <w:t xml:space="preserve">have a lobbied for understanding the difference between disability and being totally helpless and being termed as “medically unfit.” To say disability is a social construct does not necessarily mean that impairment could not result in physical and mental limitations at times (Morris, 1991).  However, citizenship should not be contingent upon mental and physical faculties </w:t>
      </w:r>
      <w:r>
        <w:t xml:space="preserve">alone. Disability and illness are two very different things, having this delineation would help physicians to understand the functional level of PWD and concentrate on the issue the patient is there for. Having PWD involved in medical training or continuing medical education </w:t>
      </w:r>
      <w:r w:rsidR="001A5E1B">
        <w:t>is</w:t>
      </w:r>
      <w:r>
        <w:t xml:space="preserve"> a good starting point, </w:t>
      </w:r>
      <w:r w:rsidR="001A5E1B">
        <w:t>being</w:t>
      </w:r>
      <w:r>
        <w:t xml:space="preserve"> involved in designing the curriculum does justice to PWD and other vulnerable populations that might benefit from this too. The reconfiguration of the health system keeping in view the social context can help re-establish new user-friendly policies. These are primary care problems but there is a complex interplay of many factors.</w:t>
      </w:r>
    </w:p>
    <w:p w:rsidR="00AA3D25" w:rsidRDefault="005C6640" w:rsidP="00DD3744">
      <w:pPr>
        <w:spacing w:line="480" w:lineRule="auto"/>
        <w:ind w:firstLine="720"/>
      </w:pPr>
      <w:r>
        <w:lastRenderedPageBreak/>
        <w:t xml:space="preserve">Clinical concepts, along with disability etiquette, are very important for a close relationship and non-judgmental service delivery. A lot of which seems like common sense, however, it is generally absent in </w:t>
      </w:r>
      <w:r w:rsidR="001A5E1B">
        <w:t>day-to-day</w:t>
      </w:r>
      <w:r>
        <w:t xml:space="preserve"> clinical practices. As discussed earlier, lack of any proper guidelines and resources for physicians to </w:t>
      </w:r>
      <w:r w:rsidR="001A5E1B">
        <w:t>streamline</w:t>
      </w:r>
      <w:r>
        <w:t xml:space="preserve"> the process of helping to connect PWD to the services in society, creates a gap.  With different population </w:t>
      </w:r>
      <w:r w:rsidR="001A5E1B">
        <w:t>subsets,</w:t>
      </w:r>
      <w:r>
        <w:t xml:space="preserve"> different culture and different realities there are varying expectation from the healthcare. The concise summary of a few physician’s experiences demonstrates the other side and proves there are several dimensions to this seemingly simple problem. </w:t>
      </w:r>
    </w:p>
    <w:p w:rsidR="00AA3D25" w:rsidRDefault="0099729A" w:rsidP="00DD3744">
      <w:pPr>
        <w:spacing w:line="480" w:lineRule="auto"/>
      </w:pPr>
      <w:r>
        <w:t>T</w:t>
      </w:r>
      <w:r w:rsidR="005C6640">
        <w:t xml:space="preserve">he term ‘patient centered’ </w:t>
      </w:r>
      <w:r>
        <w:t>does not necessarily indicate</w:t>
      </w:r>
      <w:r w:rsidR="005C6640">
        <w:t xml:space="preserve"> equity and favourable conditions for patients. Interestingly, patient centered care, according to the literature is also better according to the physician. The power to decide what is good or not, for that particular person, still lies with the physicians. The healthcare professional playing judge, jury and the executioner by themselves creates a hushed atmosphere with limited time on hand for PWD to position their concerns. </w:t>
      </w:r>
    </w:p>
    <w:p w:rsidR="00AA3D25" w:rsidRDefault="005C6640" w:rsidP="00DD3744">
      <w:pPr>
        <w:spacing w:line="480" w:lineRule="auto"/>
        <w:ind w:firstLine="720"/>
      </w:pPr>
      <w:r>
        <w:t xml:space="preserve">PWD are not a small minority. A staggering 2.1 million people in 2012, 25-64 of age, identified as themselves as disabled (Statistics Canada, 2015). The social isolation faced by PWD is very scary and can often result in further segregating PWD from society and accessing healthcare. This thesis emphasizes the need for better communication and the realization that PWD can make their own decisions. They </w:t>
      </w:r>
      <w:r w:rsidR="0099729A">
        <w:t>may require</w:t>
      </w:r>
      <w:r>
        <w:t xml:space="preserve"> more time for examination but does not mean they cannot be an active member of their health team. Low expectations from PWD regarding their capacity to understand their health and assumptions play a vital role and sho</w:t>
      </w:r>
      <w:r w:rsidR="0099729A">
        <w:t>uld be re-evaluated.  Often,</w:t>
      </w:r>
      <w:r>
        <w:t xml:space="preserve"> the fear of being categorized as a demanding patient </w:t>
      </w:r>
      <w:r w:rsidR="0099729A">
        <w:t xml:space="preserve">prevents </w:t>
      </w:r>
      <w:r>
        <w:t xml:space="preserve">PWD </w:t>
      </w:r>
      <w:r w:rsidR="0099729A">
        <w:t xml:space="preserve">and </w:t>
      </w:r>
      <w:r>
        <w:lastRenderedPageBreak/>
        <w:t>properly explaining th</w:t>
      </w:r>
      <w:r w:rsidR="0099729A">
        <w:t xml:space="preserve">eir situation and </w:t>
      </w:r>
      <w:r>
        <w:t>presentation of t</w:t>
      </w:r>
      <w:r w:rsidR="0099729A">
        <w:t xml:space="preserve">heir illness. This might impede </w:t>
      </w:r>
      <w:r>
        <w:t>access to proper healthcare service delivery.</w:t>
      </w:r>
    </w:p>
    <w:p w:rsidR="00AA3D25" w:rsidRDefault="005C6640" w:rsidP="00DD3744">
      <w:pPr>
        <w:spacing w:line="480" w:lineRule="auto"/>
        <w:ind w:firstLine="720"/>
      </w:pPr>
      <w:r>
        <w:t>In 2013, the Manitoba government legislated the AMA, making Manitoba the second province to have their own act involving accessibility (Accessibil</w:t>
      </w:r>
      <w:r w:rsidR="0099729A">
        <w:t>ity for Manitobans Act, 2013). Alt</w:t>
      </w:r>
      <w:r>
        <w:t xml:space="preserve">hough, it is a good news for PWD in Manitoba, there is an implementation gap. </w:t>
      </w:r>
      <w:r w:rsidR="0099729A">
        <w:t>T</w:t>
      </w:r>
      <w:r>
        <w:t xml:space="preserve">he </w:t>
      </w:r>
      <w:r w:rsidR="0099729A">
        <w:t>Customer S</w:t>
      </w:r>
      <w:r>
        <w:t xml:space="preserve">ervice </w:t>
      </w:r>
      <w:r w:rsidR="0099729A">
        <w:t>Standard</w:t>
      </w:r>
      <w:r>
        <w:t xml:space="preserve">, which deals with attitudinal, technological, systemic (policy) or architectural barriers for an inclusive society. The development of the primary health system cannot be just limited to policies </w:t>
      </w:r>
      <w:r w:rsidR="0099729A">
        <w:t>alone;</w:t>
      </w:r>
      <w:r>
        <w:t xml:space="preserve"> there are many key challenges that deal with social set up. There is no obvious implementation plan in terms of consequences if someone fails to abide by the standard. Such loopholes are the </w:t>
      </w:r>
      <w:r w:rsidR="0099729A">
        <w:t>main</w:t>
      </w:r>
      <w:r>
        <w:t xml:space="preserve"> reason for a failure of any such policy.</w:t>
      </w:r>
    </w:p>
    <w:p w:rsidR="00AA3D25" w:rsidRDefault="005C6640" w:rsidP="00DD3744">
      <w:pPr>
        <w:spacing w:line="480" w:lineRule="auto"/>
        <w:ind w:firstLine="720"/>
      </w:pPr>
      <w:r>
        <w:t xml:space="preserve">Successful outcomes lie at the intersection of social impact of practices, policy change and interdisciplinary understanding of each other. Not all kinds of disability affect the capacity of understanding, and a majority of the disabled population can think, understand and decide as well as the non-disabled population. Enabling PWD to have more self-control of their lives would make them more autonomous about their health decisions. The access to resources should be dependent on PWD. The physicians, even within conservative society, are acknowledging the lack of education, need for proper time and assistance, </w:t>
      </w:r>
      <w:r w:rsidR="0010087F">
        <w:t>and clearly</w:t>
      </w:r>
      <w:r>
        <w:t xml:space="preserve"> demonstrates a crack in the system and the need for a reform.</w:t>
      </w:r>
    </w:p>
    <w:p w:rsidR="00AA3D25" w:rsidRDefault="005C6640" w:rsidP="00DD3744">
      <w:pPr>
        <w:spacing w:line="480" w:lineRule="auto"/>
        <w:ind w:firstLine="720"/>
      </w:pPr>
      <w:r>
        <w:t xml:space="preserve">The negative stereotypes of disability accentuate the stigma around access to healthcare and positions all the stakeholders in a defensive position. The difference in perspective eventually results in using inclusive language and formulation of inclusive policies and frameworks to guide future innovation in care. Instead of radical alternatives or radically altering the scope of jobs, just having some basic tools and change in the attitude would bring out some </w:t>
      </w:r>
      <w:r>
        <w:lastRenderedPageBreak/>
        <w:t>change in the way</w:t>
      </w:r>
      <w:r w:rsidR="0010087F">
        <w:t xml:space="preserve"> healthcare works. I recognize </w:t>
      </w:r>
      <w:r>
        <w:t>it would need more than policy and education to change the system. However, that can be a start.</w:t>
      </w:r>
    </w:p>
    <w:p w:rsidR="00AA3D25" w:rsidRDefault="005C6640" w:rsidP="00DD3744">
      <w:pPr>
        <w:spacing w:line="480" w:lineRule="auto"/>
      </w:pPr>
      <w:r>
        <w:br w:type="page"/>
      </w:r>
    </w:p>
    <w:p w:rsidR="00AA3D25" w:rsidRDefault="00AA3D25" w:rsidP="00DD3744">
      <w:pPr>
        <w:spacing w:line="480" w:lineRule="auto"/>
        <w:rPr>
          <w:lang w:val="en-CA"/>
        </w:rPr>
      </w:pPr>
    </w:p>
    <w:p w:rsidR="00AA3D25" w:rsidRDefault="005C6640" w:rsidP="00DD3744">
      <w:pPr>
        <w:pStyle w:val="Heading1"/>
      </w:pPr>
      <w:bookmarkStart w:id="445" w:name="_Toc533852534"/>
      <w:r>
        <w:t>Recommendations</w:t>
      </w:r>
      <w:bookmarkEnd w:id="445"/>
    </w:p>
    <w:p w:rsidR="00AA3D25" w:rsidRDefault="005C6640" w:rsidP="00DD3744">
      <w:pPr>
        <w:pStyle w:val="ListParagraph"/>
        <w:spacing w:line="480" w:lineRule="auto"/>
        <w:ind w:left="0" w:firstLine="720"/>
        <w:rPr>
          <w:rFonts w:ascii="Times New Roman" w:hAnsi="Times New Roman" w:cs="Times New Roman"/>
          <w:sz w:val="24"/>
          <w:szCs w:val="24"/>
        </w:rPr>
      </w:pPr>
      <w:r>
        <w:rPr>
          <w:rFonts w:ascii="Times New Roman" w:hAnsi="Times New Roman" w:cs="Times New Roman"/>
          <w:sz w:val="24"/>
          <w:szCs w:val="24"/>
        </w:rPr>
        <w:t>Pouring more energy in the system that is not producing the equality society needs is just a waste of money, energy and resources at the cost of PWD</w:t>
      </w:r>
      <w:r w:rsidR="0010087F">
        <w:rPr>
          <w:rFonts w:ascii="Times New Roman" w:hAnsi="Times New Roman" w:cs="Times New Roman"/>
          <w:sz w:val="24"/>
          <w:szCs w:val="24"/>
        </w:rPr>
        <w:t xml:space="preserve"> health. The barriers identified;</w:t>
      </w:r>
      <w:r>
        <w:rPr>
          <w:rFonts w:ascii="Times New Roman" w:hAnsi="Times New Roman" w:cs="Times New Roman"/>
          <w:sz w:val="24"/>
          <w:szCs w:val="24"/>
        </w:rPr>
        <w:t xml:space="preserve"> it is time to start implement</w:t>
      </w:r>
      <w:r w:rsidR="0010087F">
        <w:rPr>
          <w:rFonts w:ascii="Times New Roman" w:hAnsi="Times New Roman" w:cs="Times New Roman"/>
          <w:sz w:val="24"/>
          <w:szCs w:val="24"/>
        </w:rPr>
        <w:t>ation</w:t>
      </w:r>
      <w:r>
        <w:rPr>
          <w:rFonts w:ascii="Times New Roman" w:hAnsi="Times New Roman" w:cs="Times New Roman"/>
          <w:sz w:val="24"/>
          <w:szCs w:val="24"/>
        </w:rPr>
        <w:t xml:space="preserve">. </w:t>
      </w:r>
    </w:p>
    <w:p w:rsidR="00AA3D25" w:rsidRDefault="005C6640" w:rsidP="00DD3744">
      <w:pPr>
        <w:pStyle w:val="Heading2"/>
      </w:pPr>
      <w:bookmarkStart w:id="446" w:name="_Toc533852535"/>
      <w:r>
        <w:t>Training</w:t>
      </w:r>
      <w:bookmarkEnd w:id="446"/>
      <w:r>
        <w:t xml:space="preserve"> </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Integrated knowledge-translation could increase the likelihood of adopting better practice and uptake of evidence. There should be a mandatory course on engaging with vulnerable populations including PWD. With increasing immigration and people having visible and invisible disabilities, it is important to have sensitivity training. </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Research for good evidence, for example, having PWD part of research. They should be a part of the training, so further guidelines can develop for doctors. </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In the modules regarding disability, PWD should be involved as professors, or teacher’s assistants, so firsthand knowledge can be a part of training.</w:t>
      </w:r>
    </w:p>
    <w:p w:rsidR="00AA3D25" w:rsidRDefault="005C6640" w:rsidP="00DD3744">
      <w:pPr>
        <w:pStyle w:val="Heading2"/>
      </w:pPr>
      <w:bookmarkStart w:id="447" w:name="_Toc533852536"/>
      <w:r>
        <w:t>Resources and Assistance</w:t>
      </w:r>
      <w:bookmarkEnd w:id="447"/>
      <w:r>
        <w:t xml:space="preserve"> </w:t>
      </w:r>
    </w:p>
    <w:p w:rsidR="00AA3D25" w:rsidRDefault="005C6640" w:rsidP="00DD3744">
      <w:pPr>
        <w:pStyle w:val="ListParagraph"/>
        <w:spacing w:line="480" w:lineRule="auto"/>
        <w:ind w:left="0" w:firstLine="360"/>
        <w:rPr>
          <w:rFonts w:ascii="Times New Roman" w:hAnsi="Times New Roman" w:cs="Times New Roman"/>
          <w:sz w:val="24"/>
          <w:szCs w:val="24"/>
        </w:rPr>
      </w:pPr>
      <w:r>
        <w:rPr>
          <w:rFonts w:ascii="Times New Roman" w:hAnsi="Times New Roman" w:cs="Times New Roman"/>
          <w:sz w:val="24"/>
          <w:szCs w:val="24"/>
        </w:rPr>
        <w:t>In a real-world setting we need to start with small projects aligning with the SMD and needs of disabled people. Different models of care might reduce the inaccessibility gap between the physician and PWD. A few models could be as follows:</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Have more inter-collaborative health care teams for example, My Healthcare Teams (“My health team”, 2017) to have a better patient- centered care framework to deliver health care.</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Have a tool like “The Get Your Benefit Project” locating all the resources for PWD in a simple language in booklet form. This would help healthcare providers and PWD (“The Get Your Benefit Project”, 2017) to locate resources and organizations. </w:t>
      </w:r>
    </w:p>
    <w:p w:rsidR="00AA3D25" w:rsidRDefault="0010087F"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Well-managed</w:t>
      </w:r>
      <w:r w:rsidR="005C6640">
        <w:rPr>
          <w:rFonts w:ascii="Times New Roman" w:hAnsi="Times New Roman" w:cs="Times New Roman"/>
          <w:sz w:val="24"/>
          <w:szCs w:val="24"/>
        </w:rPr>
        <w:t xml:space="preserve"> resources would improve PWD’s timely access to healthcare, use strategies such as remote patient outreach and monitoring programs like mobile clinics (“</w:t>
      </w:r>
      <w:r>
        <w:rPr>
          <w:rFonts w:ascii="Times New Roman" w:hAnsi="Times New Roman" w:cs="Times New Roman"/>
          <w:sz w:val="24"/>
          <w:szCs w:val="24"/>
        </w:rPr>
        <w:t xml:space="preserve">Accessing care”, 2017). In an </w:t>
      </w:r>
      <w:r w:rsidR="005C6640">
        <w:rPr>
          <w:rFonts w:ascii="Times New Roman" w:hAnsi="Times New Roman" w:cs="Times New Roman"/>
          <w:sz w:val="24"/>
          <w:szCs w:val="24"/>
        </w:rPr>
        <w:t>emergency, fo</w:t>
      </w:r>
      <w:r>
        <w:rPr>
          <w:rFonts w:ascii="Times New Roman" w:hAnsi="Times New Roman" w:cs="Times New Roman"/>
          <w:sz w:val="24"/>
          <w:szCs w:val="24"/>
        </w:rPr>
        <w:t>r some PWD, it might be d</w:t>
      </w:r>
      <w:r w:rsidR="005C6640">
        <w:rPr>
          <w:rFonts w:ascii="Times New Roman" w:hAnsi="Times New Roman" w:cs="Times New Roman"/>
          <w:sz w:val="24"/>
          <w:szCs w:val="24"/>
        </w:rPr>
        <w:t xml:space="preserve">ifficult to reach an emergency </w:t>
      </w:r>
      <w:r>
        <w:rPr>
          <w:rFonts w:ascii="Times New Roman" w:hAnsi="Times New Roman" w:cs="Times New Roman"/>
          <w:sz w:val="24"/>
          <w:szCs w:val="24"/>
        </w:rPr>
        <w:t>unit;</w:t>
      </w:r>
      <w:r w:rsidR="005C6640">
        <w:rPr>
          <w:rFonts w:ascii="Times New Roman" w:hAnsi="Times New Roman" w:cs="Times New Roman"/>
          <w:sz w:val="24"/>
          <w:szCs w:val="24"/>
        </w:rPr>
        <w:t xml:space="preserve"> this might be more accessible for PWD.</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To be able to have video conferencing, like TELEHealth initiative for a non-acute issue such as a simple follow up or refills. TELEHealth uses electronic communication system in health service delivery related issues. An automatic refill system linked with electronic medical records would help to have better access to patient’s profile and reduce the risk of polypharmacy.</w:t>
      </w:r>
    </w:p>
    <w:p w:rsidR="00AA3D25" w:rsidRDefault="005C6640" w:rsidP="00DD3744">
      <w:pPr>
        <w:pStyle w:val="ListParagraph"/>
        <w:numPr>
          <w:ilvl w:val="0"/>
          <w:numId w:val="8"/>
        </w:numPr>
        <w:spacing w:line="480" w:lineRule="auto"/>
        <w:rPr>
          <w:rFonts w:ascii="Times New Roman" w:hAnsi="Times New Roman" w:cs="Times New Roman"/>
          <w:sz w:val="24"/>
          <w:szCs w:val="24"/>
        </w:rPr>
      </w:pPr>
      <w:r>
        <w:rPr>
          <w:rFonts w:ascii="Times New Roman" w:hAnsi="Times New Roman" w:cs="Times New Roman"/>
          <w:sz w:val="24"/>
          <w:szCs w:val="24"/>
          <w:lang w:val="en-CA"/>
        </w:rPr>
        <w:t>Assistance while examining might actually play an instrumental role in the course of illness for both patient and the physician and help create a better flow of healthcare system.</w:t>
      </w:r>
    </w:p>
    <w:p w:rsidR="00AA3D25" w:rsidRDefault="005C6640" w:rsidP="00DD3744">
      <w:pPr>
        <w:pStyle w:val="Heading2"/>
      </w:pPr>
      <w:bookmarkStart w:id="448" w:name="_Toc533852537"/>
      <w:r>
        <w:t>Policy Evaluation and Modification</w:t>
      </w:r>
      <w:bookmarkEnd w:id="448"/>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A timeline should be developed to divide the improvement strategies in a number of small implementation level plans. Implementation plans could be small pilot sites started by implementing on two demographically different clinics and analyze the outcomes. For example, incentives to have a longer time slot for PWD, incentives to have a better continuum of care and better follow up schedule with PWD. There should be an appropriate timeline to make sure there is progress in timely manner.</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Any healthcare innovation needs to be reviewed regularly, for example, yearly and board of advisors should have more than half of the PWD as the end users. Evaluation should be a </w:t>
      </w:r>
      <w:r>
        <w:rPr>
          <w:rFonts w:ascii="Times New Roman" w:hAnsi="Times New Roman" w:cs="Times New Roman"/>
          <w:sz w:val="24"/>
          <w:szCs w:val="24"/>
        </w:rPr>
        <w:lastRenderedPageBreak/>
        <w:t>two-part process i.e. evaluation and improvement. Evaluation and monitoring on regular bases and getting feedback from all the stakeholders could be phase 1 and then modifying the strategies that are not working could be phase 2.</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The outcomes should be relevant from a healthcare delivery perspective, for example, did incentivizing the clinic have outcomes like decreases in a no-shows for appointments, keeping the same physician over a length of time, decrease in the number of times presenting in emergency with a non-acute problem. </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Successful strategies can work as a guiding framework for the development of clinical guidelines or protocols. It will also help in designing </w:t>
      </w:r>
      <w:r w:rsidR="0010087F">
        <w:rPr>
          <w:rFonts w:ascii="Times New Roman" w:hAnsi="Times New Roman" w:cs="Times New Roman"/>
          <w:sz w:val="24"/>
          <w:szCs w:val="24"/>
        </w:rPr>
        <w:t>studies, which</w:t>
      </w:r>
      <w:r>
        <w:rPr>
          <w:rFonts w:ascii="Times New Roman" w:hAnsi="Times New Roman" w:cs="Times New Roman"/>
          <w:sz w:val="24"/>
          <w:szCs w:val="24"/>
        </w:rPr>
        <w:t xml:space="preserve"> will contribute valid evidence.</w:t>
      </w:r>
    </w:p>
    <w:p w:rsidR="00AA3D25" w:rsidRDefault="005C6640" w:rsidP="00DD3744">
      <w:pPr>
        <w:pStyle w:val="ListParagraph"/>
        <w:numPr>
          <w:ilvl w:val="0"/>
          <w:numId w:val="8"/>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Legislating general social policies, </w:t>
      </w:r>
      <w:r w:rsidR="0010087F">
        <w:rPr>
          <w:rFonts w:ascii="Times New Roman" w:hAnsi="Times New Roman" w:cs="Times New Roman"/>
          <w:sz w:val="24"/>
          <w:szCs w:val="24"/>
        </w:rPr>
        <w:t xml:space="preserve">based on common assumptions </w:t>
      </w:r>
      <w:r>
        <w:rPr>
          <w:rFonts w:ascii="Times New Roman" w:hAnsi="Times New Roman" w:cs="Times New Roman"/>
          <w:sz w:val="24"/>
          <w:szCs w:val="24"/>
        </w:rPr>
        <w:t>can be counterproductive</w:t>
      </w:r>
      <w:r w:rsidR="0010087F">
        <w:rPr>
          <w:rFonts w:ascii="Times New Roman" w:hAnsi="Times New Roman" w:cs="Times New Roman"/>
          <w:sz w:val="24"/>
          <w:szCs w:val="24"/>
        </w:rPr>
        <w:t>...</w:t>
      </w:r>
    </w:p>
    <w:p w:rsidR="00AA3D25" w:rsidRDefault="00AA3D25" w:rsidP="00DD3744">
      <w:pPr>
        <w:pStyle w:val="ListParagraph"/>
        <w:spacing w:after="0" w:line="480" w:lineRule="auto"/>
        <w:ind w:left="360"/>
        <w:rPr>
          <w:rFonts w:ascii="Times New Roman" w:hAnsi="Times New Roman" w:cs="Times New Roman"/>
          <w:sz w:val="24"/>
          <w:szCs w:val="24"/>
        </w:rPr>
      </w:pPr>
    </w:p>
    <w:p w:rsidR="00AA3D25" w:rsidRDefault="00AA3D25" w:rsidP="00DD3744">
      <w:pPr>
        <w:pStyle w:val="ListParagraph"/>
        <w:spacing w:after="0" w:line="480" w:lineRule="auto"/>
        <w:ind w:left="0"/>
        <w:rPr>
          <w:rFonts w:ascii="Times New Roman" w:hAnsi="Times New Roman" w:cs="Times New Roman"/>
          <w:sz w:val="24"/>
          <w:szCs w:val="24"/>
        </w:rPr>
      </w:pPr>
    </w:p>
    <w:p w:rsidR="00AA3D25" w:rsidRDefault="00AA3D25" w:rsidP="00DD3744">
      <w:pPr>
        <w:spacing w:line="480" w:lineRule="auto"/>
        <w:rPr>
          <w:lang w:val="en-CA"/>
        </w:rPr>
      </w:pPr>
    </w:p>
    <w:p w:rsidR="00AA3D25" w:rsidRDefault="005C6640" w:rsidP="00DD3744">
      <w:pPr>
        <w:spacing w:line="480" w:lineRule="auto"/>
        <w:rPr>
          <w:lang w:val="en-CA"/>
        </w:rPr>
      </w:pPr>
      <w:r>
        <w:br w:type="page"/>
      </w:r>
    </w:p>
    <w:p w:rsidR="00AA3D25" w:rsidRDefault="005C6640" w:rsidP="00DD3744">
      <w:pPr>
        <w:pStyle w:val="Heading1"/>
      </w:pPr>
      <w:bookmarkStart w:id="449" w:name="_Toc533852538"/>
      <w:r>
        <w:lastRenderedPageBreak/>
        <w:t>Further Research</w:t>
      </w:r>
      <w:bookmarkEnd w:id="449"/>
    </w:p>
    <w:p w:rsidR="00AA3D25" w:rsidRDefault="005C6640" w:rsidP="00DD3744">
      <w:pPr>
        <w:spacing w:line="480" w:lineRule="auto"/>
        <w:ind w:left="360" w:firstLine="360"/>
        <w:rPr>
          <w:color w:val="000000" w:themeColor="text1"/>
          <w:lang w:val="en-CA"/>
        </w:rPr>
      </w:pPr>
      <w:r>
        <w:rPr>
          <w:color w:val="000000" w:themeColor="text1"/>
          <w:lang w:val="en-CA"/>
        </w:rPr>
        <w:t xml:space="preserve">According to the literature and the interviews, integrated knowledge translation seems to be the most effective way to reduce the knowledge-implementation gap. The gap in the service would need constant monitoring and modification. That would involve implementing the suggested changes such as training, policies, behaviour, language, space organization and then evaluating the difference. </w:t>
      </w:r>
      <w:r>
        <w:rPr>
          <w:lang w:val="en-CA"/>
        </w:rPr>
        <w:t xml:space="preserve">There is a gap in research regarding the </w:t>
      </w:r>
      <w:r w:rsidR="0010087F">
        <w:rPr>
          <w:lang w:val="en-CA"/>
        </w:rPr>
        <w:t>long-term</w:t>
      </w:r>
      <w:r>
        <w:rPr>
          <w:lang w:val="en-CA"/>
        </w:rPr>
        <w:t xml:space="preserve"> change in physicians’ attitude and healthcare provision and the consequent change in PWD’s experiences.</w:t>
      </w:r>
    </w:p>
    <w:p w:rsidR="00AA3D25" w:rsidRDefault="005C6640" w:rsidP="00DD3744">
      <w:pPr>
        <w:spacing w:line="480" w:lineRule="auto"/>
        <w:ind w:left="360" w:firstLine="360"/>
        <w:rPr>
          <w:color w:val="000000" w:themeColor="text1"/>
          <w:lang w:val="en-CA"/>
        </w:rPr>
      </w:pPr>
      <w:r>
        <w:rPr>
          <w:color w:val="000000" w:themeColor="text1"/>
          <w:lang w:val="en-CA"/>
        </w:rPr>
        <w:t>It would also mean to modify the policies as needed. Input from all the stakeholders would be critical to form a smooth patient delivery system. However, input from PWD, as they are on the receiving end of the system and according to AMA the ‘consumer,’ in this case, would be non-parallel to any other factor. T</w:t>
      </w:r>
      <w:r w:rsidR="0010087F">
        <w:rPr>
          <w:color w:val="000000" w:themeColor="text1"/>
          <w:lang w:val="en-CA"/>
        </w:rPr>
        <w:t>here needs to be more research examining</w:t>
      </w:r>
      <w:r>
        <w:rPr>
          <w:color w:val="000000" w:themeColor="text1"/>
          <w:lang w:val="en-CA"/>
        </w:rPr>
        <w:t xml:space="preserve"> the ways this can be done.</w:t>
      </w:r>
    </w:p>
    <w:p w:rsidR="00AA3D25" w:rsidRDefault="005C6640" w:rsidP="00DD3744">
      <w:pPr>
        <w:spacing w:line="480" w:lineRule="auto"/>
        <w:ind w:left="360" w:firstLine="360"/>
        <w:rPr>
          <w:color w:val="000000" w:themeColor="text1"/>
          <w:lang w:val="en-CA"/>
        </w:rPr>
      </w:pPr>
      <w:r>
        <w:rPr>
          <w:color w:val="000000" w:themeColor="text1"/>
          <w:lang w:val="en-CA"/>
        </w:rPr>
        <w:t>I would urge researchers to look at using qualitative research methods because, in my opinion, we would need solid background even for the basis of change in policy. If the foundation is strong, there are less chances of the whole system having loopholes. People with disability are as much part of this society as able-bodied people and it is just fair for them to have their in the way they want to be treated in the healthcare community.</w:t>
      </w:r>
    </w:p>
    <w:p w:rsidR="00AA3D25" w:rsidRDefault="005C6640" w:rsidP="00DD3744">
      <w:pPr>
        <w:spacing w:line="480" w:lineRule="auto"/>
        <w:ind w:left="360" w:firstLine="360"/>
        <w:rPr>
          <w:color w:val="000000" w:themeColor="text1"/>
          <w:lang w:val="en-CA"/>
        </w:rPr>
      </w:pPr>
      <w:r>
        <w:rPr>
          <w:color w:val="000000" w:themeColor="text1"/>
          <w:lang w:val="en-CA"/>
        </w:rPr>
        <w:t xml:space="preserve"> </w:t>
      </w:r>
    </w:p>
    <w:p w:rsidR="00AA3D25" w:rsidRDefault="00AA3D25" w:rsidP="00DD3744">
      <w:pPr>
        <w:spacing w:line="480" w:lineRule="auto"/>
        <w:rPr>
          <w:lang w:val="en-CA"/>
        </w:rPr>
      </w:pPr>
    </w:p>
    <w:p w:rsidR="00AA3D25" w:rsidRDefault="00AA3D25" w:rsidP="00DD3744">
      <w:pPr>
        <w:spacing w:line="480" w:lineRule="auto"/>
        <w:rPr>
          <w:lang w:val="en-CA"/>
        </w:rPr>
      </w:pPr>
    </w:p>
    <w:p w:rsidR="00AA3D25" w:rsidRDefault="005C6640" w:rsidP="00DD3744">
      <w:pPr>
        <w:spacing w:line="480" w:lineRule="auto"/>
        <w:rPr>
          <w:lang w:val="en-CA"/>
        </w:rPr>
      </w:pPr>
      <w:r>
        <w:br w:type="page"/>
      </w:r>
    </w:p>
    <w:p w:rsidR="00AA3D25" w:rsidRDefault="005C6640" w:rsidP="00DD3744">
      <w:pPr>
        <w:pStyle w:val="Heading1"/>
      </w:pPr>
      <w:bookmarkStart w:id="450" w:name="_Toc533852539"/>
      <w:r>
        <w:lastRenderedPageBreak/>
        <w:t>References</w:t>
      </w:r>
      <w:bookmarkEnd w:id="450"/>
    </w:p>
    <w:p w:rsidR="00AA3D25" w:rsidRDefault="005C6640" w:rsidP="00DD3744">
      <w:pPr>
        <w:pStyle w:val="NormalWeb"/>
        <w:spacing w:line="480" w:lineRule="auto"/>
        <w:ind w:left="450" w:hanging="450"/>
      </w:pPr>
      <w:r>
        <w:t>Alan, K. (2016). A comparison of models of primary care delivery in Winnipeg. Winnipeg MB,  Manitoba Centre for Health Policy.</w:t>
      </w:r>
    </w:p>
    <w:p w:rsidR="00AA3D25" w:rsidRDefault="005C6640" w:rsidP="00DD3744">
      <w:pPr>
        <w:pStyle w:val="NormalWeb"/>
        <w:spacing w:line="480" w:lineRule="auto"/>
        <w:ind w:left="450" w:hanging="450"/>
      </w:pPr>
      <w:r>
        <w:t xml:space="preserve">Arthritis Care. (1992). Ageing With Arthritis. Gerry </w:t>
      </w:r>
      <w:proofErr w:type="spellStart"/>
      <w:r>
        <w:t>Zarb</w:t>
      </w:r>
      <w:proofErr w:type="spellEnd"/>
      <w:r>
        <w:t xml:space="preserve">. </w:t>
      </w:r>
    </w:p>
    <w:p w:rsidR="00AA3D25" w:rsidRDefault="005C6640" w:rsidP="00DD3744">
      <w:pPr>
        <w:pStyle w:val="NormalWeb"/>
        <w:spacing w:line="480" w:lineRule="auto"/>
        <w:ind w:left="450" w:hanging="450"/>
      </w:pPr>
      <w:r>
        <w:t xml:space="preserve">Aulagnier, M., Verger, P., </w:t>
      </w:r>
      <w:proofErr w:type="spellStart"/>
      <w:r>
        <w:t>Ravaud</w:t>
      </w:r>
      <w:proofErr w:type="spellEnd"/>
      <w:r>
        <w:t xml:space="preserve">, J., </w:t>
      </w:r>
      <w:proofErr w:type="spellStart"/>
      <w:r>
        <w:t>Souville</w:t>
      </w:r>
      <w:proofErr w:type="spellEnd"/>
      <w:r>
        <w:t xml:space="preserve">, M., </w:t>
      </w:r>
      <w:proofErr w:type="spellStart"/>
      <w:r>
        <w:t>Lussault</w:t>
      </w:r>
      <w:proofErr w:type="spellEnd"/>
      <w:r>
        <w:t xml:space="preserve">, P., Garnier, J., et al. (2005). </w:t>
      </w:r>
      <w:r>
        <w:rPr>
          <w:i/>
        </w:rPr>
        <w:t>General practitioners' attitudes towards patients with disabilities: The need for training and support. Disability &amp; Rehabilitation</w:t>
      </w:r>
      <w:r>
        <w:t xml:space="preserve">, 27(22), 1343-1352. </w:t>
      </w:r>
    </w:p>
    <w:p w:rsidR="00AA3D25" w:rsidRDefault="005C6640" w:rsidP="00DD3744">
      <w:pPr>
        <w:spacing w:line="480" w:lineRule="auto"/>
      </w:pPr>
      <w:r>
        <w:t xml:space="preserve">B, W. (2006). </w:t>
      </w:r>
      <w:r>
        <w:rPr>
          <w:i/>
        </w:rPr>
        <w:t>Disability and social change: A South African agenda</w:t>
      </w:r>
      <w:r>
        <w:t xml:space="preserve">. </w:t>
      </w:r>
      <w:proofErr w:type="spellStart"/>
      <w:r>
        <w:t>ScitTech</w:t>
      </w:r>
      <w:proofErr w:type="spellEnd"/>
      <w:r>
        <w:t xml:space="preserve"> Book News,</w:t>
      </w:r>
    </w:p>
    <w:p w:rsidR="00AA3D25" w:rsidRDefault="005C6640" w:rsidP="00DD3744">
      <w:pPr>
        <w:spacing w:line="480" w:lineRule="auto"/>
      </w:pPr>
      <w:r>
        <w:tab/>
        <w:t>Book News, Sept, 2007.</w:t>
      </w:r>
    </w:p>
    <w:p w:rsidR="00AA3D25" w:rsidRDefault="00AA3D25" w:rsidP="00DD3744">
      <w:pPr>
        <w:spacing w:line="480" w:lineRule="auto"/>
      </w:pPr>
    </w:p>
    <w:p w:rsidR="00AA3D25" w:rsidRDefault="005C6640" w:rsidP="00DD3744">
      <w:pPr>
        <w:pStyle w:val="NormalWeb"/>
        <w:spacing w:line="480" w:lineRule="auto"/>
        <w:ind w:left="450" w:hanging="450"/>
      </w:pPr>
      <w:r>
        <w:t xml:space="preserve">Barker, M., &amp; Howells, G. (1990). </w:t>
      </w:r>
      <w:r>
        <w:rPr>
          <w:i/>
        </w:rPr>
        <w:t>The medical needs of adults. Occasional Paper</w:t>
      </w:r>
      <w:r>
        <w:t xml:space="preserve"> (Royal College of General Practitioners), (47), 6. </w:t>
      </w:r>
    </w:p>
    <w:p w:rsidR="00AA3D25" w:rsidRDefault="005C6640" w:rsidP="00DD3744">
      <w:pPr>
        <w:pStyle w:val="NormalWeb"/>
        <w:spacing w:line="480" w:lineRule="auto"/>
        <w:ind w:left="450" w:hanging="450"/>
      </w:pPr>
      <w:r>
        <w:t xml:space="preserve">Barnes, C. (2009). </w:t>
      </w:r>
      <w:r>
        <w:rPr>
          <w:i/>
        </w:rPr>
        <w:t xml:space="preserve">Understanding the </w:t>
      </w:r>
      <w:r w:rsidR="003018D2">
        <w:rPr>
          <w:i/>
        </w:rPr>
        <w:t xml:space="preserve">Social </w:t>
      </w:r>
      <w:proofErr w:type="spellStart"/>
      <w:r w:rsidR="003018D2">
        <w:rPr>
          <w:i/>
        </w:rPr>
        <w:t>Model</w:t>
      </w:r>
      <w:r>
        <w:rPr>
          <w:i/>
        </w:rPr>
        <w:t>of</w:t>
      </w:r>
      <w:proofErr w:type="spellEnd"/>
      <w:r>
        <w:rPr>
          <w:i/>
        </w:rPr>
        <w:t xml:space="preserve"> disability</w:t>
      </w:r>
      <w:r>
        <w:t>. Routledge Handbook of Disability Studies. Oxon and New York: Routledge.</w:t>
      </w:r>
    </w:p>
    <w:p w:rsidR="00AA3D25" w:rsidRDefault="005C6640" w:rsidP="00DD3744">
      <w:pPr>
        <w:pStyle w:val="NormalWeb"/>
        <w:spacing w:line="480" w:lineRule="auto"/>
        <w:ind w:left="450" w:hanging="450"/>
      </w:pPr>
      <w:r>
        <w:t xml:space="preserve">Beange, H. P. (1996). </w:t>
      </w:r>
      <w:r>
        <w:rPr>
          <w:i/>
        </w:rPr>
        <w:t>Caring for a vulnerable population: Who will take responsibility for those getting a raw deal from the health care system?</w:t>
      </w:r>
      <w:r>
        <w:t xml:space="preserve"> The Medical Journal of Australia, 164(3), 159. </w:t>
      </w:r>
    </w:p>
    <w:p w:rsidR="00AA3D25" w:rsidRDefault="005C6640" w:rsidP="00DD3744">
      <w:pPr>
        <w:pStyle w:val="NormalWeb"/>
        <w:spacing w:line="480" w:lineRule="auto"/>
        <w:ind w:left="450" w:hanging="450"/>
      </w:pPr>
      <w:r>
        <w:lastRenderedPageBreak/>
        <w:t xml:space="preserve">Bond, L., Kerr, M., Dunstan, F., &amp; Thapar, A. (1997). </w:t>
      </w:r>
      <w:r>
        <w:rPr>
          <w:i/>
        </w:rPr>
        <w:t>Attitudes of general practitioners towards health care for people with intellectual disability and the factors underlying these attitudes</w:t>
      </w:r>
      <w:r>
        <w:t xml:space="preserve">. Journal of Intellectual Disability Research, 41(5), 391-400. </w:t>
      </w:r>
    </w:p>
    <w:p w:rsidR="00AA3D25" w:rsidRDefault="005C6640" w:rsidP="00DD3744">
      <w:pPr>
        <w:pStyle w:val="NormalWeb"/>
        <w:spacing w:line="480" w:lineRule="auto"/>
        <w:ind w:left="450" w:hanging="450"/>
      </w:pPr>
      <w:r>
        <w:t xml:space="preserve">Braun, V., &amp; Clarke, V. (2013). </w:t>
      </w:r>
      <w:r>
        <w:rPr>
          <w:i/>
        </w:rPr>
        <w:t>Successful qualitative research: A practical guide for beginners Sage.</w:t>
      </w:r>
      <w:r>
        <w:t xml:space="preserve"> </w:t>
      </w:r>
    </w:p>
    <w:p w:rsidR="00AA3D25" w:rsidRDefault="005C6640" w:rsidP="00DD3744">
      <w:pPr>
        <w:pStyle w:val="NormalWeb"/>
        <w:spacing w:line="480" w:lineRule="auto"/>
        <w:ind w:left="450" w:hanging="450"/>
      </w:pPr>
      <w:r>
        <w:t xml:space="preserve">British Limbless Ex-servicemen Association. (1992). </w:t>
      </w:r>
      <w:r>
        <w:rPr>
          <w:i/>
        </w:rPr>
        <w:t xml:space="preserve">Ageing With A Disability: The Experience Of Long-Term Male Amputees. Gerry </w:t>
      </w:r>
      <w:proofErr w:type="spellStart"/>
      <w:r>
        <w:rPr>
          <w:i/>
        </w:rPr>
        <w:t>Zarb</w:t>
      </w:r>
      <w:proofErr w:type="spellEnd"/>
      <w:r>
        <w:rPr>
          <w:i/>
        </w:rPr>
        <w:t>.</w:t>
      </w:r>
      <w:r>
        <w:t xml:space="preserve"> </w:t>
      </w:r>
    </w:p>
    <w:p w:rsidR="00AA3D25" w:rsidRDefault="005C6640" w:rsidP="00DD3744">
      <w:pPr>
        <w:pStyle w:val="NormalWeb"/>
        <w:spacing w:line="480" w:lineRule="auto"/>
        <w:ind w:left="450" w:hanging="450"/>
      </w:pPr>
      <w:r>
        <w:t xml:space="preserve">British Polio Foundation. (1992). </w:t>
      </w:r>
      <w:r>
        <w:rPr>
          <w:i/>
        </w:rPr>
        <w:t>Ageing With Polio</w:t>
      </w:r>
      <w:r>
        <w:t xml:space="preserve">. Gerry </w:t>
      </w:r>
      <w:proofErr w:type="spellStart"/>
      <w:r>
        <w:t>Zarb</w:t>
      </w:r>
      <w:proofErr w:type="spellEnd"/>
      <w:r>
        <w:t xml:space="preserve">. </w:t>
      </w:r>
    </w:p>
    <w:p w:rsidR="00AA3D25" w:rsidRDefault="005C6640" w:rsidP="00DD3744">
      <w:pPr>
        <w:pStyle w:val="NormalWeb"/>
        <w:spacing w:line="480" w:lineRule="auto"/>
        <w:ind w:left="450" w:hanging="450"/>
      </w:pPr>
      <w:r>
        <w:t xml:space="preserve">Campion, J. (2003). </w:t>
      </w:r>
      <w:r>
        <w:rPr>
          <w:i/>
        </w:rPr>
        <w:t>Fair treatment? Survey of disability access policies in primary care trusts Leonard Cheshire.</w:t>
      </w:r>
      <w:r>
        <w:t xml:space="preserve"> </w:t>
      </w:r>
    </w:p>
    <w:p w:rsidR="00AA3D25" w:rsidRDefault="005C6640" w:rsidP="00DD3744">
      <w:pPr>
        <w:pStyle w:val="NormalWeb"/>
        <w:spacing w:line="480" w:lineRule="auto"/>
        <w:ind w:left="450" w:hanging="450"/>
      </w:pPr>
      <w:r>
        <w:t xml:space="preserve">Canadian Centre on Disability Studies. (2017). History of CCDS. Retrieved December, 2017, from </w:t>
      </w:r>
      <w:hyperlink r:id="rId21">
        <w:r>
          <w:rPr>
            <w:rStyle w:val="InternetLink"/>
            <w:vanish/>
            <w:webHidden/>
          </w:rPr>
          <w:t>http://www.disabilitystudies.ca/ccds---history.html</w:t>
        </w:r>
      </w:hyperlink>
      <w:r>
        <w:t xml:space="preserve"> </w:t>
      </w:r>
    </w:p>
    <w:p w:rsidR="00AA3D25" w:rsidRDefault="005C6640" w:rsidP="00DD3744">
      <w:pPr>
        <w:pStyle w:val="NormalWeb"/>
        <w:spacing w:line="480" w:lineRule="auto"/>
        <w:ind w:left="450" w:hanging="450"/>
      </w:pPr>
      <w:r>
        <w:t xml:space="preserve">Crow, L. (1996). </w:t>
      </w:r>
      <w:r>
        <w:rPr>
          <w:i/>
        </w:rPr>
        <w:t xml:space="preserve">Including all of our lives: Renewing the </w:t>
      </w:r>
      <w:r w:rsidR="003018D2">
        <w:rPr>
          <w:i/>
        </w:rPr>
        <w:t xml:space="preserve">Social </w:t>
      </w:r>
      <w:proofErr w:type="spellStart"/>
      <w:r w:rsidR="003018D2">
        <w:rPr>
          <w:i/>
        </w:rPr>
        <w:t>Model</w:t>
      </w:r>
      <w:r>
        <w:rPr>
          <w:i/>
        </w:rPr>
        <w:t>of</w:t>
      </w:r>
      <w:proofErr w:type="spellEnd"/>
      <w:r>
        <w:rPr>
          <w:i/>
        </w:rPr>
        <w:t xml:space="preserve"> disability. Encounters with Strangers</w:t>
      </w:r>
      <w:r>
        <w:t xml:space="preserve">: Feminism and Disability, 206-226. </w:t>
      </w:r>
    </w:p>
    <w:p w:rsidR="00AA3D25" w:rsidRDefault="005C6640" w:rsidP="00DD3744">
      <w:pPr>
        <w:pStyle w:val="NormalWeb"/>
        <w:spacing w:line="480" w:lineRule="auto"/>
        <w:ind w:left="450" w:hanging="450"/>
      </w:pPr>
      <w:r>
        <w:t xml:space="preserve">Davis, L. J. (2006). </w:t>
      </w:r>
      <w:r>
        <w:rPr>
          <w:i/>
        </w:rPr>
        <w:t>The disability studies reader</w:t>
      </w:r>
      <w:r>
        <w:t xml:space="preserve"> Taylor &amp; Francis. </w:t>
      </w:r>
    </w:p>
    <w:p w:rsidR="00AA3D25" w:rsidRDefault="005C6640" w:rsidP="00DD3744">
      <w:pPr>
        <w:pStyle w:val="NormalWeb"/>
        <w:spacing w:line="480" w:lineRule="auto"/>
        <w:ind w:left="450" w:hanging="450"/>
      </w:pPr>
      <w:proofErr w:type="spellStart"/>
      <w:r>
        <w:t>Derksen</w:t>
      </w:r>
      <w:proofErr w:type="spellEnd"/>
      <w:r>
        <w:t xml:space="preserve">, J., &amp; </w:t>
      </w:r>
      <w:proofErr w:type="spellStart"/>
      <w:r>
        <w:t>Chochinov</w:t>
      </w:r>
      <w:proofErr w:type="spellEnd"/>
      <w:r>
        <w:t xml:space="preserve">, H. M. (2006). </w:t>
      </w:r>
      <w:r>
        <w:rPr>
          <w:i/>
        </w:rPr>
        <w:t>Disability and end-of-life care: Let the conversation begin</w:t>
      </w:r>
      <w:r>
        <w:t xml:space="preserve">. Journal of Palliative Care, 22(3), 175. </w:t>
      </w:r>
    </w:p>
    <w:p w:rsidR="00AA3D25" w:rsidRDefault="005C6640" w:rsidP="00DD3744">
      <w:pPr>
        <w:pStyle w:val="NormalWeb"/>
        <w:spacing w:line="480" w:lineRule="auto"/>
        <w:ind w:left="450" w:hanging="450"/>
      </w:pPr>
      <w:r>
        <w:lastRenderedPageBreak/>
        <w:t xml:space="preserve">Dovey, S., &amp; Webb, O. J. (2000). </w:t>
      </w:r>
      <w:r>
        <w:rPr>
          <w:i/>
        </w:rPr>
        <w:t>General practitioners’ perception of their role in care for people with intellectual disability</w:t>
      </w:r>
      <w:r>
        <w:t xml:space="preserve">. Journal of Intellectual Disability Research, 44(5), 553-561. </w:t>
      </w:r>
    </w:p>
    <w:p w:rsidR="00AA3D25" w:rsidRDefault="005C6640" w:rsidP="00DD3744">
      <w:pPr>
        <w:pStyle w:val="NormalWeb"/>
        <w:spacing w:line="480" w:lineRule="auto"/>
        <w:ind w:left="450" w:hanging="450"/>
      </w:pPr>
      <w:r>
        <w:t xml:space="preserve">Downs, A., Wile, N., Krahn, G., &amp; Turner, A. (2004). </w:t>
      </w:r>
      <w:r>
        <w:rPr>
          <w:i/>
        </w:rPr>
        <w:t>Wellness promotion in persons with disabilities: Physicians' personal behaviors, attitudes, and practices</w:t>
      </w:r>
      <w:r>
        <w:t xml:space="preserve">. Rehabilitation Psychology, 49(4), 303-308. </w:t>
      </w:r>
    </w:p>
    <w:p w:rsidR="00AA3D25" w:rsidRDefault="005C6640" w:rsidP="00DD3744">
      <w:pPr>
        <w:pStyle w:val="NormalWeb"/>
        <w:spacing w:line="480" w:lineRule="auto"/>
        <w:ind w:left="450" w:hanging="450"/>
      </w:pPr>
      <w:proofErr w:type="spellStart"/>
      <w:r>
        <w:t>Drainoni</w:t>
      </w:r>
      <w:proofErr w:type="spellEnd"/>
      <w:r>
        <w:t xml:space="preserve">, M., Lee-Hood, E., Tobias, C., Bachman, S. S., Andrew, J., &amp; </w:t>
      </w:r>
      <w:proofErr w:type="spellStart"/>
      <w:r>
        <w:t>Maisels</w:t>
      </w:r>
      <w:proofErr w:type="spellEnd"/>
      <w:r>
        <w:t xml:space="preserve">, L. (2006). </w:t>
      </w:r>
      <w:r>
        <w:rPr>
          <w:i/>
        </w:rPr>
        <w:t>Cross-disability experiences of barriers to health-care access consumer perspectives</w:t>
      </w:r>
      <w:r>
        <w:t xml:space="preserve">. Journal of Disability Policy Studies, 17(2), 101-115. </w:t>
      </w:r>
    </w:p>
    <w:p w:rsidR="00AA3D25" w:rsidRDefault="005C6640" w:rsidP="00DD3744">
      <w:pPr>
        <w:pStyle w:val="NormalWeb"/>
        <w:spacing w:line="480" w:lineRule="auto"/>
        <w:ind w:left="450" w:hanging="450"/>
      </w:pPr>
      <w:r>
        <w:t xml:space="preserve">Driedger, D. (2003). </w:t>
      </w:r>
      <w:r>
        <w:rPr>
          <w:i/>
        </w:rPr>
        <w:t>In sickness and employment: Women living and working with chronic illness.</w:t>
      </w:r>
      <w:r>
        <w:t xml:space="preserve"> Resources for Feminist Research, 30(1), 125. </w:t>
      </w:r>
    </w:p>
    <w:p w:rsidR="00AA3D25" w:rsidRDefault="005C6640" w:rsidP="00DD3744">
      <w:pPr>
        <w:pStyle w:val="NormalWeb"/>
        <w:spacing w:line="480" w:lineRule="auto"/>
        <w:ind w:left="450" w:hanging="450"/>
      </w:pPr>
      <w:r>
        <w:t xml:space="preserve">Enns, H. (2008). </w:t>
      </w:r>
      <w:r>
        <w:rPr>
          <w:i/>
        </w:rPr>
        <w:t>The role of organizations of disabled people</w:t>
      </w:r>
      <w:r>
        <w:t xml:space="preserve">. A Disabled Peoples’ International Discussion Paper, Sweden, Independent Living Institute, </w:t>
      </w:r>
    </w:p>
    <w:p w:rsidR="00AA3D25" w:rsidRDefault="005C6640" w:rsidP="00DD3744">
      <w:pPr>
        <w:pStyle w:val="NormalWeb"/>
        <w:spacing w:line="480" w:lineRule="auto"/>
        <w:ind w:left="450" w:hanging="450"/>
      </w:pPr>
      <w:r>
        <w:t xml:space="preserve">Epp, J. (1987). </w:t>
      </w:r>
      <w:r>
        <w:rPr>
          <w:i/>
        </w:rPr>
        <w:t>Achieving health for all: A framework for health promotion Canada</w:t>
      </w:r>
      <w:r>
        <w:t xml:space="preserve">. Ministry of Supply and Services. </w:t>
      </w:r>
    </w:p>
    <w:p w:rsidR="00AA3D25" w:rsidRDefault="005C6640" w:rsidP="00DD3744">
      <w:pPr>
        <w:pStyle w:val="NormalWeb"/>
        <w:spacing w:line="480" w:lineRule="auto"/>
        <w:ind w:left="450" w:hanging="450"/>
      </w:pPr>
      <w:r>
        <w:t xml:space="preserve">Fugard, A. J., &amp; Potts, H. W. (2015). </w:t>
      </w:r>
      <w:r>
        <w:rPr>
          <w:i/>
        </w:rPr>
        <w:t>Supporting thinking on sample sizes for thematic analyses: A quantitative tool.</w:t>
      </w:r>
      <w:r>
        <w:t xml:space="preserve"> International Journal of Social Research Methodology, 18(6), 669-684. </w:t>
      </w:r>
    </w:p>
    <w:p w:rsidR="00AA3D25" w:rsidRDefault="005C6640" w:rsidP="00DD3744">
      <w:pPr>
        <w:pStyle w:val="NormalWeb"/>
        <w:spacing w:line="480" w:lineRule="auto"/>
        <w:ind w:left="450" w:hanging="450"/>
      </w:pPr>
      <w:proofErr w:type="spellStart"/>
      <w:r>
        <w:t>Gething</w:t>
      </w:r>
      <w:proofErr w:type="spellEnd"/>
      <w:r>
        <w:t xml:space="preserve">, L., &amp; </w:t>
      </w:r>
      <w:proofErr w:type="spellStart"/>
      <w:r>
        <w:t>Fethney</w:t>
      </w:r>
      <w:proofErr w:type="spellEnd"/>
      <w:r>
        <w:t xml:space="preserve">, J. (1997). </w:t>
      </w:r>
      <w:r>
        <w:rPr>
          <w:i/>
        </w:rPr>
        <w:t xml:space="preserve">The need for disability awareness training among rurally based </w:t>
      </w:r>
      <w:proofErr w:type="spellStart"/>
      <w:r>
        <w:rPr>
          <w:i/>
        </w:rPr>
        <w:t>australian</w:t>
      </w:r>
      <w:proofErr w:type="spellEnd"/>
      <w:r>
        <w:rPr>
          <w:i/>
        </w:rPr>
        <w:t xml:space="preserve"> general medical practitioners</w:t>
      </w:r>
      <w:r>
        <w:t xml:space="preserve">. Disability &amp; Rehabilitation, 19(6), 249-259. </w:t>
      </w:r>
    </w:p>
    <w:p w:rsidR="00AA3D25" w:rsidRDefault="005C6640" w:rsidP="00DD3744">
      <w:pPr>
        <w:pStyle w:val="NormalWeb"/>
        <w:spacing w:line="480" w:lineRule="auto"/>
        <w:ind w:left="450" w:hanging="450"/>
      </w:pPr>
      <w:r>
        <w:lastRenderedPageBreak/>
        <w:t xml:space="preserve">Government of Manitoba. Manitoba health senior and active living-my health team. Retrieved May, 7, 2017, from </w:t>
      </w:r>
      <w:hyperlink r:id="rId22">
        <w:r>
          <w:rPr>
            <w:rStyle w:val="InternetLink"/>
            <w:vanish/>
            <w:webHidden/>
          </w:rPr>
          <w:t>http://www.gov.mb.ca/health/primarycare/public/myhts/index.html</w:t>
        </w:r>
      </w:hyperlink>
      <w:r>
        <w:t xml:space="preserve"> </w:t>
      </w:r>
    </w:p>
    <w:p w:rsidR="00AA3D25" w:rsidRDefault="005C6640" w:rsidP="00DD3744">
      <w:pPr>
        <w:pStyle w:val="NormalWeb"/>
        <w:spacing w:line="480" w:lineRule="auto"/>
        <w:ind w:left="450" w:hanging="450"/>
      </w:pPr>
      <w:r>
        <w:t xml:space="preserve">Hancock, T. (2011). </w:t>
      </w:r>
      <w:r>
        <w:rPr>
          <w:i/>
        </w:rPr>
        <w:t>Health promotion in Canada: 25 years of unfulfilled promise</w:t>
      </w:r>
      <w:r>
        <w:t xml:space="preserve">. Health Promotion International, 26, ii263-ii267. </w:t>
      </w:r>
    </w:p>
    <w:p w:rsidR="00AA3D25" w:rsidRDefault="005C6640" w:rsidP="00DD3744">
      <w:pPr>
        <w:pStyle w:val="NormalWeb"/>
        <w:spacing w:line="480" w:lineRule="auto"/>
        <w:ind w:left="450" w:hanging="450"/>
      </w:pPr>
      <w:r>
        <w:t xml:space="preserve">Hansen, N. (2009). </w:t>
      </w:r>
      <w:r>
        <w:rPr>
          <w:i/>
        </w:rPr>
        <w:t>Remapping the medical terrain on our terms.</w:t>
      </w:r>
      <w:r>
        <w:t xml:space="preserve"> </w:t>
      </w:r>
      <w:proofErr w:type="spellStart"/>
      <w:r>
        <w:t>Aporia</w:t>
      </w:r>
      <w:proofErr w:type="spellEnd"/>
      <w:r>
        <w:t xml:space="preserve"> : The Nursing Journal, 1(3), 28-34. </w:t>
      </w:r>
    </w:p>
    <w:p w:rsidR="00AA3D25" w:rsidRDefault="005C6640" w:rsidP="00DD3744">
      <w:pPr>
        <w:pStyle w:val="NormalWeb"/>
        <w:spacing w:line="480" w:lineRule="auto"/>
        <w:ind w:left="450" w:hanging="450"/>
      </w:pPr>
      <w:r>
        <w:t xml:space="preserve">Howells, G. (1986). </w:t>
      </w:r>
      <w:r>
        <w:rPr>
          <w:i/>
        </w:rPr>
        <w:t>Are the medical needs of mentally handicapped adults being met?</w:t>
      </w:r>
      <w:r>
        <w:t xml:space="preserve"> The Journal of the Royal College of General Practitioners, 36(291), 449. </w:t>
      </w:r>
    </w:p>
    <w:p w:rsidR="00AA3D25" w:rsidRDefault="005C6640" w:rsidP="00DD3744">
      <w:pPr>
        <w:pStyle w:val="NormalWeb"/>
        <w:spacing w:line="480" w:lineRule="auto"/>
        <w:ind w:left="450" w:hanging="450"/>
      </w:pPr>
      <w:r>
        <w:t xml:space="preserve">Hughes, B., &amp; Paterson, K. (1997). </w:t>
      </w:r>
      <w:r>
        <w:rPr>
          <w:i/>
        </w:rPr>
        <w:t xml:space="preserve">The </w:t>
      </w:r>
      <w:r w:rsidR="003018D2">
        <w:rPr>
          <w:i/>
        </w:rPr>
        <w:t xml:space="preserve">Social </w:t>
      </w:r>
      <w:proofErr w:type="spellStart"/>
      <w:r w:rsidR="003018D2">
        <w:rPr>
          <w:i/>
        </w:rPr>
        <w:t>Model</w:t>
      </w:r>
      <w:r>
        <w:rPr>
          <w:i/>
        </w:rPr>
        <w:t>of</w:t>
      </w:r>
      <w:proofErr w:type="spellEnd"/>
      <w:r>
        <w:rPr>
          <w:i/>
        </w:rPr>
        <w:t xml:space="preserve"> disability and the disappearing body:</w:t>
      </w:r>
      <w:r>
        <w:t xml:space="preserve"> Towards a sociology of impairment. Disability &amp; Society, 12(3), 325-340. </w:t>
      </w:r>
    </w:p>
    <w:p w:rsidR="00AA3D25" w:rsidRDefault="005C6640" w:rsidP="00DD3744">
      <w:pPr>
        <w:pStyle w:val="NormalWeb"/>
        <w:spacing w:line="480" w:lineRule="auto"/>
        <w:ind w:left="450" w:hanging="450"/>
      </w:pPr>
      <w:r>
        <w:t xml:space="preserve">Hurst, A. (1992). </w:t>
      </w:r>
      <w:r>
        <w:rPr>
          <w:i/>
        </w:rPr>
        <w:t>Widening participation in higher education and people with disabilities</w:t>
      </w:r>
      <w:r>
        <w:t xml:space="preserve"> </w:t>
      </w:r>
    </w:p>
    <w:p w:rsidR="00AA3D25" w:rsidRDefault="005C6640" w:rsidP="00DD3744">
      <w:pPr>
        <w:pStyle w:val="NormalWeb"/>
        <w:spacing w:line="480" w:lineRule="auto"/>
        <w:ind w:left="450" w:hanging="450"/>
      </w:pPr>
      <w:proofErr w:type="spellStart"/>
      <w:r>
        <w:t>Iezzoni</w:t>
      </w:r>
      <w:proofErr w:type="spellEnd"/>
      <w:r>
        <w:t xml:space="preserve">, L. I., &amp; </w:t>
      </w:r>
      <w:proofErr w:type="spellStart"/>
      <w:r>
        <w:t>O'Day</w:t>
      </w:r>
      <w:proofErr w:type="spellEnd"/>
      <w:r>
        <w:t xml:space="preserve">, B. (2006). </w:t>
      </w:r>
      <w:r>
        <w:rPr>
          <w:i/>
        </w:rPr>
        <w:t>More than ramps: A guide to improving health care quality and access for people with disabilities</w:t>
      </w:r>
      <w:r>
        <w:t xml:space="preserve"> Oxford University Press, USA. </w:t>
      </w:r>
    </w:p>
    <w:p w:rsidR="00AA3D25" w:rsidRDefault="005C6640" w:rsidP="00DD3744">
      <w:pPr>
        <w:pStyle w:val="NormalWeb"/>
        <w:spacing w:line="480" w:lineRule="auto"/>
        <w:ind w:left="450" w:hanging="450"/>
      </w:pPr>
      <w:proofErr w:type="spellStart"/>
      <w:r>
        <w:t>Iezzoni</w:t>
      </w:r>
      <w:proofErr w:type="spellEnd"/>
      <w:r>
        <w:t>, L. I., &amp; Long-</w:t>
      </w:r>
      <w:proofErr w:type="spellStart"/>
      <w:r>
        <w:t>Bellil</w:t>
      </w:r>
      <w:proofErr w:type="spellEnd"/>
      <w:r>
        <w:t xml:space="preserve">, L. M. (2012). </w:t>
      </w:r>
      <w:r>
        <w:rPr>
          <w:i/>
        </w:rPr>
        <w:t>Training physicians about caring for persons with disabilities: "nothing about us without us!".</w:t>
      </w:r>
      <w:r>
        <w:t xml:space="preserve"> Disability and Health Journal, 5(3), 136-139. </w:t>
      </w:r>
    </w:p>
    <w:p w:rsidR="00AA3D25" w:rsidRDefault="005C6640" w:rsidP="00DD3744">
      <w:pPr>
        <w:pStyle w:val="NormalWeb"/>
        <w:spacing w:line="480" w:lineRule="auto"/>
      </w:pPr>
      <w:r>
        <w:t xml:space="preserve">Johnson, J., &amp; </w:t>
      </w:r>
      <w:proofErr w:type="spellStart"/>
      <w:r>
        <w:t>Woll</w:t>
      </w:r>
      <w:proofErr w:type="spellEnd"/>
      <w:r>
        <w:t xml:space="preserve">, J. (2003). </w:t>
      </w:r>
      <w:r>
        <w:rPr>
          <w:i/>
        </w:rPr>
        <w:t>A National Disgrace: Health Disparities Encountered by Persons  with Disabilities</w:t>
      </w:r>
      <w:r>
        <w:t>. Disability Studies Quarterly, 23(1). doi:10.18061/dsq.v23i1.400</w:t>
      </w:r>
    </w:p>
    <w:p w:rsidR="00AA3D25" w:rsidRDefault="005C6640" w:rsidP="00DD3744">
      <w:pPr>
        <w:pStyle w:val="NormalWeb"/>
        <w:spacing w:line="480" w:lineRule="auto"/>
        <w:ind w:left="450" w:hanging="450"/>
      </w:pPr>
      <w:r>
        <w:lastRenderedPageBreak/>
        <w:t xml:space="preserve">Kerins, G., Petrovic, K., Gianesini, J., Keilty, B., &amp; Bruder, M. B. (2004). </w:t>
      </w:r>
      <w:r>
        <w:rPr>
          <w:i/>
        </w:rPr>
        <w:t>Physician attitudes and practices on providing care to individuals with intellectual disabilities</w:t>
      </w:r>
      <w:r>
        <w:t xml:space="preserve">: An exploratory study. Connecticut Medicine, 68(8), 485-490. </w:t>
      </w:r>
    </w:p>
    <w:p w:rsidR="00AA3D25" w:rsidRDefault="005C6640" w:rsidP="00DD3744">
      <w:pPr>
        <w:pStyle w:val="NormalWeb"/>
        <w:spacing w:line="480" w:lineRule="auto"/>
        <w:ind w:left="450" w:hanging="450"/>
      </w:pPr>
      <w:r>
        <w:t xml:space="preserve">Kerr, M., Dunstan, F., &amp; Thapar, A. (1996). </w:t>
      </w:r>
      <w:r>
        <w:rPr>
          <w:i/>
        </w:rPr>
        <w:t>Attitudes of general practitioners to caring for people with learning disability.</w:t>
      </w:r>
      <w:r>
        <w:t xml:space="preserve"> The British Journal of General Practice : The Journal of the Royal College of General Practitioners, 46(403), 92. </w:t>
      </w:r>
    </w:p>
    <w:p w:rsidR="00AA3D25" w:rsidRDefault="005C6640" w:rsidP="00DD3744">
      <w:pPr>
        <w:pStyle w:val="NormalWeb"/>
        <w:spacing w:line="480" w:lineRule="auto"/>
        <w:ind w:left="450" w:hanging="450"/>
      </w:pPr>
      <w:proofErr w:type="spellStart"/>
      <w:r>
        <w:t>Khudorenko</w:t>
      </w:r>
      <w:proofErr w:type="spellEnd"/>
      <w:r>
        <w:t xml:space="preserve">, E. A. (2011). </w:t>
      </w:r>
      <w:r>
        <w:rPr>
          <w:i/>
        </w:rPr>
        <w:t>Problems of the education and inclusion of people with disabilities</w:t>
      </w:r>
      <w:r>
        <w:t xml:space="preserve">. Russian Education and Society, 53(12), 82-91. </w:t>
      </w:r>
    </w:p>
    <w:p w:rsidR="00AA3D25" w:rsidRDefault="005C6640" w:rsidP="00DD3744">
      <w:pPr>
        <w:pStyle w:val="NormalWeb"/>
        <w:spacing w:line="480" w:lineRule="auto"/>
        <w:ind w:left="450" w:hanging="450"/>
      </w:pPr>
      <w:r>
        <w:t xml:space="preserve">Lang, R. (2001). </w:t>
      </w:r>
      <w:r>
        <w:rPr>
          <w:i/>
        </w:rPr>
        <w:t xml:space="preserve">The development and critique of the </w:t>
      </w:r>
      <w:r w:rsidR="003018D2">
        <w:rPr>
          <w:i/>
        </w:rPr>
        <w:t xml:space="preserve">Social </w:t>
      </w:r>
      <w:proofErr w:type="spellStart"/>
      <w:r w:rsidR="003018D2">
        <w:rPr>
          <w:i/>
        </w:rPr>
        <w:t>Model</w:t>
      </w:r>
      <w:r>
        <w:rPr>
          <w:i/>
        </w:rPr>
        <w:t>of</w:t>
      </w:r>
      <w:proofErr w:type="spellEnd"/>
      <w:r>
        <w:rPr>
          <w:i/>
        </w:rPr>
        <w:t xml:space="preserve"> disability</w:t>
      </w:r>
      <w:r>
        <w:t xml:space="preserve">. Norwich: Overseas Development Group, </w:t>
      </w:r>
    </w:p>
    <w:p w:rsidR="00AA3D25" w:rsidRDefault="005C6640" w:rsidP="00DD3744">
      <w:pPr>
        <w:pStyle w:val="NormalWeb"/>
        <w:spacing w:line="480" w:lineRule="auto"/>
        <w:ind w:left="450" w:hanging="450"/>
      </w:pPr>
      <w:r>
        <w:t xml:space="preserve">Lennox, N. G., </w:t>
      </w:r>
      <w:proofErr w:type="spellStart"/>
      <w:r>
        <w:t>Diggens</w:t>
      </w:r>
      <w:proofErr w:type="spellEnd"/>
      <w:r>
        <w:t xml:space="preserve">, J. N., &amp; </w:t>
      </w:r>
      <w:proofErr w:type="spellStart"/>
      <w:r>
        <w:t>Ugoni</w:t>
      </w:r>
      <w:proofErr w:type="spellEnd"/>
      <w:r>
        <w:t xml:space="preserve">, A. M. (1997). </w:t>
      </w:r>
      <w:r>
        <w:rPr>
          <w:i/>
        </w:rPr>
        <w:t>The general practice care of people with intellectual disability: Barriers and solutions.</w:t>
      </w:r>
      <w:r>
        <w:t xml:space="preserve"> Journal of Intellectual Disability Research, 41(5), 380-390. </w:t>
      </w:r>
    </w:p>
    <w:p w:rsidR="00AA3D25" w:rsidRDefault="005C6640" w:rsidP="00DD3744">
      <w:pPr>
        <w:pStyle w:val="NormalWeb"/>
        <w:spacing w:line="480" w:lineRule="auto"/>
        <w:ind w:left="450" w:hanging="450"/>
      </w:pPr>
      <w:r>
        <w:t xml:space="preserve">Lin, J., Hsu, S., Chou, Y., Yen, C., Wu, J., Chu, C. M., et al. (2008). </w:t>
      </w:r>
      <w:r>
        <w:rPr>
          <w:i/>
        </w:rPr>
        <w:t xml:space="preserve">Assessment of GPs' beliefs relating to the care of people with intellectual disabilities: </w:t>
      </w:r>
      <w:r>
        <w:t xml:space="preserve">A Taiwan-based, opportunity-guided approach. Disability &amp; Rehabilitation, 30(8), 611-617. </w:t>
      </w:r>
    </w:p>
    <w:p w:rsidR="00AA3D25" w:rsidRDefault="005C6640" w:rsidP="00DD3744">
      <w:pPr>
        <w:pStyle w:val="NormalWeb"/>
        <w:spacing w:line="480" w:lineRule="auto"/>
        <w:ind w:left="450" w:hanging="450"/>
      </w:pPr>
      <w:r>
        <w:t xml:space="preserve">Lindsay, G. (2003). </w:t>
      </w:r>
      <w:r>
        <w:rPr>
          <w:i/>
        </w:rPr>
        <w:t>Inclusive education: A critical perspective</w:t>
      </w:r>
      <w:r>
        <w:t xml:space="preserve">. British Journal of Special Education, 30(1), 3-12. </w:t>
      </w:r>
    </w:p>
    <w:p w:rsidR="00AA3D25" w:rsidRDefault="005C6640" w:rsidP="00DD3744">
      <w:pPr>
        <w:pStyle w:val="NormalWeb"/>
        <w:spacing w:line="480" w:lineRule="auto"/>
        <w:ind w:left="450" w:hanging="450"/>
      </w:pPr>
      <w:r>
        <w:t xml:space="preserve">MacKay, G. (2003). </w:t>
      </w:r>
      <w:r>
        <w:rPr>
          <w:i/>
        </w:rPr>
        <w:t>The disappearance of disability? thoughts on a changing culture</w:t>
      </w:r>
      <w:r>
        <w:t xml:space="preserve">. Oxford] : </w:t>
      </w:r>
    </w:p>
    <w:p w:rsidR="00AA3D25" w:rsidRDefault="005C6640" w:rsidP="00DD3744">
      <w:pPr>
        <w:pStyle w:val="NormalWeb"/>
        <w:spacing w:line="480" w:lineRule="auto"/>
        <w:ind w:left="450" w:hanging="450"/>
      </w:pPr>
      <w:r>
        <w:lastRenderedPageBreak/>
        <w:t xml:space="preserve">Manitoba Disabilities Issues Office. (2017). </w:t>
      </w:r>
      <w:r>
        <w:rPr>
          <w:i/>
        </w:rPr>
        <w:t>Accessibility  standards for customer service</w:t>
      </w:r>
      <w:r>
        <w:t xml:space="preserve">: Employers' handbook. Retrieved April, 2017, from </w:t>
      </w:r>
      <w:hyperlink r:id="rId23">
        <w:r>
          <w:rPr>
            <w:rStyle w:val="InternetLink"/>
            <w:vanish/>
            <w:webHidden/>
          </w:rPr>
          <w:t>http://accessibilitymb.ca/pdf/employers%20_handbook.pdf</w:t>
        </w:r>
      </w:hyperlink>
      <w:r>
        <w:t xml:space="preserve"> </w:t>
      </w:r>
    </w:p>
    <w:p w:rsidR="00AA3D25" w:rsidRDefault="005C6640" w:rsidP="00DD3744">
      <w:pPr>
        <w:pStyle w:val="NormalWeb"/>
        <w:spacing w:line="480" w:lineRule="auto"/>
        <w:ind w:left="450" w:hanging="450"/>
      </w:pPr>
      <w:r>
        <w:t xml:space="preserve">McColl, M. A., </w:t>
      </w:r>
      <w:proofErr w:type="spellStart"/>
      <w:r>
        <w:t>Jarzynowska</w:t>
      </w:r>
      <w:proofErr w:type="spellEnd"/>
      <w:r>
        <w:t xml:space="preserve">, A., &amp; </w:t>
      </w:r>
      <w:proofErr w:type="spellStart"/>
      <w:r>
        <w:t>Shortt</w:t>
      </w:r>
      <w:proofErr w:type="spellEnd"/>
      <w:r>
        <w:t xml:space="preserve">, S. E. D. (2010). </w:t>
      </w:r>
      <w:r>
        <w:rPr>
          <w:i/>
        </w:rPr>
        <w:t>Unmet health care needs of people with disabilities</w:t>
      </w:r>
      <w:r>
        <w:t>: Population level evidence.</w:t>
      </w:r>
      <w:r>
        <w:rPr>
          <w:i/>
          <w:iCs/>
        </w:rPr>
        <w:t xml:space="preserve"> Disability &amp; Society, 25</w:t>
      </w:r>
      <w:r>
        <w:t xml:space="preserve">(2), 205-218. doi:10.1080/09687590903537406 </w:t>
      </w:r>
    </w:p>
    <w:p w:rsidR="00AA3D25" w:rsidRDefault="005C6640" w:rsidP="00DD3744">
      <w:pPr>
        <w:pStyle w:val="NormalWeb"/>
        <w:spacing w:line="480" w:lineRule="auto"/>
        <w:ind w:left="450" w:hanging="450"/>
      </w:pPr>
      <w:r>
        <w:t xml:space="preserve">Morris, J. (1991). </w:t>
      </w:r>
      <w:r>
        <w:rPr>
          <w:i/>
        </w:rPr>
        <w:t>Pride against prejudice : A personal politics of disability.</w:t>
      </w:r>
      <w:r>
        <w:t xml:space="preserve"> London: London : Women's Press. </w:t>
      </w:r>
    </w:p>
    <w:p w:rsidR="00AA3D25" w:rsidRDefault="005C6640" w:rsidP="00DD3744">
      <w:pPr>
        <w:pStyle w:val="NormalWeb"/>
        <w:spacing w:line="480" w:lineRule="auto"/>
        <w:ind w:left="450" w:hanging="450"/>
      </w:pPr>
      <w:proofErr w:type="spellStart"/>
      <w:r>
        <w:t>Mudrick</w:t>
      </w:r>
      <w:proofErr w:type="spellEnd"/>
      <w:r>
        <w:t xml:space="preserve">, N. R., Breslin, M. L., Liang, M., &amp; Yee, S. (2012). </w:t>
      </w:r>
      <w:r>
        <w:rPr>
          <w:i/>
        </w:rPr>
        <w:t>Physical accessibility in primary health care settings: Results from California on-site reviews</w:t>
      </w:r>
      <w:r>
        <w:t xml:space="preserve">. Disability and Health Journal, 5(3), 159-167. </w:t>
      </w:r>
    </w:p>
    <w:p w:rsidR="00AA3D25" w:rsidRDefault="005C6640" w:rsidP="00DD3744">
      <w:pPr>
        <w:pStyle w:val="NormalWeb"/>
        <w:spacing w:line="480" w:lineRule="auto"/>
        <w:ind w:left="450" w:hanging="450"/>
      </w:pPr>
      <w:proofErr w:type="spellStart"/>
      <w:r>
        <w:t>Neri</w:t>
      </w:r>
      <w:proofErr w:type="spellEnd"/>
      <w:r>
        <w:t xml:space="preserve">, M. T., &amp; Kroll, T. (2003). </w:t>
      </w:r>
      <w:r>
        <w:rPr>
          <w:i/>
        </w:rPr>
        <w:t>Understanding the consequences of access barriers to health care:</w:t>
      </w:r>
      <w:r>
        <w:t xml:space="preserve"> Experiences of adults with disabilities. Disability &amp; Rehabilitation, 25(2), 85-96. </w:t>
      </w:r>
    </w:p>
    <w:p w:rsidR="00AA3D25" w:rsidRDefault="005C6640" w:rsidP="00DD3744">
      <w:pPr>
        <w:pStyle w:val="NormalWeb"/>
        <w:spacing w:line="480" w:lineRule="auto"/>
        <w:ind w:left="450" w:hanging="450"/>
      </w:pPr>
      <w:r>
        <w:t xml:space="preserve">Nolan, R., Luther, B., Young, P., &amp; Murphy, N. A. (2014). </w:t>
      </w:r>
      <w:r>
        <w:rPr>
          <w:i/>
        </w:rPr>
        <w:t>Differing perceptions regarding quality of life and inpatient treatment goals for children with severe disabilities</w:t>
      </w:r>
      <w:r>
        <w:t xml:space="preserve">. Academic Pediatrics, 14(6), 574-580. </w:t>
      </w:r>
    </w:p>
    <w:p w:rsidR="00AA3D25" w:rsidRDefault="005C6640" w:rsidP="00DD3744">
      <w:pPr>
        <w:pStyle w:val="NormalWeb"/>
        <w:spacing w:line="480" w:lineRule="auto"/>
        <w:ind w:left="450" w:hanging="450"/>
      </w:pPr>
      <w:r>
        <w:t xml:space="preserve">Oliver, M. (1992). </w:t>
      </w:r>
      <w:r>
        <w:rPr>
          <w:i/>
        </w:rPr>
        <w:t xml:space="preserve">Changing the social relations of research production? </w:t>
      </w:r>
      <w:r>
        <w:t xml:space="preserve">Disability, Handicap &amp; Society, 7(2), 101-114. </w:t>
      </w:r>
    </w:p>
    <w:p w:rsidR="00AA3D25" w:rsidRDefault="005C6640" w:rsidP="00DD3744">
      <w:pPr>
        <w:pStyle w:val="NormalWeb"/>
        <w:spacing w:line="480" w:lineRule="auto"/>
        <w:ind w:left="450" w:hanging="450"/>
      </w:pPr>
      <w:r>
        <w:t xml:space="preserve">Oliver, M. (1996). </w:t>
      </w:r>
      <w:r>
        <w:rPr>
          <w:i/>
        </w:rPr>
        <w:t>Defining impairment and disability: Issues at stake. Exploring the Divide:</w:t>
      </w:r>
      <w:r>
        <w:t xml:space="preserve"> Illness and Disability, , 39-54. </w:t>
      </w:r>
    </w:p>
    <w:p w:rsidR="00AA3D25" w:rsidRDefault="005C6640" w:rsidP="00DD3744">
      <w:pPr>
        <w:pStyle w:val="NormalWeb"/>
        <w:spacing w:line="480" w:lineRule="auto"/>
        <w:ind w:left="450" w:hanging="450"/>
      </w:pPr>
      <w:r>
        <w:lastRenderedPageBreak/>
        <w:t xml:space="preserve">Oliver, M. (1997). </w:t>
      </w:r>
      <w:r>
        <w:rPr>
          <w:i/>
        </w:rPr>
        <w:t>The disability movement is a new social movement</w:t>
      </w:r>
      <w:r>
        <w:t xml:space="preserve">! Community Development Journal, 32(3), 244-251. </w:t>
      </w:r>
    </w:p>
    <w:p w:rsidR="00AA3D25" w:rsidRDefault="005C6640" w:rsidP="00DD3744">
      <w:pPr>
        <w:pStyle w:val="NormalWeb"/>
        <w:spacing w:line="480" w:lineRule="auto"/>
        <w:ind w:left="450" w:hanging="450"/>
      </w:pPr>
      <w:r>
        <w:t xml:space="preserve">Oliver, M. (1986). </w:t>
      </w:r>
      <w:r>
        <w:rPr>
          <w:i/>
        </w:rPr>
        <w:t>Social policy and disability: Some theoretical issues</w:t>
      </w:r>
      <w:r>
        <w:t xml:space="preserve">. Disability, Handicap &amp; Society, 1(1), 5-17. </w:t>
      </w:r>
    </w:p>
    <w:p w:rsidR="00AA3D25" w:rsidRDefault="005C6640" w:rsidP="00DD3744">
      <w:pPr>
        <w:pStyle w:val="NormalWeb"/>
        <w:spacing w:line="480" w:lineRule="auto"/>
        <w:ind w:left="450" w:hanging="450"/>
      </w:pPr>
      <w:r>
        <w:t xml:space="preserve">Oliver, M. (2013). </w:t>
      </w:r>
      <w:r>
        <w:rPr>
          <w:i/>
        </w:rPr>
        <w:t xml:space="preserve">The </w:t>
      </w:r>
      <w:r w:rsidR="003018D2">
        <w:rPr>
          <w:i/>
        </w:rPr>
        <w:t xml:space="preserve">Social </w:t>
      </w:r>
      <w:proofErr w:type="spellStart"/>
      <w:r w:rsidR="003018D2">
        <w:rPr>
          <w:i/>
        </w:rPr>
        <w:t>Model</w:t>
      </w:r>
      <w:r>
        <w:rPr>
          <w:i/>
        </w:rPr>
        <w:t>of</w:t>
      </w:r>
      <w:proofErr w:type="spellEnd"/>
      <w:r>
        <w:rPr>
          <w:i/>
        </w:rPr>
        <w:t xml:space="preserve"> disability: Thirty years on</w:t>
      </w:r>
      <w:r>
        <w:t xml:space="preserve">. Disability &amp; Society, 28(7), 1024-1026. </w:t>
      </w:r>
    </w:p>
    <w:p w:rsidR="00AA3D25" w:rsidRDefault="005C6640" w:rsidP="00DD3744">
      <w:pPr>
        <w:pStyle w:val="NormalWeb"/>
        <w:spacing w:line="480" w:lineRule="auto"/>
        <w:ind w:left="450" w:hanging="450"/>
      </w:pPr>
      <w:r>
        <w:t xml:space="preserve">Primary care for people with a mental handicap. recommendations. (1990). Occasional Paper (Royal College of General Practitioners), (47), v. </w:t>
      </w:r>
    </w:p>
    <w:p w:rsidR="00AA3D25" w:rsidRDefault="005C6640" w:rsidP="00DD3744">
      <w:pPr>
        <w:pStyle w:val="NormalWeb"/>
        <w:spacing w:line="480" w:lineRule="auto"/>
        <w:ind w:left="450" w:hanging="450"/>
      </w:pPr>
      <w:r>
        <w:t xml:space="preserve">Robertson, A. (1998). </w:t>
      </w:r>
      <w:r>
        <w:rPr>
          <w:i/>
        </w:rPr>
        <w:t>Shifting discourses on health in Canada: From health promotion to population health</w:t>
      </w:r>
      <w:r>
        <w:t xml:space="preserve">. Health Promotion International, 13(2), 155-166. </w:t>
      </w:r>
    </w:p>
    <w:p w:rsidR="00AA3D25" w:rsidRDefault="005C6640" w:rsidP="00DD3744">
      <w:pPr>
        <w:pStyle w:val="NormalWeb"/>
        <w:spacing w:line="480" w:lineRule="auto"/>
        <w:ind w:left="450" w:hanging="450"/>
      </w:pPr>
      <w:proofErr w:type="spellStart"/>
      <w:r>
        <w:t>Shabas</w:t>
      </w:r>
      <w:proofErr w:type="spellEnd"/>
      <w:r>
        <w:t xml:space="preserve">, D., &amp; </w:t>
      </w:r>
      <w:proofErr w:type="spellStart"/>
      <w:r>
        <w:t>Weinreb</w:t>
      </w:r>
      <w:proofErr w:type="spellEnd"/>
      <w:r>
        <w:t xml:space="preserve">, H. (2000). </w:t>
      </w:r>
      <w:r>
        <w:rPr>
          <w:i/>
        </w:rPr>
        <w:t>Preventive Healthcare in Women with Multiple Sclerosis</w:t>
      </w:r>
      <w:r>
        <w:t xml:space="preserve">. Journal of </w:t>
      </w:r>
      <w:proofErr w:type="spellStart"/>
      <w:r>
        <w:t>Womens</w:t>
      </w:r>
      <w:proofErr w:type="spellEnd"/>
      <w:r>
        <w:t xml:space="preserve"> Health &amp; Gender-Based Medicine, 9(4), 389-395. </w:t>
      </w:r>
    </w:p>
    <w:p w:rsidR="00AA3D25" w:rsidRDefault="005C6640" w:rsidP="00DD3744">
      <w:pPr>
        <w:pStyle w:val="NormalWeb"/>
        <w:spacing w:line="480" w:lineRule="auto"/>
        <w:ind w:left="450" w:hanging="450"/>
      </w:pPr>
      <w:r>
        <w:t xml:space="preserve">Shakespeare, T., &amp; Watson, N. (1997). </w:t>
      </w:r>
      <w:r>
        <w:rPr>
          <w:i/>
        </w:rPr>
        <w:t>Defending the social model</w:t>
      </w:r>
      <w:r>
        <w:t xml:space="preserve">. Disability &amp; Society, 12(2), 293-300. </w:t>
      </w:r>
    </w:p>
    <w:p w:rsidR="00AA3D25" w:rsidRDefault="005C6640" w:rsidP="00DD3744">
      <w:pPr>
        <w:pStyle w:val="NormalWeb"/>
        <w:spacing w:line="480" w:lineRule="auto"/>
        <w:ind w:left="450" w:hanging="450"/>
      </w:pPr>
      <w:r>
        <w:t xml:space="preserve">Smith, J. (2013). </w:t>
      </w:r>
      <w:r>
        <w:rPr>
          <w:i/>
        </w:rPr>
        <w:t>The ethical heat &amp; tension in sample selection melts the 'snow' in snowball sampling</w:t>
      </w:r>
      <w:r>
        <w:t xml:space="preserve">. International Journal of Qualitative Methods; </w:t>
      </w:r>
      <w:proofErr w:type="spellStart"/>
      <w:r>
        <w:t>Int.J.Qual.Meth</w:t>
      </w:r>
      <w:proofErr w:type="spellEnd"/>
      <w:r>
        <w:t xml:space="preserve">., 12, 819-819. </w:t>
      </w:r>
    </w:p>
    <w:p w:rsidR="00AA3D25" w:rsidRDefault="005C6640" w:rsidP="00DD3744">
      <w:pPr>
        <w:pStyle w:val="NormalWeb"/>
        <w:spacing w:line="480" w:lineRule="auto"/>
        <w:ind w:left="450" w:hanging="450"/>
      </w:pPr>
      <w:r>
        <w:t xml:space="preserve">Statistics Canada Social and Aboriginal, Statistics Division. (2013). </w:t>
      </w:r>
      <w:r>
        <w:rPr>
          <w:i/>
          <w:iCs/>
        </w:rPr>
        <w:t>Disability in Canada: Initial findings from the Canadian survey on disability: Fact sheet</w:t>
      </w:r>
      <w:r>
        <w:t xml:space="preserve"> Ottawa: Statistics Canada = </w:t>
      </w:r>
      <w:proofErr w:type="spellStart"/>
      <w:r>
        <w:t>Statistique</w:t>
      </w:r>
      <w:proofErr w:type="spellEnd"/>
      <w:r>
        <w:t xml:space="preserve"> Canada. </w:t>
      </w:r>
    </w:p>
    <w:p w:rsidR="00AA3D25" w:rsidRDefault="005C6640" w:rsidP="00DD3744">
      <w:pPr>
        <w:pStyle w:val="NormalWeb"/>
        <w:spacing w:line="480" w:lineRule="auto"/>
        <w:ind w:left="450" w:hanging="450"/>
      </w:pPr>
      <w:r>
        <w:lastRenderedPageBreak/>
        <w:t xml:space="preserve">Statistics Canada. (2015) Persons with disabilities and employment. Retrieved September, 2017, from </w:t>
      </w:r>
      <w:hyperlink r:id="rId24" w:anchor="n6" w:history="1">
        <w:r>
          <w:rPr>
            <w:rStyle w:val="InternetLink"/>
          </w:rPr>
          <w:t>https://www.statcan.gc.ca/pub/75-006-x/2014001/article/14115-eng.htm#n6</w:t>
        </w:r>
      </w:hyperlink>
    </w:p>
    <w:p w:rsidR="00AA3D25" w:rsidRDefault="005C6640" w:rsidP="00DD3744">
      <w:pPr>
        <w:pStyle w:val="NormalWeb"/>
        <w:spacing w:line="480" w:lineRule="auto"/>
        <w:ind w:left="450" w:hanging="450"/>
      </w:pPr>
      <w:r>
        <w:t xml:space="preserve">The Accessibility for Manitobans Act, (2013). Retrieved May, 9, 2017, from </w:t>
      </w:r>
      <w:hyperlink r:id="rId25">
        <w:r>
          <w:rPr>
            <w:rStyle w:val="InternetLink"/>
            <w:vanish/>
            <w:webHidden/>
          </w:rPr>
          <w:t>http://www.gov.mb.ca/dio/pdf/introducing_accessibility_for_manitobans_act.pdf</w:t>
        </w:r>
      </w:hyperlink>
    </w:p>
    <w:p w:rsidR="00AA3D25" w:rsidRDefault="005C6640" w:rsidP="00DD3744">
      <w:pPr>
        <w:pStyle w:val="NormalWeb"/>
        <w:spacing w:line="480" w:lineRule="auto"/>
        <w:ind w:left="450" w:hanging="450"/>
      </w:pPr>
      <w:r>
        <w:t xml:space="preserve">The Government of Manitoba. Introducing the accessibility for Manitobans act. Retrieved November, 2017, from </w:t>
      </w:r>
      <w:hyperlink r:id="rId26">
        <w:r>
          <w:rPr>
            <w:rStyle w:val="InternetLink"/>
            <w:vanish/>
            <w:webHidden/>
          </w:rPr>
          <w:t>http://www.gov.mb.ca/dio/pdf/introducing_accessibility_for_manitobans_act.pdf</w:t>
        </w:r>
      </w:hyperlink>
      <w:r>
        <w:t xml:space="preserve"> </w:t>
      </w:r>
    </w:p>
    <w:p w:rsidR="00AA3D25" w:rsidRDefault="005C6640" w:rsidP="00DD3744">
      <w:pPr>
        <w:pStyle w:val="NormalWeb"/>
        <w:spacing w:line="480" w:lineRule="auto"/>
        <w:ind w:left="450" w:hanging="450"/>
      </w:pPr>
      <w:r>
        <w:t xml:space="preserve">The Government of Manitoba. (2017). Get your benefits. Retrieved 22, April, 2017, from </w:t>
      </w:r>
      <w:hyperlink r:id="rId27">
        <w:r>
          <w:rPr>
            <w:rStyle w:val="InternetLink"/>
            <w:vanish/>
            <w:webHidden/>
          </w:rPr>
          <w:t>http://www.gov.mb.ca/health/primarycare/providers/getyourbenefits.html</w:t>
        </w:r>
      </w:hyperlink>
      <w:r>
        <w:t xml:space="preserve"> </w:t>
      </w:r>
    </w:p>
    <w:p w:rsidR="00AA3D25" w:rsidRDefault="005C6640" w:rsidP="00DD3744">
      <w:pPr>
        <w:pStyle w:val="NormalWeb"/>
        <w:spacing w:line="480" w:lineRule="auto"/>
        <w:ind w:left="450" w:hanging="450"/>
      </w:pPr>
      <w:r>
        <w:t xml:space="preserve">The Government of Manitoba, &amp; Manitoba Health, Senior and Active living. </w:t>
      </w:r>
      <w:r>
        <w:rPr>
          <w:i/>
        </w:rPr>
        <w:t>Accessing care</w:t>
      </w:r>
      <w:r>
        <w:t xml:space="preserve">. Retrieved May, 7, 2017, from </w:t>
      </w:r>
      <w:hyperlink r:id="rId28">
        <w:r>
          <w:rPr>
            <w:rStyle w:val="InternetLink"/>
            <w:vanish/>
            <w:webHidden/>
          </w:rPr>
          <w:t>http://www.gov.mb.ca/health/primarycare/public/access/index.html</w:t>
        </w:r>
      </w:hyperlink>
      <w:r>
        <w:t xml:space="preserve"> </w:t>
      </w:r>
    </w:p>
    <w:p w:rsidR="00AA3D25" w:rsidRDefault="005C6640" w:rsidP="00DD3744">
      <w:pPr>
        <w:pStyle w:val="NormalWeb"/>
        <w:spacing w:line="480" w:lineRule="auto"/>
        <w:ind w:left="450" w:hanging="450"/>
      </w:pPr>
      <w:r>
        <w:t xml:space="preserve">The Manitoba Human Rights Commission. (2017). </w:t>
      </w:r>
      <w:r>
        <w:rPr>
          <w:i/>
        </w:rPr>
        <w:t>Equality of opportunity and freedom from discrimination</w:t>
      </w:r>
      <w:r>
        <w:t xml:space="preserve">. Retrieved December, 2017, from </w:t>
      </w:r>
      <w:hyperlink r:id="rId29">
        <w:r>
          <w:rPr>
            <w:rStyle w:val="InternetLink"/>
            <w:vanish/>
            <w:webHidden/>
          </w:rPr>
          <w:t>http://www.manitobahumanrights.ca/v1/about-us/pubs/annual-reports/2015_annual_report.pdf</w:t>
        </w:r>
      </w:hyperlink>
      <w:r>
        <w:t xml:space="preserve"> </w:t>
      </w:r>
    </w:p>
    <w:p w:rsidR="00AA3D25" w:rsidRDefault="005C6640" w:rsidP="00DD3744">
      <w:pPr>
        <w:pStyle w:val="NormalWeb"/>
        <w:spacing w:line="480" w:lineRule="auto"/>
        <w:ind w:left="450" w:hanging="450"/>
      </w:pPr>
      <w:r>
        <w:t xml:space="preserve">Union of the Physically Impaired Against Segregation. (1975). Fundamental principles of disability. London: UPIAS, </w:t>
      </w:r>
    </w:p>
    <w:p w:rsidR="00AA3D25" w:rsidRDefault="005C6640" w:rsidP="00DD3744">
      <w:pPr>
        <w:pStyle w:val="NormalWeb"/>
        <w:spacing w:line="480" w:lineRule="auto"/>
        <w:ind w:left="450" w:hanging="450"/>
        <w:rPr>
          <w:i/>
        </w:rPr>
      </w:pPr>
      <w:r>
        <w:t xml:space="preserve">UPIAS. (1976). </w:t>
      </w:r>
      <w:r>
        <w:rPr>
          <w:i/>
        </w:rPr>
        <w:t xml:space="preserve">Fundamental principles of disability, union of the physically impaired against segregation. </w:t>
      </w:r>
    </w:p>
    <w:p w:rsidR="00AA3D25" w:rsidRDefault="005C6640" w:rsidP="00DD3744">
      <w:pPr>
        <w:pStyle w:val="NormalWeb"/>
        <w:spacing w:line="480" w:lineRule="auto"/>
        <w:ind w:left="450" w:hanging="450"/>
      </w:pPr>
      <w:r>
        <w:t xml:space="preserve">Ville, I., &amp; </w:t>
      </w:r>
      <w:proofErr w:type="spellStart"/>
      <w:r>
        <w:t>Ravaud</w:t>
      </w:r>
      <w:proofErr w:type="spellEnd"/>
      <w:r>
        <w:t xml:space="preserve">, J. F. (1998). </w:t>
      </w:r>
      <w:r>
        <w:rPr>
          <w:i/>
        </w:rPr>
        <w:t>Work values: A comparison of non-disabled persons with persons with paraplegia</w:t>
      </w:r>
      <w:r>
        <w:t xml:space="preserve">. Disability and Rehabilitation, 20(4), 127. </w:t>
      </w:r>
    </w:p>
    <w:p w:rsidR="00AA3D25" w:rsidRDefault="005C6640" w:rsidP="00DD3744">
      <w:pPr>
        <w:pStyle w:val="NormalWeb"/>
        <w:spacing w:line="480" w:lineRule="auto"/>
        <w:ind w:left="450" w:hanging="450"/>
      </w:pPr>
      <w:r>
        <w:t xml:space="preserve">Woodard, L. J., Havercamp, S. M., Zwygart, K. K., &amp; Perkins, E. A. (2012). </w:t>
      </w:r>
      <w:r>
        <w:rPr>
          <w:i/>
        </w:rPr>
        <w:t>An innovative clerkship module focused on patients with disabilities.</w:t>
      </w:r>
      <w:r>
        <w:t xml:space="preserve"> Academic Medicine, 87(4), 537-542. </w:t>
      </w:r>
    </w:p>
    <w:p w:rsidR="00AA3D25" w:rsidRDefault="005C6640" w:rsidP="00DD3744">
      <w:pPr>
        <w:pStyle w:val="NormalWeb"/>
        <w:spacing w:line="480" w:lineRule="auto"/>
        <w:ind w:left="450" w:hanging="450"/>
      </w:pPr>
      <w:r>
        <w:lastRenderedPageBreak/>
        <w:t xml:space="preserve">World Health Organization. (2011). World report on disability. </w:t>
      </w:r>
    </w:p>
    <w:p w:rsidR="00AA3D25" w:rsidRDefault="005C6640" w:rsidP="00DD3744">
      <w:pPr>
        <w:pStyle w:val="NormalWeb"/>
        <w:spacing w:line="480" w:lineRule="auto"/>
        <w:ind w:left="450" w:hanging="450"/>
      </w:pPr>
      <w:proofErr w:type="spellStart"/>
      <w:r>
        <w:t>Zarb</w:t>
      </w:r>
      <w:proofErr w:type="spellEnd"/>
      <w:r>
        <w:t xml:space="preserve">, G. (1992). </w:t>
      </w:r>
      <w:r>
        <w:rPr>
          <w:i/>
        </w:rPr>
        <w:t>Ageing with Multiple Sclerosis</w:t>
      </w:r>
      <w:r>
        <w:t>.</w:t>
      </w:r>
    </w:p>
    <w:p w:rsidR="00AA3D25" w:rsidRDefault="005C6640" w:rsidP="00DD3744">
      <w:pPr>
        <w:spacing w:line="480" w:lineRule="auto"/>
        <w:rPr>
          <w:rFonts w:eastAsia="Times New Roman"/>
          <w:lang w:val="en-CA" w:eastAsia="en-CA"/>
        </w:rPr>
      </w:pPr>
      <w:r>
        <w:br w:type="page"/>
      </w:r>
    </w:p>
    <w:p w:rsidR="00AA3D25" w:rsidRDefault="00AA3D25" w:rsidP="00DD3744">
      <w:pPr>
        <w:spacing w:line="480" w:lineRule="auto"/>
      </w:pPr>
    </w:p>
    <w:p w:rsidR="00AA3D25" w:rsidRDefault="005C6640" w:rsidP="00DD3744">
      <w:pPr>
        <w:pStyle w:val="Heading1"/>
      </w:pPr>
      <w:bookmarkStart w:id="451" w:name="_Toc533852540"/>
      <w:r>
        <w:t>Appendix A: Research Participant Information and Consent Form</w:t>
      </w:r>
      <w:bookmarkEnd w:id="451"/>
    </w:p>
    <w:p w:rsidR="00AA3D25" w:rsidRDefault="00AA3D25" w:rsidP="00DD3744">
      <w:pPr>
        <w:spacing w:line="480" w:lineRule="auto"/>
        <w:rPr>
          <w:rFonts w:eastAsia="Times New Roman"/>
        </w:rPr>
      </w:pPr>
    </w:p>
    <w:p w:rsidR="00AA3D25" w:rsidRDefault="005C6640" w:rsidP="00DD3744">
      <w:pPr>
        <w:spacing w:line="480" w:lineRule="auto"/>
        <w:rPr>
          <w:rFonts w:eastAsia="Times New Roman"/>
        </w:rPr>
      </w:pPr>
      <w:r>
        <w:rPr>
          <w:rFonts w:eastAsia="Times New Roman"/>
          <w:b/>
        </w:rPr>
        <w:t>Research Project Title</w:t>
      </w:r>
      <w:r>
        <w:rPr>
          <w:rFonts w:eastAsia="Times New Roman"/>
        </w:rPr>
        <w:t xml:space="preserve">: </w:t>
      </w:r>
      <w:r>
        <w:rPr>
          <w:color w:val="000000"/>
        </w:rPr>
        <w:t>Accessibility: Physicians’ Perspective Regarding Disability and Continuum of Care in the Contemporary Canadian Healthcare</w:t>
      </w:r>
    </w:p>
    <w:p w:rsidR="00AA3D25" w:rsidRDefault="00AA3D25" w:rsidP="00DD3744">
      <w:pPr>
        <w:spacing w:line="480" w:lineRule="auto"/>
        <w:rPr>
          <w:rFonts w:eastAsia="Times New Roman"/>
        </w:rPr>
      </w:pPr>
    </w:p>
    <w:p w:rsidR="00AA3D25" w:rsidRDefault="005C6640" w:rsidP="00DD3744">
      <w:pPr>
        <w:pStyle w:val="NoSpacing"/>
        <w:spacing w:line="480" w:lineRule="auto"/>
        <w:rPr>
          <w:rFonts w:ascii="Times New Roman" w:hAnsi="Times New Roman" w:cs="Times New Roman"/>
        </w:rPr>
      </w:pPr>
      <w:r>
        <w:rPr>
          <w:rFonts w:ascii="Times New Roman" w:hAnsi="Times New Roman" w:cs="Times New Roman"/>
          <w:b/>
        </w:rPr>
        <w:t>Principal Investigator:</w:t>
      </w:r>
      <w:r>
        <w:rPr>
          <w:rFonts w:ascii="Times New Roman" w:hAnsi="Times New Roman" w:cs="Times New Roman"/>
        </w:rPr>
        <w:t xml:space="preserve"> </w:t>
      </w: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Sidra Jawed</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Graduate student</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M.Sc. Disability Studies Room 128 Education Building</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71 Curry Place, University of Manitoba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R3T 2N2</w:t>
      </w: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spacing w:line="480" w:lineRule="auto"/>
        <w:rPr>
          <w:rFonts w:eastAsia="Times New Roman"/>
        </w:rPr>
      </w:pPr>
      <w:r>
        <w:rPr>
          <w:rFonts w:eastAsia="Times New Roman"/>
          <w:b/>
        </w:rPr>
        <w:t>Research Supervisors:</w:t>
      </w: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Dr. Nancy Hansen</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Director of the Interdisciplinary Master’s Program in Disability Studies</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Room 128 Education Building</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71 Curry Place, University of Manitoba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Canada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R3T 2N2</w:t>
      </w:r>
    </w:p>
    <w:p w:rsidR="00AA3D25" w:rsidRDefault="001D0438" w:rsidP="00DD3744">
      <w:pPr>
        <w:pStyle w:val="NoSpacing"/>
        <w:spacing w:line="480" w:lineRule="auto"/>
        <w:ind w:left="720"/>
      </w:pPr>
      <w:hyperlink r:id="rId30">
        <w:r w:rsidR="005C6640">
          <w:rPr>
            <w:rStyle w:val="InternetLink"/>
            <w:rFonts w:ascii="Times New Roman" w:hAnsi="Times New Roman" w:cs="Times New Roman"/>
            <w:vanish/>
            <w:webHidden/>
          </w:rPr>
          <w:t>nancy.hansen@umanitoba.ca</w:t>
        </w:r>
      </w:hyperlink>
    </w:p>
    <w:p w:rsidR="00AA3D25" w:rsidRDefault="00AA3D25" w:rsidP="00DD3744">
      <w:pPr>
        <w:pStyle w:val="NoSpacing"/>
        <w:spacing w:line="480" w:lineRule="auto"/>
        <w:ind w:left="720"/>
        <w:rPr>
          <w:rFonts w:ascii="Times New Roman" w:hAnsi="Times New Roman" w:cs="Times New Roman"/>
        </w:rPr>
      </w:pP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 xml:space="preserve">Dr. Deborah McPhail, </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Assistant Professor, Community Health Sciences</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 xml:space="preserve">S108F Medical Services </w:t>
      </w:r>
      <w:proofErr w:type="spellStart"/>
      <w:r>
        <w:rPr>
          <w:rFonts w:ascii="Times New Roman" w:hAnsi="Times New Roman" w:cs="Times New Roman"/>
        </w:rPr>
        <w:t>Bldg</w:t>
      </w:r>
      <w:proofErr w:type="spellEnd"/>
    </w:p>
    <w:p w:rsidR="00AA3D25" w:rsidRDefault="005C6640" w:rsidP="00DD3744">
      <w:pPr>
        <w:pStyle w:val="NoSpacing"/>
        <w:spacing w:line="480" w:lineRule="auto"/>
        <w:ind w:left="720"/>
        <w:rPr>
          <w:rFonts w:ascii="Times New Roman" w:hAnsi="Times New Roman" w:cs="Times New Roman"/>
        </w:rPr>
      </w:pPr>
      <w:proofErr w:type="spellStart"/>
      <w:r>
        <w:rPr>
          <w:rFonts w:ascii="Times New Roman" w:hAnsi="Times New Roman" w:cs="Times New Roman"/>
        </w:rPr>
        <w:t>McDermot</w:t>
      </w:r>
      <w:proofErr w:type="spellEnd"/>
      <w:r>
        <w:rPr>
          <w:rFonts w:ascii="Times New Roman" w:hAnsi="Times New Roman" w:cs="Times New Roman"/>
        </w:rPr>
        <w:t xml:space="preserve"> Avenue,</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R3E 0T6</w:t>
      </w:r>
    </w:p>
    <w:p w:rsidR="00AA3D25" w:rsidRDefault="00E76EBE" w:rsidP="00DD3744">
      <w:pPr>
        <w:pStyle w:val="NoSpacing"/>
        <w:spacing w:line="480" w:lineRule="auto"/>
        <w:ind w:left="720"/>
      </w:pPr>
      <w:hyperlink r:id="rId31" w:history="1">
        <w:r w:rsidRPr="008D56C8">
          <w:rPr>
            <w:rStyle w:val="Hyperlink"/>
            <w:rFonts w:ascii="Times New Roman" w:hAnsi="Times New Roman" w:cs="Times New Roman"/>
            <w:vanish/>
            <w:webHidden/>
          </w:rPr>
          <w:t>Deborah.McPhail@umanitoba.ca</w:t>
        </w:r>
      </w:hyperlink>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spacing w:line="480" w:lineRule="auto"/>
        <w:ind w:firstLine="720"/>
        <w:rPr>
          <w:rFonts w:eastAsia="Times New Roman"/>
        </w:rPr>
      </w:pPr>
      <w:r>
        <w:rPr>
          <w:rFonts w:eastAsia="Times New Roman"/>
        </w:rPr>
        <w:t>This consent form, a copy of which will be left with you for your records and reference, is only part of the process of informed consent. It should give you the basic idea of what the research is about and what your participation will involve. If you would like more detail about something mentioned here, or information not included here, you should feel free to ask. Please take the time to read this carefully and to understand any accompanying information.</w:t>
      </w:r>
    </w:p>
    <w:p w:rsidR="00AA3D25" w:rsidRDefault="00AA3D25" w:rsidP="00DD3744">
      <w:pPr>
        <w:spacing w:line="480" w:lineRule="auto"/>
      </w:pPr>
    </w:p>
    <w:p w:rsidR="00AA3D25" w:rsidRDefault="005C6640" w:rsidP="00DD3744">
      <w:pPr>
        <w:spacing w:line="480" w:lineRule="auto"/>
        <w:rPr>
          <w:rFonts w:eastAsia="Calibri"/>
          <w:b/>
        </w:rPr>
      </w:pPr>
      <w:r>
        <w:rPr>
          <w:rFonts w:eastAsia="Calibri"/>
          <w:b/>
        </w:rPr>
        <w:t>Purpose of the Study</w:t>
      </w:r>
    </w:p>
    <w:p w:rsidR="00AA3D25" w:rsidRDefault="00AA3D25" w:rsidP="00DD3744">
      <w:pPr>
        <w:spacing w:line="480" w:lineRule="auto"/>
        <w:rPr>
          <w:rFonts w:eastAsia="Calibri"/>
        </w:rPr>
      </w:pPr>
    </w:p>
    <w:p w:rsidR="00AA3D25" w:rsidRDefault="005C6640" w:rsidP="00DD3744">
      <w:pPr>
        <w:spacing w:line="480" w:lineRule="auto"/>
        <w:ind w:firstLine="720"/>
        <w:rPr>
          <w:rFonts w:eastAsia="Calibri"/>
        </w:rPr>
      </w:pPr>
      <w:r>
        <w:rPr>
          <w:rFonts w:eastAsia="Calibri"/>
        </w:rPr>
        <w:t xml:space="preserve">The purpose of this research is to explore, through qualitative research methods, physicians’ perspectives on healthcare access and quality of care for People with Disability (PWD). Further, the study will ascertain physicians’ knowledge about the resources for PWD in context of contemporary healthcare system. </w:t>
      </w:r>
    </w:p>
    <w:p w:rsidR="00AA3D25" w:rsidRDefault="00AA3D25" w:rsidP="00DD3744">
      <w:pPr>
        <w:spacing w:line="480" w:lineRule="auto"/>
        <w:rPr>
          <w:rFonts w:eastAsia="Calibri"/>
        </w:rPr>
      </w:pPr>
    </w:p>
    <w:p w:rsidR="00AA3D25" w:rsidRDefault="005C6640" w:rsidP="00DD3744">
      <w:pPr>
        <w:spacing w:line="480" w:lineRule="auto"/>
        <w:rPr>
          <w:rFonts w:eastAsia="Calibri"/>
          <w:b/>
        </w:rPr>
      </w:pPr>
      <w:r>
        <w:rPr>
          <w:rFonts w:eastAsia="Calibri"/>
          <w:b/>
        </w:rPr>
        <w:t xml:space="preserve">Study procedure </w:t>
      </w:r>
    </w:p>
    <w:p w:rsidR="00AA3D25" w:rsidRDefault="00AA3D25" w:rsidP="00DD3744">
      <w:pPr>
        <w:spacing w:line="480" w:lineRule="auto"/>
        <w:rPr>
          <w:rFonts w:eastAsia="Calibri"/>
          <w:b/>
        </w:rPr>
      </w:pPr>
    </w:p>
    <w:p w:rsidR="00AA3D25" w:rsidRDefault="005C6640" w:rsidP="00DD3744">
      <w:pPr>
        <w:spacing w:line="480" w:lineRule="auto"/>
        <w:ind w:firstLine="720"/>
        <w:rPr>
          <w:rFonts w:eastAsia="Calibri"/>
        </w:rPr>
      </w:pPr>
      <w:r>
        <w:rPr>
          <w:rFonts w:eastAsia="Calibri"/>
        </w:rPr>
        <w:t xml:space="preserve">If you agree to participate in the study, you will be asked a number of questions. The interview session will last for about 40 minutes to an hour and it will be tape recorded. The recording will not include the personal identifiers and would be destroyed after the transcription. </w:t>
      </w:r>
    </w:p>
    <w:p w:rsidR="00AA3D25" w:rsidRDefault="00AA3D25" w:rsidP="00DD3744">
      <w:pPr>
        <w:spacing w:line="480" w:lineRule="auto"/>
        <w:rPr>
          <w:rFonts w:eastAsia="Calibri"/>
        </w:rPr>
      </w:pPr>
    </w:p>
    <w:p w:rsidR="00AA3D25" w:rsidRDefault="005C6640" w:rsidP="00DD3744">
      <w:pPr>
        <w:spacing w:line="480" w:lineRule="auto"/>
        <w:rPr>
          <w:b/>
        </w:rPr>
      </w:pPr>
      <w:r>
        <w:rPr>
          <w:b/>
        </w:rPr>
        <w:t xml:space="preserve">Risks and Benefits </w:t>
      </w:r>
    </w:p>
    <w:p w:rsidR="00AA3D25" w:rsidRDefault="00AA3D25" w:rsidP="00DD3744">
      <w:pPr>
        <w:spacing w:line="480" w:lineRule="auto"/>
        <w:rPr>
          <w:b/>
        </w:rPr>
      </w:pPr>
    </w:p>
    <w:p w:rsidR="00AA3D25" w:rsidRDefault="005C6640" w:rsidP="00DD3744">
      <w:pPr>
        <w:spacing w:line="480" w:lineRule="auto"/>
        <w:ind w:firstLine="720"/>
        <w:rPr>
          <w:rFonts w:eastAsia="Calibri"/>
          <w:b/>
        </w:rPr>
      </w:pPr>
      <w:r>
        <w:t>There are minimal risks involved for you as one would encounter in daily life. The study will present a platform to learn more about physicians’ perspective about accessibility for PWD and the current medical education curriculum. Your involvement will be a starting point for stake holders and policy makers and subsequently the conclusion drawn can be a stepping stone for future researches to strengthen the Canadian healthcare.</w:t>
      </w:r>
    </w:p>
    <w:p w:rsidR="00AA3D25" w:rsidRDefault="00AA3D25" w:rsidP="00DD3744">
      <w:pPr>
        <w:spacing w:line="480" w:lineRule="auto"/>
        <w:rPr>
          <w:rFonts w:eastAsia="Calibri"/>
          <w:b/>
        </w:rPr>
      </w:pPr>
    </w:p>
    <w:p w:rsidR="00AA3D25" w:rsidRDefault="005C6640" w:rsidP="00DD3744">
      <w:pPr>
        <w:spacing w:line="480" w:lineRule="auto"/>
        <w:rPr>
          <w:b/>
        </w:rPr>
      </w:pPr>
      <w:r>
        <w:rPr>
          <w:b/>
        </w:rPr>
        <w:t>Anonymity and Confidentiality</w:t>
      </w:r>
    </w:p>
    <w:p w:rsidR="00AA3D25" w:rsidRDefault="00AA3D25" w:rsidP="00DD3744">
      <w:pPr>
        <w:spacing w:line="480" w:lineRule="auto"/>
      </w:pPr>
    </w:p>
    <w:p w:rsidR="00AA3D25" w:rsidRDefault="005C6640" w:rsidP="00DD3744">
      <w:pPr>
        <w:spacing w:line="480" w:lineRule="auto"/>
        <w:ind w:firstLine="720"/>
      </w:pPr>
      <w:r>
        <w:t xml:space="preserve">The interviews will be recorded without the personal details. A number will be used for all the participants and identifying characteristics would be removed. You can opt-out of the study at any time, before the final submission of the </w:t>
      </w:r>
      <w:r>
        <w:rPr>
          <w:color w:val="000000" w:themeColor="text1"/>
        </w:rPr>
        <w:t xml:space="preserve">thesis 12/2017, be emailing or calling me. Also, any </w:t>
      </w:r>
      <w:r>
        <w:t>information about you would be immediately destroyed if you choose to withdraw from the study.</w:t>
      </w:r>
      <w:r>
        <w:rPr>
          <w:rFonts w:eastAsia="Calibri"/>
        </w:rPr>
        <w:t xml:space="preserve"> The transcript would be send back to you so it can be reviewed before using any direct quotations in the study.</w:t>
      </w:r>
      <w:r>
        <w:t xml:space="preserve"> The information would be stored on password protected computer and locked cabinet. All the information will be destroyed after the completion of study, which would be after the thesis is defended and it will be no later than 12/17.</w:t>
      </w:r>
    </w:p>
    <w:p w:rsidR="00AA3D25" w:rsidRDefault="00AA3D25" w:rsidP="00DD3744">
      <w:pPr>
        <w:spacing w:line="480" w:lineRule="auto"/>
      </w:pPr>
    </w:p>
    <w:p w:rsidR="00AA3D25" w:rsidRDefault="005C6640" w:rsidP="00DD3744">
      <w:pPr>
        <w:spacing w:line="480" w:lineRule="auto"/>
        <w:rPr>
          <w:b/>
        </w:rPr>
      </w:pPr>
      <w:r>
        <w:rPr>
          <w:b/>
        </w:rPr>
        <w:t>Compensation</w:t>
      </w:r>
    </w:p>
    <w:p w:rsidR="00AA3D25" w:rsidRDefault="00AA3D25" w:rsidP="00DD3744">
      <w:pPr>
        <w:spacing w:line="480" w:lineRule="auto"/>
      </w:pPr>
    </w:p>
    <w:p w:rsidR="00AA3D25" w:rsidRDefault="005C6640" w:rsidP="00DD3744">
      <w:pPr>
        <w:spacing w:line="480" w:lineRule="auto"/>
        <w:ind w:firstLine="720"/>
      </w:pPr>
      <w:r>
        <w:t>There will be no compensation or reimbursement in this study. Participation is entirely voluntary and you would be able to withdraw from the study at any time.</w:t>
      </w:r>
    </w:p>
    <w:p w:rsidR="00AA3D25" w:rsidRDefault="00AA3D25" w:rsidP="00DD3744">
      <w:pPr>
        <w:spacing w:line="480" w:lineRule="auto"/>
        <w:rPr>
          <w:rFonts w:eastAsia="Calibri"/>
          <w:b/>
        </w:rPr>
      </w:pPr>
    </w:p>
    <w:p w:rsidR="00AA3D25" w:rsidRDefault="005C6640" w:rsidP="00DD3744">
      <w:pPr>
        <w:spacing w:line="480" w:lineRule="auto"/>
        <w:rPr>
          <w:b/>
        </w:rPr>
      </w:pPr>
      <w:r>
        <w:rPr>
          <w:b/>
        </w:rPr>
        <w:t>Dissemination</w:t>
      </w:r>
    </w:p>
    <w:p w:rsidR="00AA3D25" w:rsidRDefault="00AA3D25" w:rsidP="00DD3744">
      <w:pPr>
        <w:spacing w:line="480" w:lineRule="auto"/>
      </w:pPr>
    </w:p>
    <w:p w:rsidR="00AA3D25" w:rsidRDefault="005C6640" w:rsidP="00DD3744">
      <w:pPr>
        <w:spacing w:line="480" w:lineRule="auto"/>
        <w:ind w:firstLine="720"/>
      </w:pPr>
      <w:r>
        <w:t xml:space="preserve">If you would like to receive a copy or summary of the results of my thesis, please add your email address in the end of the form. I would be happy to send a copy. Also, the research will be available on the M-Space on University of Manitoba website. The URL is </w:t>
      </w:r>
      <w:hyperlink r:id="rId32">
        <w:r>
          <w:rPr>
            <w:rStyle w:val="InternetLink"/>
            <w:vanish/>
            <w:webHidden/>
          </w:rPr>
          <w:t>http://mspace.lib.umanitoba.ca/</w:t>
        </w:r>
      </w:hyperlink>
      <w:r>
        <w:t>.</w:t>
      </w:r>
    </w:p>
    <w:p w:rsidR="00AA3D25" w:rsidRDefault="005C6640" w:rsidP="00DD3744">
      <w:pPr>
        <w:spacing w:line="480" w:lineRule="auto"/>
      </w:pPr>
      <w:r>
        <w:t>Additionally, there will be knowledge translation through conference presentation and peer-reviewed papers. Subsequently, the new understanding would help formulate the recommendations for policies and help in the process of knowledge translation.</w:t>
      </w:r>
    </w:p>
    <w:p w:rsidR="00AA3D25" w:rsidRDefault="00AA3D25" w:rsidP="00DD3744">
      <w:pPr>
        <w:spacing w:line="480" w:lineRule="auto"/>
      </w:pPr>
    </w:p>
    <w:p w:rsidR="00AA3D25" w:rsidRDefault="005C6640" w:rsidP="00DD3744">
      <w:pPr>
        <w:spacing w:line="480" w:lineRule="auto"/>
        <w:ind w:firstLine="720"/>
        <w:rPr>
          <w:rFonts w:eastAsia="Times New Roman"/>
        </w:rPr>
      </w:pPr>
      <w:r>
        <w:rPr>
          <w:rFonts w:eastAsia="Times New Roman"/>
        </w:rPr>
        <w:t xml:space="preserve">Your signature on this form indicates that you have understood to your satisfaction the information regarding participation in the research project and agree to participate as a subject. In no way does this waive your legal rights nor release the researchers, sponsors, or involved institutions from their legal and professional responsibilities. You are free to withdraw from the study at any time, and /or refrain from answering any questions you prefer to omit, without prejudice or consequence. Your continued participation should be as informed as your initial consent, so you should feel free to ask for clarification or new information throughout your participation. The University of Manitoba may look at your research records to see that the </w:t>
      </w:r>
      <w:r>
        <w:rPr>
          <w:rFonts w:eastAsia="Times New Roman"/>
        </w:rPr>
        <w:lastRenderedPageBreak/>
        <w:t xml:space="preserve">research is being done in a safe and proper way. This research has been approved by the joint faculty REB University of Manitoba. If you have any concerns or complaints about this project you may contact any of the above-named persons or the Human Ethics Coordinator. A copy of this consent form has been given to you to keep for your records and reference. </w:t>
      </w:r>
    </w:p>
    <w:p w:rsidR="00AA3D25" w:rsidRDefault="00AA3D25" w:rsidP="00DD3744">
      <w:pPr>
        <w:spacing w:line="480" w:lineRule="auto"/>
        <w:rPr>
          <w:rFonts w:eastAsia="Times New Roman"/>
        </w:rPr>
      </w:pPr>
    </w:p>
    <w:p w:rsidR="00AA3D25" w:rsidRDefault="00AA3D25" w:rsidP="00DD3744">
      <w:pPr>
        <w:spacing w:line="480" w:lineRule="auto"/>
        <w:rPr>
          <w:rFonts w:eastAsia="Times New Roman"/>
        </w:rPr>
      </w:pPr>
    </w:p>
    <w:p w:rsidR="00AA3D25" w:rsidRDefault="005C6640" w:rsidP="00DD3744">
      <w:pPr>
        <w:spacing w:line="480" w:lineRule="auto"/>
        <w:rPr>
          <w:rFonts w:eastAsia="Times New Roman"/>
        </w:rPr>
      </w:pPr>
      <w:r>
        <w:rPr>
          <w:rFonts w:eastAsia="Times New Roman"/>
        </w:rPr>
        <w:t>Email ID____________________________________________________</w:t>
      </w:r>
    </w:p>
    <w:p w:rsidR="00AA3D25" w:rsidRDefault="00AA3D25" w:rsidP="00DD3744">
      <w:pPr>
        <w:spacing w:line="480" w:lineRule="auto"/>
        <w:rPr>
          <w:rFonts w:eastAsia="Times New Roman"/>
        </w:rPr>
      </w:pPr>
    </w:p>
    <w:p w:rsidR="00AA3D25" w:rsidRDefault="005C6640" w:rsidP="00DD3744">
      <w:pPr>
        <w:spacing w:line="480" w:lineRule="auto"/>
        <w:rPr>
          <w:rFonts w:eastAsia="Times New Roman"/>
        </w:rPr>
      </w:pPr>
      <w:r>
        <w:rPr>
          <w:rFonts w:eastAsia="Times New Roman"/>
        </w:rPr>
        <w:t>Participant’s Signature ________________________ Date ____________</w:t>
      </w:r>
    </w:p>
    <w:p w:rsidR="00AA3D25" w:rsidRDefault="00AA3D25" w:rsidP="00DD3744">
      <w:pPr>
        <w:spacing w:line="480" w:lineRule="auto"/>
      </w:pPr>
    </w:p>
    <w:p w:rsidR="00AA3D25" w:rsidRDefault="005C6640" w:rsidP="00DD3744">
      <w:pPr>
        <w:spacing w:line="480" w:lineRule="auto"/>
      </w:pPr>
      <w:r>
        <w:t>Researcher’s signature ________________________ Date ____________</w:t>
      </w:r>
    </w:p>
    <w:p w:rsidR="00AA3D25" w:rsidRDefault="00AA3D25" w:rsidP="00DD3744">
      <w:pPr>
        <w:spacing w:line="480" w:lineRule="auto"/>
        <w:rPr>
          <w:rFonts w:eastAsia="Calibri"/>
          <w:b/>
        </w:rPr>
      </w:pPr>
    </w:p>
    <w:p w:rsidR="00AA3D25" w:rsidRDefault="005C6640" w:rsidP="00DD3744">
      <w:pPr>
        <w:spacing w:line="480" w:lineRule="auto"/>
        <w:rPr>
          <w:rFonts w:eastAsia="Calibri"/>
        </w:rPr>
      </w:pPr>
      <w:r>
        <w:br w:type="page"/>
      </w:r>
    </w:p>
    <w:p w:rsidR="00AA3D25" w:rsidRDefault="005C6640" w:rsidP="00DD3744">
      <w:pPr>
        <w:pStyle w:val="Heading1"/>
      </w:pPr>
      <w:bookmarkStart w:id="452" w:name="_Toc533852541"/>
      <w:r>
        <w:lastRenderedPageBreak/>
        <w:t>Appendix B: Letter of Invitation</w:t>
      </w:r>
      <w:bookmarkEnd w:id="452"/>
    </w:p>
    <w:p w:rsidR="00AA3D25" w:rsidRDefault="00AA3D25" w:rsidP="00DD3744">
      <w:pPr>
        <w:spacing w:line="480" w:lineRule="auto"/>
        <w:rPr>
          <w:rFonts w:eastAsia="Times New Roman"/>
          <w:b/>
        </w:rPr>
      </w:pPr>
    </w:p>
    <w:p w:rsidR="00AA3D25" w:rsidRDefault="005C6640" w:rsidP="00DD3744">
      <w:pPr>
        <w:spacing w:line="480" w:lineRule="auto"/>
        <w:rPr>
          <w:rFonts w:eastAsia="Times New Roman"/>
        </w:rPr>
      </w:pPr>
      <w:r>
        <w:rPr>
          <w:rFonts w:eastAsia="Times New Roman"/>
        </w:rPr>
        <w:t>Dear Sir or Madam:</w:t>
      </w:r>
    </w:p>
    <w:p w:rsidR="00AA3D25" w:rsidRDefault="00AA3D25" w:rsidP="00DD3744">
      <w:pPr>
        <w:spacing w:line="480" w:lineRule="auto"/>
        <w:rPr>
          <w:rFonts w:eastAsia="Times New Roman"/>
        </w:rPr>
      </w:pPr>
    </w:p>
    <w:p w:rsidR="00AA3D25" w:rsidRDefault="005C6640" w:rsidP="00DD3744">
      <w:pPr>
        <w:spacing w:line="480" w:lineRule="auto"/>
        <w:rPr>
          <w:rFonts w:eastAsia="Times New Roman"/>
        </w:rPr>
      </w:pPr>
      <w:r>
        <w:rPr>
          <w:rFonts w:eastAsia="Times New Roman"/>
        </w:rPr>
        <w:t>My name is Sidra, I am completing my degree of M.Sc. in Disability Studies at the University of Manitoba. I am currently working on my thesis project. The title of the study is “</w:t>
      </w:r>
      <w:r>
        <w:rPr>
          <w:color w:val="000000"/>
        </w:rPr>
        <w:t>Accessibility: Physicians’ Perspective Regarding Disability and Continuum of Care in the Contemporary Canadian Healthcare.” This study is approved by Joint Faculty Research Ethics Board of University of Manitoba.</w:t>
      </w:r>
    </w:p>
    <w:p w:rsidR="00AA3D25" w:rsidRDefault="00AA3D25" w:rsidP="00DD3744">
      <w:pPr>
        <w:spacing w:line="480" w:lineRule="auto"/>
        <w:rPr>
          <w:rFonts w:eastAsia="Times New Roman"/>
        </w:rPr>
      </w:pPr>
    </w:p>
    <w:p w:rsidR="00AA3D25" w:rsidRDefault="005C6640" w:rsidP="00DD3744">
      <w:pPr>
        <w:spacing w:line="480" w:lineRule="auto"/>
        <w:rPr>
          <w:rFonts w:eastAsia="Calibri"/>
        </w:rPr>
      </w:pPr>
      <w:r>
        <w:t>The aim</w:t>
      </w:r>
      <w:r>
        <w:rPr>
          <w:rFonts w:eastAsia="Calibri"/>
        </w:rPr>
        <w:t xml:space="preserve"> of this research is to explore, through qualitative research methods, physicians’ perspectives on healthcare access and quality of care for </w:t>
      </w:r>
      <w:r>
        <w:t>People with disability</w:t>
      </w:r>
      <w:r>
        <w:rPr>
          <w:rFonts w:eastAsia="Calibri"/>
        </w:rPr>
        <w:t>. Fu</w:t>
      </w:r>
      <w:r>
        <w:t xml:space="preserve">rther, the study will highlight </w:t>
      </w:r>
      <w:r>
        <w:rPr>
          <w:rFonts w:eastAsia="Calibri"/>
        </w:rPr>
        <w:t xml:space="preserve">physicians’ knowledge about the resources </w:t>
      </w:r>
      <w:r>
        <w:t>in society. In interview the questions would focus on perception about accessibility and resources in society, time needed to see a patient with disability, and views about current educational training and policies around disability.</w:t>
      </w:r>
    </w:p>
    <w:p w:rsidR="00AA3D25" w:rsidRDefault="00AA3D25" w:rsidP="00DD3744">
      <w:pPr>
        <w:spacing w:line="480" w:lineRule="auto"/>
        <w:rPr>
          <w:rFonts w:eastAsia="Calibri"/>
        </w:rPr>
      </w:pPr>
    </w:p>
    <w:p w:rsidR="00AA3D25" w:rsidRDefault="005C6640" w:rsidP="00DD3744">
      <w:pPr>
        <w:spacing w:line="480" w:lineRule="auto"/>
      </w:pPr>
      <w:r>
        <w:t xml:space="preserve">Your participation will undeniably contribute a valuable perspective from physicians’ point of view regarding accessibility and their interaction with people with disability.  This could lead to better overall understanding and foundation for policy makers. If you would decide to be a part of the study, you would be asked to meet me for an interview. It would last for approximately 40 to 60 minutes and would be recorded. Each participant will be assigned a number and personal identifiers would not be revealed. There is no compensation or reimbursement involved for </w:t>
      </w:r>
      <w:r>
        <w:lastRenderedPageBreak/>
        <w:t>participating in this study. There is minimal risk involved in the study as encountered in daily life.</w:t>
      </w:r>
    </w:p>
    <w:p w:rsidR="00AA3D25" w:rsidRDefault="00AA3D25" w:rsidP="00DD3744">
      <w:pPr>
        <w:spacing w:line="480" w:lineRule="auto"/>
      </w:pPr>
    </w:p>
    <w:p w:rsidR="00AA3D25" w:rsidRDefault="005C6640" w:rsidP="00DD3744">
      <w:pPr>
        <w:spacing w:line="480" w:lineRule="auto"/>
      </w:pPr>
      <w:r>
        <w:t xml:space="preserve">I am hoping you would be able to suggest a convenient time and location for me to come and talk to you. I can come to the clinic if it is feasible and I am available in the evenings and on weekends. I would like to have the response by the end of two weeks on ____________. </w:t>
      </w:r>
      <w:r>
        <w:rPr>
          <w:rFonts w:eastAsia="Times New Roman"/>
        </w:rPr>
        <w:t xml:space="preserve">You are free to withdraw from the study at any time, and /or refrain from answering any questions you prefer to omit, without prejudice or consequence. </w:t>
      </w:r>
      <w:r>
        <w:t>If you have any questions, please do not hesitate to ask.</w:t>
      </w:r>
    </w:p>
    <w:p w:rsidR="00AA3D25" w:rsidRDefault="00AA3D25" w:rsidP="00DD3744">
      <w:pPr>
        <w:spacing w:line="480" w:lineRule="auto"/>
      </w:pPr>
    </w:p>
    <w:p w:rsidR="00AA3D25" w:rsidRDefault="005C6640" w:rsidP="00DD3744">
      <w:pPr>
        <w:spacing w:line="480" w:lineRule="auto"/>
      </w:pPr>
      <w:r>
        <w:t>Contact information is as follows:</w:t>
      </w:r>
    </w:p>
    <w:p w:rsidR="00AA3D25" w:rsidRDefault="00AA3D25" w:rsidP="00DD3744">
      <w:pPr>
        <w:spacing w:line="480" w:lineRule="auto"/>
      </w:pPr>
    </w:p>
    <w:p w:rsidR="00AA3D25" w:rsidRDefault="005C6640" w:rsidP="00DD3744">
      <w:pPr>
        <w:pStyle w:val="NoSpacing"/>
        <w:spacing w:line="480" w:lineRule="auto"/>
        <w:rPr>
          <w:rFonts w:ascii="Times New Roman" w:hAnsi="Times New Roman" w:cs="Times New Roman"/>
        </w:rPr>
      </w:pPr>
      <w:r>
        <w:rPr>
          <w:rFonts w:ascii="Times New Roman" w:hAnsi="Times New Roman" w:cs="Times New Roman"/>
          <w:b/>
        </w:rPr>
        <w:t>Principal Investigator:</w:t>
      </w:r>
      <w:r>
        <w:rPr>
          <w:rFonts w:ascii="Times New Roman" w:hAnsi="Times New Roman" w:cs="Times New Roman"/>
        </w:rPr>
        <w:t xml:space="preserve"> </w:t>
      </w: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Sidra Jawed</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Graduate student</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M.Sc. Disability Studies Room 128 Education Building</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71 Curry Place, University of Manitoba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R3T 2N2</w:t>
      </w:r>
    </w:p>
    <w:p w:rsidR="00AA3D25" w:rsidRDefault="005E1737" w:rsidP="005E1737">
      <w:pPr>
        <w:pStyle w:val="NoSpacing"/>
        <w:spacing w:line="480" w:lineRule="auto"/>
      </w:pPr>
      <w:hyperlink r:id="rId33" w:history="1">
        <w:r w:rsidRPr="008D56C8">
          <w:rPr>
            <w:rStyle w:val="Hyperlink"/>
            <w:rFonts w:ascii="Times New Roman" w:hAnsi="Times New Roman" w:cs="Times New Roman"/>
            <w:vanish/>
            <w:webHidden/>
          </w:rPr>
          <w:t>jaweds@myumanitoba.ca</w:t>
        </w:r>
      </w:hyperlink>
    </w:p>
    <w:p w:rsidR="00AA3D25" w:rsidRDefault="00AA3D25" w:rsidP="00DD3744">
      <w:pPr>
        <w:spacing w:line="480" w:lineRule="auto"/>
      </w:pPr>
    </w:p>
    <w:p w:rsidR="00AA3D25" w:rsidRDefault="00AA3D25" w:rsidP="00DD3744">
      <w:pPr>
        <w:spacing w:line="480" w:lineRule="auto"/>
      </w:pPr>
    </w:p>
    <w:p w:rsidR="00AA3D25" w:rsidRDefault="005C6640" w:rsidP="00DD3744">
      <w:pPr>
        <w:spacing w:line="480" w:lineRule="auto"/>
        <w:rPr>
          <w:rFonts w:eastAsia="Times New Roman"/>
        </w:rPr>
      </w:pPr>
      <w:r>
        <w:rPr>
          <w:rFonts w:eastAsia="Times New Roman"/>
          <w:b/>
        </w:rPr>
        <w:t>Research Supervisors:</w:t>
      </w: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Dr. Nancy Hansen</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Director of the Interdisciplinary Master’s Program in Disability Studies</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Room 128 Education Building</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71 Curry Place, University of Manitoba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Canada</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R3T 2N2</w:t>
      </w:r>
    </w:p>
    <w:p w:rsidR="00AA3D25" w:rsidRDefault="005C6640" w:rsidP="00DD3744">
      <w:pPr>
        <w:pStyle w:val="NoSpacing"/>
        <w:spacing w:line="480" w:lineRule="auto"/>
        <w:ind w:left="720"/>
      </w:pPr>
      <w:r>
        <w:rPr>
          <w:rFonts w:ascii="Times New Roman" w:hAnsi="Times New Roman" w:cs="Times New Roman"/>
        </w:rPr>
        <w:t xml:space="preserve"> </w:t>
      </w:r>
      <w:hyperlink r:id="rId34">
        <w:r>
          <w:rPr>
            <w:rStyle w:val="InternetLink"/>
            <w:rFonts w:ascii="Times New Roman" w:hAnsi="Times New Roman" w:cs="Times New Roman"/>
            <w:vanish/>
            <w:webHidden/>
          </w:rPr>
          <w:t>nancy.hansen@umanitoba.ca</w:t>
        </w:r>
      </w:hyperlink>
    </w:p>
    <w:p w:rsidR="00AA3D25" w:rsidRDefault="00AA3D25" w:rsidP="00DD3744">
      <w:pPr>
        <w:pStyle w:val="NoSpacing"/>
        <w:spacing w:line="480" w:lineRule="auto"/>
        <w:ind w:left="720"/>
        <w:rPr>
          <w:rFonts w:ascii="Times New Roman" w:hAnsi="Times New Roman" w:cs="Times New Roman"/>
        </w:rPr>
      </w:pPr>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 xml:space="preserve">Dr. Deborah McPhail, </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Assistant Professor, Community Health Sciences</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S108F Medical Services Bldg.</w:t>
      </w:r>
    </w:p>
    <w:p w:rsidR="00AA3D25" w:rsidRDefault="005C6640" w:rsidP="00DD3744">
      <w:pPr>
        <w:pStyle w:val="NoSpacing"/>
        <w:spacing w:line="480" w:lineRule="auto"/>
        <w:ind w:left="720"/>
        <w:rPr>
          <w:rFonts w:ascii="Times New Roman" w:hAnsi="Times New Roman" w:cs="Times New Roman"/>
        </w:rPr>
      </w:pPr>
      <w:proofErr w:type="spellStart"/>
      <w:r>
        <w:rPr>
          <w:rFonts w:ascii="Times New Roman" w:hAnsi="Times New Roman" w:cs="Times New Roman"/>
        </w:rPr>
        <w:t>McDermot</w:t>
      </w:r>
      <w:proofErr w:type="spellEnd"/>
      <w:r>
        <w:rPr>
          <w:rFonts w:ascii="Times New Roman" w:hAnsi="Times New Roman" w:cs="Times New Roman"/>
        </w:rPr>
        <w:t xml:space="preserve"> Avenue,</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Manitoba R3E 0T6</w:t>
      </w:r>
    </w:p>
    <w:p w:rsidR="00AA3D25" w:rsidRDefault="001D0438" w:rsidP="00DD3744">
      <w:pPr>
        <w:pStyle w:val="NoSpacing"/>
        <w:spacing w:line="480" w:lineRule="auto"/>
        <w:ind w:left="720"/>
      </w:pPr>
      <w:hyperlink r:id="rId35">
        <w:r w:rsidR="005C6640">
          <w:rPr>
            <w:rStyle w:val="InternetLink"/>
            <w:rFonts w:ascii="Times New Roman" w:hAnsi="Times New Roman" w:cs="Times New Roman"/>
            <w:vanish/>
            <w:webHidden/>
          </w:rPr>
          <w:t>Deborah.McPhail@umanitoba.ca</w:t>
        </w:r>
      </w:hyperlink>
    </w:p>
    <w:p w:rsidR="00AA3D25" w:rsidRDefault="00AA3D25" w:rsidP="00DD3744">
      <w:pPr>
        <w:pStyle w:val="NoSpacing"/>
        <w:spacing w:line="480" w:lineRule="auto"/>
        <w:ind w:left="720"/>
        <w:rPr>
          <w:rFonts w:ascii="Times New Roman" w:hAnsi="Times New Roman" w:cs="Times New Roman"/>
        </w:rPr>
      </w:pPr>
    </w:p>
    <w:p w:rsidR="00AA3D25" w:rsidRDefault="005C6640" w:rsidP="00DD3744">
      <w:pPr>
        <w:spacing w:line="480" w:lineRule="auto"/>
        <w:rPr>
          <w:rFonts w:eastAsia="Times New Roman"/>
          <w:b/>
        </w:rPr>
      </w:pPr>
      <w:r>
        <w:rPr>
          <w:rFonts w:eastAsia="Times New Roman"/>
          <w:b/>
        </w:rPr>
        <w:t>Human Ethics Coordinator</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Crop Technology Centre</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208-194 Dafoe Road</w:t>
      </w:r>
    </w:p>
    <w:p w:rsidR="00AA3D25" w:rsidRDefault="005C6640" w:rsidP="00DD3744">
      <w:pPr>
        <w:pStyle w:val="NoSpacing"/>
        <w:spacing w:line="480" w:lineRule="auto"/>
        <w:ind w:left="720"/>
        <w:rPr>
          <w:rFonts w:ascii="Times New Roman" w:hAnsi="Times New Roman" w:cs="Times New Roman"/>
        </w:rPr>
      </w:pPr>
      <w:r>
        <w:rPr>
          <w:rFonts w:ascii="Times New Roman" w:hAnsi="Times New Roman" w:cs="Times New Roman"/>
        </w:rPr>
        <w:t>Winnipeg, MB R3T 2N2</w:t>
      </w:r>
    </w:p>
    <w:p w:rsidR="00AA3D25" w:rsidRDefault="005C6640" w:rsidP="00DD3744">
      <w:pPr>
        <w:pStyle w:val="NoSpacing"/>
        <w:spacing w:line="480" w:lineRule="auto"/>
        <w:ind w:left="720"/>
        <w:rPr>
          <w:rFonts w:ascii="Times New Roman" w:hAnsi="Times New Roman" w:cs="Times New Roman"/>
          <w:color w:val="0070C0"/>
        </w:rPr>
      </w:pPr>
      <w:r>
        <w:rPr>
          <w:rFonts w:ascii="Times New Roman" w:hAnsi="Times New Roman" w:cs="Times New Roman"/>
        </w:rPr>
        <w:t xml:space="preserve">E-mail: </w:t>
      </w:r>
      <w:r>
        <w:rPr>
          <w:rFonts w:ascii="Times New Roman" w:hAnsi="Times New Roman" w:cs="Times New Roman"/>
          <w:color w:val="0070C0"/>
          <w:u w:val="single"/>
        </w:rPr>
        <w:t>humanethics@umanitoba.ca</w:t>
      </w:r>
    </w:p>
    <w:p w:rsidR="00AA3D25" w:rsidRDefault="005C6640" w:rsidP="00DD3744">
      <w:pPr>
        <w:spacing w:line="480" w:lineRule="auto"/>
        <w:rPr>
          <w:rFonts w:eastAsia="Times New Roman"/>
        </w:rPr>
      </w:pPr>
      <w:r>
        <w:rPr>
          <w:rFonts w:eastAsia="Times New Roman"/>
        </w:rPr>
        <w:lastRenderedPageBreak/>
        <w:t>Your signature on this form indicates that you have understood to your satisfaction the information regarding participation in the research project and agree to participate as a subject.</w:t>
      </w:r>
    </w:p>
    <w:p w:rsidR="00AA3D25" w:rsidRDefault="00AA3D25" w:rsidP="00DD3744">
      <w:pPr>
        <w:spacing w:line="480" w:lineRule="auto"/>
        <w:rPr>
          <w:rFonts w:eastAsia="Times New Roman"/>
        </w:rPr>
      </w:pPr>
    </w:p>
    <w:p w:rsidR="00AA3D25" w:rsidRDefault="005C6640" w:rsidP="00DD3744">
      <w:pPr>
        <w:spacing w:line="480" w:lineRule="auto"/>
        <w:rPr>
          <w:rFonts w:eastAsia="Times New Roman"/>
        </w:rPr>
      </w:pPr>
      <w:r>
        <w:rPr>
          <w:rFonts w:eastAsia="Times New Roman"/>
        </w:rPr>
        <w:t>Participant’s Signature ________________________ Date ____________</w:t>
      </w:r>
    </w:p>
    <w:p w:rsidR="00AA3D25" w:rsidRDefault="00AA3D25" w:rsidP="00DD3744">
      <w:pPr>
        <w:spacing w:line="480" w:lineRule="auto"/>
      </w:pPr>
    </w:p>
    <w:p w:rsidR="00AA3D25" w:rsidRDefault="005C6640" w:rsidP="00DD3744">
      <w:pPr>
        <w:spacing w:line="480" w:lineRule="auto"/>
      </w:pPr>
      <w:r>
        <w:t>Thank you,</w:t>
      </w:r>
    </w:p>
    <w:p w:rsidR="00AA3D25" w:rsidRDefault="005C6640" w:rsidP="00DD3744">
      <w:pPr>
        <w:spacing w:line="480" w:lineRule="auto"/>
      </w:pPr>
      <w:r>
        <w:t>Kind regards,</w:t>
      </w:r>
    </w:p>
    <w:p w:rsidR="00AA3D25" w:rsidRDefault="005C6640" w:rsidP="00DD3744">
      <w:pPr>
        <w:spacing w:line="480" w:lineRule="auto"/>
        <w:jc w:val="both"/>
      </w:pPr>
      <w:r>
        <w:t>Sidra Jawed</w:t>
      </w:r>
    </w:p>
    <w:p w:rsidR="00AA3D25" w:rsidRDefault="001D0438" w:rsidP="00DD3744">
      <w:pPr>
        <w:spacing w:line="480" w:lineRule="auto"/>
      </w:pPr>
      <w:hyperlink r:id="rId36">
        <w:r w:rsidR="005C6640">
          <w:rPr>
            <w:rStyle w:val="InternetLink"/>
            <w:vanish/>
            <w:webHidden/>
          </w:rPr>
          <w:t>jaweds@myumanitoba.ca</w:t>
        </w:r>
      </w:hyperlink>
    </w:p>
    <w:p w:rsidR="00AA3D25" w:rsidRDefault="005C6640" w:rsidP="00DD3744">
      <w:pPr>
        <w:spacing w:line="480" w:lineRule="auto"/>
      </w:pPr>
      <w:r>
        <w:br w:type="page"/>
      </w:r>
    </w:p>
    <w:p w:rsidR="00AA3D25" w:rsidRDefault="005C6640" w:rsidP="00DD3744">
      <w:pPr>
        <w:pStyle w:val="Heading1"/>
      </w:pPr>
      <w:bookmarkStart w:id="453" w:name="_Toc533852542"/>
      <w:r>
        <w:lastRenderedPageBreak/>
        <w:t>Appendix C: Interview Guide</w:t>
      </w:r>
      <w:bookmarkEnd w:id="453"/>
    </w:p>
    <w:p w:rsidR="00AA3D25" w:rsidRDefault="005C6640" w:rsidP="00DD3744">
      <w:pPr>
        <w:pStyle w:val="NormalWeb"/>
        <w:spacing w:line="480" w:lineRule="auto"/>
        <w:rPr>
          <w:rStyle w:val="Strong"/>
        </w:rPr>
      </w:pPr>
      <w:bookmarkStart w:id="454" w:name="_Toc449046758"/>
      <w:bookmarkEnd w:id="454"/>
      <w:r>
        <w:rPr>
          <w:rStyle w:val="Strong"/>
        </w:rPr>
        <w:t>Introduction</w:t>
      </w:r>
    </w:p>
    <w:p w:rsidR="00AA3D25" w:rsidRDefault="00AA3D25" w:rsidP="00DD3744">
      <w:pPr>
        <w:widowControl w:val="0"/>
        <w:spacing w:line="480" w:lineRule="auto"/>
      </w:pPr>
    </w:p>
    <w:p w:rsidR="00AA3D25" w:rsidRDefault="005C6640" w:rsidP="00DD3744">
      <w:pPr>
        <w:widowControl w:val="0"/>
        <w:spacing w:line="480" w:lineRule="auto"/>
      </w:pPr>
      <w:r>
        <w:t>1. Tell me something about your practice.</w:t>
      </w:r>
    </w:p>
    <w:p w:rsidR="00AA3D25" w:rsidRDefault="005C6640" w:rsidP="00DD3744">
      <w:pPr>
        <w:pStyle w:val="ListParagraph"/>
        <w:widowControl w:val="0"/>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Do you have walk-in services? </w:t>
      </w:r>
    </w:p>
    <w:p w:rsidR="00AA3D25" w:rsidRDefault="005C6640" w:rsidP="00DD3744">
      <w:pPr>
        <w:pStyle w:val="ListParagraph"/>
        <w:widowControl w:val="0"/>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How long have you been working in this clinic? How long ago did you begin this clinic? How many other physicians work here? </w:t>
      </w:r>
    </w:p>
    <w:p w:rsidR="00AA3D25" w:rsidRDefault="005C6640" w:rsidP="00DD3744">
      <w:pPr>
        <w:pStyle w:val="ListParagraph"/>
        <w:widowControl w:val="0"/>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Are there nurses, PAs, other allied health professionals? </w:t>
      </w:r>
    </w:p>
    <w:p w:rsidR="00AA3D25" w:rsidRDefault="005C6640" w:rsidP="00DD3744">
      <w:pPr>
        <w:pStyle w:val="ListParagraph"/>
        <w:widowControl w:val="0"/>
        <w:numPr>
          <w:ilvl w:val="0"/>
          <w:numId w:val="1"/>
        </w:numPr>
        <w:spacing w:after="0" w:line="480" w:lineRule="auto"/>
        <w:rPr>
          <w:rFonts w:ascii="Times New Roman" w:hAnsi="Times New Roman" w:cs="Times New Roman"/>
          <w:sz w:val="24"/>
          <w:szCs w:val="24"/>
        </w:rPr>
      </w:pPr>
      <w:r>
        <w:rPr>
          <w:rFonts w:ascii="Times New Roman" w:hAnsi="Times New Roman" w:cs="Times New Roman"/>
          <w:sz w:val="24"/>
          <w:szCs w:val="24"/>
        </w:rPr>
        <w:t>How many patients does the clinic serve approximately?</w:t>
      </w:r>
    </w:p>
    <w:p w:rsidR="00AA3D25" w:rsidRDefault="00AA3D25" w:rsidP="00DD3744">
      <w:pPr>
        <w:widowControl w:val="0"/>
        <w:spacing w:line="480" w:lineRule="auto"/>
      </w:pPr>
    </w:p>
    <w:p w:rsidR="00AA3D25" w:rsidRDefault="005C6640" w:rsidP="00DD3744">
      <w:pPr>
        <w:widowControl w:val="0"/>
        <w:spacing w:line="480" w:lineRule="auto"/>
      </w:pPr>
      <w:r>
        <w:t xml:space="preserve">2. On average, what type of patients do you typically see at your practice? (i.e., what populations do you primarily serve?) </w:t>
      </w:r>
    </w:p>
    <w:p w:rsidR="00AA3D25" w:rsidRDefault="005C6640" w:rsidP="00DD3744">
      <w:pPr>
        <w:widowControl w:val="0"/>
        <w:spacing w:line="480" w:lineRule="auto"/>
        <w:ind w:firstLine="720"/>
      </w:pPr>
      <w:r>
        <w:t>Probes: What would you say is the general socio-economic status of your patients? Other social markers? (Race, sexuality, disability/ ability, housing, status, etc.).</w:t>
      </w:r>
    </w:p>
    <w:p w:rsidR="00AA3D25" w:rsidRDefault="00AA3D25" w:rsidP="00DD3744">
      <w:pPr>
        <w:widowControl w:val="0"/>
        <w:spacing w:line="480" w:lineRule="auto"/>
      </w:pPr>
    </w:p>
    <w:p w:rsidR="00AA3D25" w:rsidRDefault="005C6640" w:rsidP="00DD3744">
      <w:pPr>
        <w:widowControl w:val="0"/>
        <w:spacing w:line="480" w:lineRule="auto"/>
      </w:pPr>
      <w:r>
        <w:t xml:space="preserve">3. What about patients with disabilities? Do you see PWD? </w:t>
      </w:r>
    </w:p>
    <w:p w:rsidR="00AA3D25" w:rsidRDefault="005C6640" w:rsidP="00DD3744">
      <w:pPr>
        <w:pStyle w:val="ListParagraph"/>
        <w:widowControl w:val="0"/>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On average, how many PWD would you see in a day? In a week? In a year? </w:t>
      </w:r>
    </w:p>
    <w:p w:rsidR="00AA3D25" w:rsidRDefault="005C6640" w:rsidP="00DD3744">
      <w:pPr>
        <w:pStyle w:val="ListParagraph"/>
        <w:widowControl w:val="0"/>
        <w:numPr>
          <w:ilvl w:val="0"/>
          <w:numId w:val="2"/>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What type of disability do you usually come across? </w:t>
      </w:r>
    </w:p>
    <w:p w:rsidR="00AA3D25" w:rsidRDefault="005C6640" w:rsidP="00DD3744">
      <w:pPr>
        <w:pStyle w:val="ListParagraph"/>
        <w:widowControl w:val="0"/>
        <w:spacing w:after="0" w:line="480" w:lineRule="auto"/>
        <w:rPr>
          <w:rFonts w:ascii="Times New Roman" w:hAnsi="Times New Roman" w:cs="Times New Roman"/>
          <w:sz w:val="24"/>
          <w:szCs w:val="24"/>
        </w:rPr>
      </w:pPr>
      <w:r>
        <w:rPr>
          <w:rFonts w:ascii="Times New Roman" w:hAnsi="Times New Roman" w:cs="Times New Roman"/>
          <w:sz w:val="24"/>
          <w:szCs w:val="24"/>
        </w:rPr>
        <w:t xml:space="preserve"> Probes: Invisible disability, chronic conditions etc.</w:t>
      </w:r>
    </w:p>
    <w:p w:rsidR="00AA3D25" w:rsidRDefault="00AA3D25" w:rsidP="00DD3744">
      <w:pPr>
        <w:widowControl w:val="0"/>
        <w:spacing w:line="480" w:lineRule="auto"/>
      </w:pPr>
    </w:p>
    <w:p w:rsidR="00AA3D25" w:rsidRDefault="005C6640" w:rsidP="00DD3744">
      <w:pPr>
        <w:pStyle w:val="NormalWeb"/>
        <w:spacing w:line="480" w:lineRule="auto"/>
        <w:rPr>
          <w:rStyle w:val="Strong"/>
        </w:rPr>
      </w:pPr>
      <w:bookmarkStart w:id="455" w:name="_Toc449046759"/>
      <w:bookmarkEnd w:id="455"/>
      <w:r>
        <w:rPr>
          <w:rStyle w:val="Strong"/>
        </w:rPr>
        <w:t>Disability and Accessibility</w:t>
      </w:r>
    </w:p>
    <w:p w:rsidR="00AA3D25" w:rsidRDefault="00AA3D25" w:rsidP="00DD3744">
      <w:pPr>
        <w:widowControl w:val="0"/>
        <w:spacing w:line="480" w:lineRule="auto"/>
      </w:pPr>
    </w:p>
    <w:p w:rsidR="00AA3D25" w:rsidRDefault="005C6640" w:rsidP="00DD3744">
      <w:pPr>
        <w:widowControl w:val="0"/>
        <w:spacing w:line="480" w:lineRule="auto"/>
      </w:pPr>
      <w:r>
        <w:t>4. Would you say your clinic is accessible for PWD? Why or why not?</w:t>
      </w:r>
    </w:p>
    <w:p w:rsidR="00AA3D25" w:rsidRDefault="00AA3D25" w:rsidP="00DD3744">
      <w:pPr>
        <w:widowControl w:val="0"/>
        <w:spacing w:line="480" w:lineRule="auto"/>
      </w:pPr>
    </w:p>
    <w:p w:rsidR="00AA3D25" w:rsidRDefault="005C6640" w:rsidP="00DD3744">
      <w:pPr>
        <w:widowControl w:val="0"/>
        <w:spacing w:line="480" w:lineRule="auto"/>
      </w:pPr>
      <w:r>
        <w:t xml:space="preserve">5. More specifically, I would like to ask about the entrance, the reception area, examination </w:t>
      </w:r>
    </w:p>
    <w:p w:rsidR="00AA3D25" w:rsidRDefault="005C6640" w:rsidP="00DD3744">
      <w:pPr>
        <w:widowControl w:val="0"/>
        <w:spacing w:line="480" w:lineRule="auto"/>
      </w:pPr>
      <w:r>
        <w:t>tables and bathrooms. Are these accessible for PWD?</w:t>
      </w:r>
    </w:p>
    <w:p w:rsidR="00AA3D25" w:rsidRDefault="00AA3D25" w:rsidP="00DD3744">
      <w:pPr>
        <w:widowControl w:val="0"/>
        <w:spacing w:line="480" w:lineRule="auto"/>
      </w:pPr>
    </w:p>
    <w:p w:rsidR="00AA3D25" w:rsidRDefault="005C6640" w:rsidP="00DD3744">
      <w:pPr>
        <w:widowControl w:val="0"/>
        <w:spacing w:line="480" w:lineRule="auto"/>
      </w:pPr>
      <w:r>
        <w:t>6. When you were thinking about setting up the clinic, did you think about accessibility?</w:t>
      </w:r>
    </w:p>
    <w:p w:rsidR="00AA3D25" w:rsidRDefault="005C6640" w:rsidP="00DD3744">
      <w:pPr>
        <w:pStyle w:val="ListParagraph"/>
        <w:widowControl w:val="0"/>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How do you on the whole approach disability? </w:t>
      </w:r>
    </w:p>
    <w:p w:rsidR="00AA3D25" w:rsidRDefault="005C6640" w:rsidP="00DD3744">
      <w:pPr>
        <w:pStyle w:val="ListParagraph"/>
        <w:widowControl w:val="0"/>
        <w:numPr>
          <w:ilvl w:val="0"/>
          <w:numId w:val="4"/>
        </w:numPr>
        <w:spacing w:after="0" w:line="480" w:lineRule="auto"/>
        <w:rPr>
          <w:rFonts w:ascii="Times New Roman" w:hAnsi="Times New Roman" w:cs="Times New Roman"/>
          <w:sz w:val="24"/>
          <w:szCs w:val="24"/>
        </w:rPr>
      </w:pPr>
      <w:r>
        <w:rPr>
          <w:rFonts w:ascii="Times New Roman" w:hAnsi="Times New Roman" w:cs="Times New Roman"/>
          <w:sz w:val="24"/>
          <w:szCs w:val="24"/>
        </w:rPr>
        <w:t>How does your clinic approach disability?</w:t>
      </w:r>
    </w:p>
    <w:p w:rsidR="00AA3D25" w:rsidRDefault="00AA3D25" w:rsidP="00DD3744">
      <w:pPr>
        <w:widowControl w:val="0"/>
        <w:spacing w:line="480" w:lineRule="auto"/>
      </w:pPr>
    </w:p>
    <w:p w:rsidR="00AA3D25" w:rsidRDefault="005C6640" w:rsidP="00DD3744">
      <w:pPr>
        <w:widowControl w:val="0"/>
        <w:spacing w:line="480" w:lineRule="auto"/>
      </w:pPr>
      <w:r>
        <w:t xml:space="preserve">7. Do you think people with disability need more time for assessment? If yes, do you allot more time? </w:t>
      </w:r>
    </w:p>
    <w:p w:rsidR="00AA3D25" w:rsidRDefault="005C6640" w:rsidP="00DD3744">
      <w:pPr>
        <w:pStyle w:val="ListParagraph"/>
        <w:widowControl w:val="0"/>
        <w:numPr>
          <w:ilvl w:val="0"/>
          <w:numId w:val="3"/>
        </w:numPr>
        <w:spacing w:after="0" w:line="480" w:lineRule="auto"/>
        <w:rPr>
          <w:rFonts w:ascii="Times New Roman" w:hAnsi="Times New Roman" w:cs="Times New Roman"/>
          <w:sz w:val="24"/>
          <w:szCs w:val="24"/>
        </w:rPr>
      </w:pPr>
      <w:r>
        <w:rPr>
          <w:rFonts w:ascii="Times New Roman" w:hAnsi="Times New Roman" w:cs="Times New Roman"/>
          <w:sz w:val="24"/>
          <w:szCs w:val="24"/>
        </w:rPr>
        <w:t>In an ideal world would you want to have more time for assessment?</w:t>
      </w:r>
    </w:p>
    <w:p w:rsidR="00AA3D25" w:rsidRDefault="00AA3D25" w:rsidP="00DD3744">
      <w:pPr>
        <w:widowControl w:val="0"/>
        <w:spacing w:line="480" w:lineRule="auto"/>
      </w:pPr>
    </w:p>
    <w:p w:rsidR="00AA3D25" w:rsidRDefault="005C6640" w:rsidP="00DD3744">
      <w:pPr>
        <w:pStyle w:val="NormalWeb"/>
        <w:spacing w:line="480" w:lineRule="auto"/>
        <w:rPr>
          <w:rStyle w:val="Strong"/>
        </w:rPr>
      </w:pPr>
      <w:bookmarkStart w:id="456" w:name="_Toc511034442"/>
      <w:bookmarkStart w:id="457" w:name="_Toc449046760"/>
      <w:bookmarkEnd w:id="456"/>
      <w:bookmarkEnd w:id="457"/>
      <w:r>
        <w:rPr>
          <w:rStyle w:val="Strong"/>
        </w:rPr>
        <w:t>Education</w:t>
      </w:r>
    </w:p>
    <w:p w:rsidR="00AA3D25" w:rsidRDefault="00AA3D25" w:rsidP="00DD3744">
      <w:pPr>
        <w:widowControl w:val="0"/>
        <w:spacing w:line="480" w:lineRule="auto"/>
      </w:pPr>
    </w:p>
    <w:p w:rsidR="00AA3D25" w:rsidRDefault="005C6640" w:rsidP="00DD3744">
      <w:pPr>
        <w:widowControl w:val="0"/>
        <w:spacing w:line="480" w:lineRule="auto"/>
      </w:pPr>
      <w:r>
        <w:t xml:space="preserve">8. In your opinion, what can help you as a physician to provide the best care for people with disability? </w:t>
      </w:r>
    </w:p>
    <w:p w:rsidR="00AA3D25" w:rsidRDefault="005C6640" w:rsidP="00DD3744">
      <w:pPr>
        <w:pStyle w:val="ListParagraph"/>
        <w:widowControl w:val="0"/>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Do you remember having any type of training about disability in your medical training? </w:t>
      </w:r>
    </w:p>
    <w:p w:rsidR="00AA3D25" w:rsidRDefault="005C6640" w:rsidP="00DD3744">
      <w:pPr>
        <w:pStyle w:val="ListParagraph"/>
        <w:widowControl w:val="0"/>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Do you think you were appropriately prepared to interact with people with disability? </w:t>
      </w:r>
    </w:p>
    <w:p w:rsidR="00AA3D25" w:rsidRDefault="005C6640" w:rsidP="00DD3744">
      <w:pPr>
        <w:pStyle w:val="ListParagraph"/>
        <w:widowControl w:val="0"/>
        <w:numPr>
          <w:ilvl w:val="0"/>
          <w:numId w:val="5"/>
        </w:numPr>
        <w:spacing w:after="0" w:line="480" w:lineRule="auto"/>
        <w:rPr>
          <w:rFonts w:ascii="Times New Roman" w:hAnsi="Times New Roman" w:cs="Times New Roman"/>
          <w:sz w:val="24"/>
          <w:szCs w:val="24"/>
        </w:rPr>
      </w:pPr>
      <w:r>
        <w:rPr>
          <w:rFonts w:ascii="Times New Roman" w:hAnsi="Times New Roman" w:cs="Times New Roman"/>
          <w:sz w:val="24"/>
          <w:szCs w:val="24"/>
        </w:rPr>
        <w:t>What other elements can help will help you to serve people with disability in best way? Probes: What do you think about ongoing education?</w:t>
      </w:r>
    </w:p>
    <w:p w:rsidR="00AA3D25" w:rsidRDefault="00AA3D25" w:rsidP="00DD3744">
      <w:pPr>
        <w:widowControl w:val="0"/>
        <w:spacing w:line="480" w:lineRule="auto"/>
      </w:pPr>
    </w:p>
    <w:p w:rsidR="00AA3D25" w:rsidRDefault="005C6640" w:rsidP="00DD3744">
      <w:pPr>
        <w:widowControl w:val="0"/>
        <w:spacing w:line="480" w:lineRule="auto"/>
      </w:pPr>
      <w:r>
        <w:t xml:space="preserve">9. What is your point of view on policies around accessibility for clinics and other hospitals?  </w:t>
      </w:r>
    </w:p>
    <w:p w:rsidR="00AA3D25" w:rsidRDefault="005C6640" w:rsidP="00DD3744">
      <w:pPr>
        <w:pStyle w:val="ListParagraph"/>
        <w:widowControl w:val="0"/>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 xml:space="preserve">Do you think that PWD might experience problems accessing healthcare? </w:t>
      </w:r>
    </w:p>
    <w:p w:rsidR="00AA3D25" w:rsidRDefault="005C6640" w:rsidP="00DD3744">
      <w:pPr>
        <w:pStyle w:val="ListParagraph"/>
        <w:widowControl w:val="0"/>
        <w:numPr>
          <w:ilvl w:val="0"/>
          <w:numId w:val="6"/>
        </w:numPr>
        <w:spacing w:after="0" w:line="480" w:lineRule="auto"/>
        <w:rPr>
          <w:rFonts w:ascii="Times New Roman" w:hAnsi="Times New Roman" w:cs="Times New Roman"/>
          <w:sz w:val="24"/>
          <w:szCs w:val="24"/>
        </w:rPr>
      </w:pPr>
      <w:r>
        <w:rPr>
          <w:rFonts w:ascii="Times New Roman" w:hAnsi="Times New Roman" w:cs="Times New Roman"/>
          <w:sz w:val="24"/>
          <w:szCs w:val="24"/>
        </w:rPr>
        <w:t>Do you think there should be more laws around it?</w:t>
      </w:r>
    </w:p>
    <w:p w:rsidR="00AA3D25" w:rsidRDefault="00AA3D25" w:rsidP="00DD3744">
      <w:pPr>
        <w:widowControl w:val="0"/>
        <w:spacing w:line="480" w:lineRule="auto"/>
      </w:pPr>
    </w:p>
    <w:p w:rsidR="00AA3D25" w:rsidRDefault="005C6640" w:rsidP="00DD3744">
      <w:pPr>
        <w:widowControl w:val="0"/>
        <w:spacing w:line="480" w:lineRule="auto"/>
      </w:pPr>
      <w:r>
        <w:t>10. If government decides to allocate some money in terms of accessibility, how would you use it?</w:t>
      </w:r>
    </w:p>
    <w:p w:rsidR="00AA3D25" w:rsidRDefault="00AA3D25" w:rsidP="00DD3744">
      <w:pPr>
        <w:widowControl w:val="0"/>
        <w:spacing w:line="480" w:lineRule="auto"/>
      </w:pPr>
    </w:p>
    <w:p w:rsidR="00AA3D25" w:rsidRDefault="005C6640" w:rsidP="00DD3744">
      <w:pPr>
        <w:widowControl w:val="0"/>
        <w:spacing w:line="480" w:lineRule="auto"/>
      </w:pPr>
      <w:r>
        <w:t xml:space="preserve">11. If you identify a disability in patient for the first time, what are the resources do you usually refer them to? </w:t>
      </w:r>
    </w:p>
    <w:p w:rsidR="00AA3D25" w:rsidRDefault="005C6640" w:rsidP="00DD3744">
      <w:pPr>
        <w:widowControl w:val="0"/>
        <w:spacing w:line="480" w:lineRule="auto"/>
        <w:ind w:firstLine="720"/>
      </w:pPr>
      <w:r>
        <w:t xml:space="preserve">Probes: Social workers, handicapped parking spaces, etc. </w:t>
      </w:r>
    </w:p>
    <w:p w:rsidR="00AA3D25" w:rsidRDefault="005C6640" w:rsidP="00DD3744">
      <w:pPr>
        <w:pStyle w:val="ListParagraph"/>
        <w:widowControl w:val="0"/>
        <w:numPr>
          <w:ilvl w:val="0"/>
          <w:numId w:val="7"/>
        </w:numPr>
        <w:spacing w:after="0" w:line="480" w:lineRule="auto"/>
        <w:rPr>
          <w:rFonts w:ascii="Times New Roman" w:hAnsi="Times New Roman" w:cs="Times New Roman"/>
          <w:sz w:val="24"/>
          <w:szCs w:val="24"/>
        </w:rPr>
      </w:pPr>
      <w:r>
        <w:rPr>
          <w:rFonts w:ascii="Times New Roman" w:hAnsi="Times New Roman" w:cs="Times New Roman"/>
          <w:sz w:val="24"/>
          <w:szCs w:val="24"/>
        </w:rPr>
        <w:t>Or if your patients have an ongoing disability what are the resources you usually refer them to?</w:t>
      </w:r>
    </w:p>
    <w:p w:rsidR="00AA3D25" w:rsidRDefault="00AA3D25" w:rsidP="00DD3744">
      <w:pPr>
        <w:widowControl w:val="0"/>
        <w:spacing w:line="480" w:lineRule="auto"/>
      </w:pPr>
    </w:p>
    <w:p w:rsidR="00AA3D25" w:rsidRDefault="005C6640" w:rsidP="00DD3744">
      <w:pPr>
        <w:spacing w:line="480" w:lineRule="auto"/>
      </w:pPr>
      <w:r>
        <w:t>12. Thank you very much. Those are all of my questions. Is there anything you would like to add that I have not asked about or ask me something?</w:t>
      </w:r>
    </w:p>
    <w:p w:rsidR="00AA3D25" w:rsidRDefault="00AA3D25" w:rsidP="00DD3744">
      <w:pPr>
        <w:spacing w:line="480" w:lineRule="auto"/>
      </w:pPr>
    </w:p>
    <w:p w:rsidR="00AA3D25" w:rsidRDefault="00AA3D25" w:rsidP="00DD3744">
      <w:pPr>
        <w:spacing w:line="480" w:lineRule="auto"/>
        <w:jc w:val="center"/>
      </w:pPr>
    </w:p>
    <w:sectPr w:rsidR="00AA3D25" w:rsidSect="00CE73D7">
      <w:headerReference w:type="first" r:id="rId37"/>
      <w:pgSz w:w="12240" w:h="15840"/>
      <w:pgMar w:top="1440" w:right="1440" w:bottom="1440" w:left="1440" w:header="720" w:footer="0" w:gutter="0"/>
      <w:pgNumType w:start="1"/>
      <w:cols w:space="720"/>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1D0438" w:rsidRDefault="001D0438">
      <w:r>
        <w:separator/>
      </w:r>
    </w:p>
  </w:endnote>
  <w:endnote w:type="continuationSeparator" w:id="0">
    <w:p w:rsidR="001D0438" w:rsidRDefault="001D043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Mangal">
    <w:panose1 w:val="02040503050203030202"/>
    <w:charset w:val="00"/>
    <w:family w:val="roman"/>
    <w:pitch w:val="variable"/>
    <w:sig w:usb0="00008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10475616"/>
      <w:docPartObj>
        <w:docPartGallery w:val="Page Numbers (Bottom of Page)"/>
        <w:docPartUnique/>
      </w:docPartObj>
    </w:sdtPr>
    <w:sdtEndPr/>
    <w:sdtContent>
      <w:p w:rsidR="00DD3744" w:rsidRDefault="001D0438">
        <w:pPr>
          <w:pStyle w:val="Footer"/>
          <w:jc w:val="right"/>
        </w:pPr>
      </w:p>
    </w:sdtContent>
  </w:sdt>
  <w:p w:rsidR="00DD3744" w:rsidRDefault="00DD37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1D0438" w:rsidRDefault="001D0438">
      <w:r>
        <w:separator/>
      </w:r>
    </w:p>
  </w:footnote>
  <w:footnote w:type="continuationSeparator" w:id="0">
    <w:p w:rsidR="001D0438" w:rsidRDefault="001D043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93889880"/>
      <w:docPartObj>
        <w:docPartGallery w:val="Page Numbers (Top of Page)"/>
        <w:docPartUnique/>
      </w:docPartObj>
    </w:sdtPr>
    <w:sdtEndPr>
      <w:rPr>
        <w:rStyle w:val="PageNumber"/>
      </w:rPr>
    </w:sdtEndPr>
    <w:sdtContent>
      <w:p w:rsidR="00DD3744" w:rsidRDefault="00DD3744" w:rsidP="00DD374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rsidR="00DD3744" w:rsidRDefault="00DD3744" w:rsidP="0029366C">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09578632"/>
      <w:docPartObj>
        <w:docPartGallery w:val="Page Numbers (Top of Page)"/>
        <w:docPartUnique/>
      </w:docPartObj>
    </w:sdtPr>
    <w:sdtEndPr>
      <w:rPr>
        <w:rStyle w:val="PageNumber"/>
      </w:rPr>
    </w:sdtEndPr>
    <w:sdtContent>
      <w:p w:rsidR="00DD3744" w:rsidRDefault="00DD3744" w:rsidP="00DD3744">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i</w:t>
        </w:r>
        <w:r>
          <w:rPr>
            <w:rStyle w:val="PageNumber"/>
          </w:rPr>
          <w:fldChar w:fldCharType="end"/>
        </w:r>
      </w:p>
    </w:sdtContent>
  </w:sdt>
  <w:p w:rsidR="00DD3744" w:rsidRDefault="00DD3744" w:rsidP="00CE73D7">
    <w:pPr>
      <w:pStyle w:val="Header"/>
      <w:tabs>
        <w:tab w:val="left" w:pos="7251"/>
        <w:tab w:val="left" w:pos="7920"/>
      </w:tabs>
      <w:ind w:right="360"/>
    </w:pPr>
    <w:r>
      <w:t>ACCESSIBILITY: PHYSICIANS’ PERSEPCTIVE REGARDING DISABILITY</w:t>
    </w:r>
    <w:r>
      <w:tab/>
    </w:r>
    <w:r>
      <w:tab/>
    </w:r>
    <w: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D3744" w:rsidRDefault="00DD37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F95897"/>
    <w:multiLevelType w:val="multilevel"/>
    <w:tmpl w:val="D65C246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15:restartNumberingAfterBreak="0">
    <w:nsid w:val="214C2BE9"/>
    <w:multiLevelType w:val="multilevel"/>
    <w:tmpl w:val="A73C2C32"/>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2" w15:restartNumberingAfterBreak="0">
    <w:nsid w:val="23385066"/>
    <w:multiLevelType w:val="multilevel"/>
    <w:tmpl w:val="37F4FAC0"/>
    <w:lvl w:ilvl="0">
      <w:start w:val="1"/>
      <w:numFmt w:val="decimal"/>
      <w:lvlText w:val="%1."/>
      <w:lvlJc w:val="left"/>
      <w:pPr>
        <w:ind w:left="1120" w:hanging="360"/>
      </w:pPr>
    </w:lvl>
    <w:lvl w:ilvl="1">
      <w:start w:val="1"/>
      <w:numFmt w:val="lowerLetter"/>
      <w:lvlText w:val="%2."/>
      <w:lvlJc w:val="left"/>
      <w:pPr>
        <w:ind w:left="1840" w:hanging="360"/>
      </w:pPr>
    </w:lvl>
    <w:lvl w:ilvl="2">
      <w:start w:val="1"/>
      <w:numFmt w:val="lowerRoman"/>
      <w:lvlText w:val="%3."/>
      <w:lvlJc w:val="right"/>
      <w:pPr>
        <w:ind w:left="2560" w:hanging="180"/>
      </w:pPr>
    </w:lvl>
    <w:lvl w:ilvl="3">
      <w:start w:val="1"/>
      <w:numFmt w:val="decimal"/>
      <w:lvlText w:val="%4."/>
      <w:lvlJc w:val="left"/>
      <w:pPr>
        <w:ind w:left="3280" w:hanging="360"/>
      </w:pPr>
    </w:lvl>
    <w:lvl w:ilvl="4">
      <w:start w:val="1"/>
      <w:numFmt w:val="lowerLetter"/>
      <w:lvlText w:val="%5."/>
      <w:lvlJc w:val="left"/>
      <w:pPr>
        <w:ind w:left="4000" w:hanging="360"/>
      </w:pPr>
    </w:lvl>
    <w:lvl w:ilvl="5">
      <w:start w:val="1"/>
      <w:numFmt w:val="lowerRoman"/>
      <w:lvlText w:val="%6."/>
      <w:lvlJc w:val="right"/>
      <w:pPr>
        <w:ind w:left="4720" w:hanging="180"/>
      </w:pPr>
    </w:lvl>
    <w:lvl w:ilvl="6">
      <w:start w:val="1"/>
      <w:numFmt w:val="decimal"/>
      <w:lvlText w:val="%7."/>
      <w:lvlJc w:val="left"/>
      <w:pPr>
        <w:ind w:left="5440" w:hanging="360"/>
      </w:pPr>
    </w:lvl>
    <w:lvl w:ilvl="7">
      <w:start w:val="1"/>
      <w:numFmt w:val="lowerLetter"/>
      <w:lvlText w:val="%8."/>
      <w:lvlJc w:val="left"/>
      <w:pPr>
        <w:ind w:left="6160" w:hanging="360"/>
      </w:pPr>
    </w:lvl>
    <w:lvl w:ilvl="8">
      <w:start w:val="1"/>
      <w:numFmt w:val="lowerRoman"/>
      <w:lvlText w:val="%9."/>
      <w:lvlJc w:val="right"/>
      <w:pPr>
        <w:ind w:left="6880" w:hanging="180"/>
      </w:pPr>
    </w:lvl>
  </w:abstractNum>
  <w:abstractNum w:abstractNumId="3" w15:restartNumberingAfterBreak="0">
    <w:nsid w:val="23E2411F"/>
    <w:multiLevelType w:val="multilevel"/>
    <w:tmpl w:val="299E0CF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4" w15:restartNumberingAfterBreak="0">
    <w:nsid w:val="30420F7A"/>
    <w:multiLevelType w:val="multilevel"/>
    <w:tmpl w:val="D748633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5" w15:restartNumberingAfterBreak="0">
    <w:nsid w:val="370E555B"/>
    <w:multiLevelType w:val="multilevel"/>
    <w:tmpl w:val="91F4A11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6" w15:restartNumberingAfterBreak="0">
    <w:nsid w:val="45115EA5"/>
    <w:multiLevelType w:val="multilevel"/>
    <w:tmpl w:val="47587D4C"/>
    <w:lvl w:ilvl="0">
      <w:start w:val="1"/>
      <w:numFmt w:val="bullet"/>
      <w:lvlText w:val=""/>
      <w:lvlJc w:val="left"/>
      <w:pPr>
        <w:ind w:left="360" w:hanging="360"/>
      </w:pPr>
      <w:rPr>
        <w:rFonts w:ascii="Symbol" w:hAnsi="Symbol" w:cs="Symbol" w:hint="default"/>
        <w:sz w:val="24"/>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cs="Wingdings" w:hint="default"/>
      </w:rPr>
    </w:lvl>
    <w:lvl w:ilvl="3">
      <w:start w:val="1"/>
      <w:numFmt w:val="bullet"/>
      <w:lvlText w:val=""/>
      <w:lvlJc w:val="left"/>
      <w:pPr>
        <w:ind w:left="2520" w:hanging="360"/>
      </w:pPr>
      <w:rPr>
        <w:rFonts w:ascii="Symbol" w:hAnsi="Symbol" w:cs="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cs="Wingdings" w:hint="default"/>
      </w:rPr>
    </w:lvl>
    <w:lvl w:ilvl="6">
      <w:start w:val="1"/>
      <w:numFmt w:val="bullet"/>
      <w:lvlText w:val=""/>
      <w:lvlJc w:val="left"/>
      <w:pPr>
        <w:ind w:left="4680" w:hanging="360"/>
      </w:pPr>
      <w:rPr>
        <w:rFonts w:ascii="Symbol" w:hAnsi="Symbol" w:cs="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cs="Wingdings" w:hint="default"/>
      </w:rPr>
    </w:lvl>
  </w:abstractNum>
  <w:abstractNum w:abstractNumId="7" w15:restartNumberingAfterBreak="0">
    <w:nsid w:val="500C337E"/>
    <w:multiLevelType w:val="multilevel"/>
    <w:tmpl w:val="6DFE37B8"/>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8" w15:restartNumberingAfterBreak="0">
    <w:nsid w:val="78791E46"/>
    <w:multiLevelType w:val="multilevel"/>
    <w:tmpl w:val="5732B426"/>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9" w15:restartNumberingAfterBreak="0">
    <w:nsid w:val="787B4E9E"/>
    <w:multiLevelType w:val="multilevel"/>
    <w:tmpl w:val="6F6A9EA4"/>
    <w:lvl w:ilvl="0">
      <w:start w:val="1"/>
      <w:numFmt w:val="bullet"/>
      <w:lvlText w:val=""/>
      <w:lvlJc w:val="left"/>
      <w:pPr>
        <w:ind w:left="720" w:hanging="360"/>
      </w:pPr>
      <w:rPr>
        <w:rFonts w:ascii="Symbol" w:hAnsi="Symbol" w:cs="Symbol" w:hint="default"/>
        <w:sz w:val="24"/>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abstractNum w:abstractNumId="10" w15:restartNumberingAfterBreak="0">
    <w:nsid w:val="7F8B5339"/>
    <w:multiLevelType w:val="multilevel"/>
    <w:tmpl w:val="D730EF92"/>
    <w:lvl w:ilvl="0">
      <w:start w:val="1"/>
      <w:numFmt w:val="bullet"/>
      <w:lvlText w:val=""/>
      <w:lvlJc w:val="left"/>
      <w:pPr>
        <w:ind w:left="960" w:hanging="360"/>
      </w:pPr>
      <w:rPr>
        <w:rFonts w:ascii="Symbol" w:hAnsi="Symbol" w:cs="Symbol" w:hint="default"/>
        <w:sz w:val="24"/>
      </w:rPr>
    </w:lvl>
    <w:lvl w:ilvl="1">
      <w:start w:val="1"/>
      <w:numFmt w:val="bullet"/>
      <w:lvlText w:val="o"/>
      <w:lvlJc w:val="left"/>
      <w:pPr>
        <w:ind w:left="1680" w:hanging="360"/>
      </w:pPr>
      <w:rPr>
        <w:rFonts w:ascii="Courier New" w:hAnsi="Courier New" w:cs="Courier New" w:hint="default"/>
      </w:rPr>
    </w:lvl>
    <w:lvl w:ilvl="2">
      <w:start w:val="1"/>
      <w:numFmt w:val="bullet"/>
      <w:lvlText w:val=""/>
      <w:lvlJc w:val="left"/>
      <w:pPr>
        <w:ind w:left="2400" w:hanging="360"/>
      </w:pPr>
      <w:rPr>
        <w:rFonts w:ascii="Wingdings" w:hAnsi="Wingdings" w:cs="Wingdings" w:hint="default"/>
      </w:rPr>
    </w:lvl>
    <w:lvl w:ilvl="3">
      <w:start w:val="1"/>
      <w:numFmt w:val="bullet"/>
      <w:lvlText w:val=""/>
      <w:lvlJc w:val="left"/>
      <w:pPr>
        <w:ind w:left="3120" w:hanging="360"/>
      </w:pPr>
      <w:rPr>
        <w:rFonts w:ascii="Symbol" w:hAnsi="Symbol" w:cs="Symbol" w:hint="default"/>
      </w:rPr>
    </w:lvl>
    <w:lvl w:ilvl="4">
      <w:start w:val="1"/>
      <w:numFmt w:val="bullet"/>
      <w:lvlText w:val="o"/>
      <w:lvlJc w:val="left"/>
      <w:pPr>
        <w:ind w:left="3840" w:hanging="360"/>
      </w:pPr>
      <w:rPr>
        <w:rFonts w:ascii="Courier New" w:hAnsi="Courier New" w:cs="Courier New" w:hint="default"/>
      </w:rPr>
    </w:lvl>
    <w:lvl w:ilvl="5">
      <w:start w:val="1"/>
      <w:numFmt w:val="bullet"/>
      <w:lvlText w:val=""/>
      <w:lvlJc w:val="left"/>
      <w:pPr>
        <w:ind w:left="4560" w:hanging="360"/>
      </w:pPr>
      <w:rPr>
        <w:rFonts w:ascii="Wingdings" w:hAnsi="Wingdings" w:cs="Wingdings" w:hint="default"/>
      </w:rPr>
    </w:lvl>
    <w:lvl w:ilvl="6">
      <w:start w:val="1"/>
      <w:numFmt w:val="bullet"/>
      <w:lvlText w:val=""/>
      <w:lvlJc w:val="left"/>
      <w:pPr>
        <w:ind w:left="5280" w:hanging="360"/>
      </w:pPr>
      <w:rPr>
        <w:rFonts w:ascii="Symbol" w:hAnsi="Symbol" w:cs="Symbol" w:hint="default"/>
      </w:rPr>
    </w:lvl>
    <w:lvl w:ilvl="7">
      <w:start w:val="1"/>
      <w:numFmt w:val="bullet"/>
      <w:lvlText w:val="o"/>
      <w:lvlJc w:val="left"/>
      <w:pPr>
        <w:ind w:left="6000" w:hanging="360"/>
      </w:pPr>
      <w:rPr>
        <w:rFonts w:ascii="Courier New" w:hAnsi="Courier New" w:cs="Courier New" w:hint="default"/>
      </w:rPr>
    </w:lvl>
    <w:lvl w:ilvl="8">
      <w:start w:val="1"/>
      <w:numFmt w:val="bullet"/>
      <w:lvlText w:val=""/>
      <w:lvlJc w:val="left"/>
      <w:pPr>
        <w:ind w:left="6720" w:hanging="360"/>
      </w:pPr>
      <w:rPr>
        <w:rFonts w:ascii="Wingdings" w:hAnsi="Wingdings" w:cs="Wingdings" w:hint="default"/>
      </w:rPr>
    </w:lvl>
  </w:abstractNum>
  <w:num w:numId="1">
    <w:abstractNumId w:val="3"/>
  </w:num>
  <w:num w:numId="2">
    <w:abstractNumId w:val="5"/>
  </w:num>
  <w:num w:numId="3">
    <w:abstractNumId w:val="10"/>
  </w:num>
  <w:num w:numId="4">
    <w:abstractNumId w:val="1"/>
  </w:num>
  <w:num w:numId="5">
    <w:abstractNumId w:val="8"/>
  </w:num>
  <w:num w:numId="6">
    <w:abstractNumId w:val="7"/>
  </w:num>
  <w:num w:numId="7">
    <w:abstractNumId w:val="9"/>
  </w:num>
  <w:num w:numId="8">
    <w:abstractNumId w:val="6"/>
  </w:num>
  <w:num w:numId="9">
    <w:abstractNumId w:val="2"/>
  </w:num>
  <w:num w:numId="10">
    <w:abstractNumId w:val="0"/>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A3D25"/>
    <w:rsid w:val="00034969"/>
    <w:rsid w:val="000561D1"/>
    <w:rsid w:val="000C624A"/>
    <w:rsid w:val="000C7958"/>
    <w:rsid w:val="000F588A"/>
    <w:rsid w:val="0010087F"/>
    <w:rsid w:val="00132676"/>
    <w:rsid w:val="001A2D75"/>
    <w:rsid w:val="001A5E1B"/>
    <w:rsid w:val="001B41A9"/>
    <w:rsid w:val="001D0438"/>
    <w:rsid w:val="00206EC9"/>
    <w:rsid w:val="002165DE"/>
    <w:rsid w:val="002473BA"/>
    <w:rsid w:val="00252B96"/>
    <w:rsid w:val="00280240"/>
    <w:rsid w:val="0029366C"/>
    <w:rsid w:val="002C7EFE"/>
    <w:rsid w:val="003018D2"/>
    <w:rsid w:val="00324C10"/>
    <w:rsid w:val="003C0F55"/>
    <w:rsid w:val="0042742E"/>
    <w:rsid w:val="00484177"/>
    <w:rsid w:val="004A610F"/>
    <w:rsid w:val="004F15AF"/>
    <w:rsid w:val="004F41A8"/>
    <w:rsid w:val="00562C7E"/>
    <w:rsid w:val="005C6640"/>
    <w:rsid w:val="005D0139"/>
    <w:rsid w:val="005E1737"/>
    <w:rsid w:val="005F2DD9"/>
    <w:rsid w:val="006111B6"/>
    <w:rsid w:val="00613964"/>
    <w:rsid w:val="00662603"/>
    <w:rsid w:val="007650E7"/>
    <w:rsid w:val="007F539A"/>
    <w:rsid w:val="00806749"/>
    <w:rsid w:val="008218DD"/>
    <w:rsid w:val="0088237E"/>
    <w:rsid w:val="00883D67"/>
    <w:rsid w:val="00893E20"/>
    <w:rsid w:val="008E5129"/>
    <w:rsid w:val="008F3BF4"/>
    <w:rsid w:val="00937A55"/>
    <w:rsid w:val="00982115"/>
    <w:rsid w:val="00987D2A"/>
    <w:rsid w:val="0099729A"/>
    <w:rsid w:val="009A7AAD"/>
    <w:rsid w:val="00A217B4"/>
    <w:rsid w:val="00A260DC"/>
    <w:rsid w:val="00A52B8D"/>
    <w:rsid w:val="00AA271E"/>
    <w:rsid w:val="00AA3D25"/>
    <w:rsid w:val="00B124FF"/>
    <w:rsid w:val="00B85F5C"/>
    <w:rsid w:val="00BD424E"/>
    <w:rsid w:val="00BD44F0"/>
    <w:rsid w:val="00BE591C"/>
    <w:rsid w:val="00BF4C32"/>
    <w:rsid w:val="00CE73D7"/>
    <w:rsid w:val="00CF1FCC"/>
    <w:rsid w:val="00D4043F"/>
    <w:rsid w:val="00D41051"/>
    <w:rsid w:val="00D51618"/>
    <w:rsid w:val="00D571E9"/>
    <w:rsid w:val="00D85243"/>
    <w:rsid w:val="00DB18F9"/>
    <w:rsid w:val="00DD030A"/>
    <w:rsid w:val="00DD3744"/>
    <w:rsid w:val="00DE0773"/>
    <w:rsid w:val="00E054A9"/>
    <w:rsid w:val="00E24ED3"/>
    <w:rsid w:val="00E44424"/>
    <w:rsid w:val="00E60118"/>
    <w:rsid w:val="00E70A51"/>
    <w:rsid w:val="00E76EBE"/>
    <w:rsid w:val="00ED2742"/>
    <w:rsid w:val="00F11DC7"/>
    <w:rsid w:val="00F34832"/>
    <w:rsid w:val="00F35CD1"/>
    <w:rsid w:val="00F441D1"/>
    <w:rsid w:val="00F65456"/>
    <w:rsid w:val="00F865FC"/>
    <w:rsid w:val="00FA6987"/>
    <w:rsid w:val="00FB3A2A"/>
  </w:rsids>
  <m:mathPr>
    <m:mathFont m:val="Cambria Math"/>
    <m:brkBin m:val="before"/>
    <m:brkBinSub m:val="--"/>
    <m:smallFrac m:val="0"/>
    <m:dispDef/>
    <m:lMargin m:val="0"/>
    <m:rMargin m:val="0"/>
    <m:defJc m:val="centerGroup"/>
    <m:wrapIndent m:val="1440"/>
    <m:intLim m:val="subSup"/>
    <m:naryLim m:val="undOvr"/>
  </m:mathPr>
  <w:themeFontLang w:val="en-US" w:eastAsia="ja-JP"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106981"/>
  <w15:docId w15:val="{B9DF3405-0C37-4563-8F38-B519D594A8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Cs w:val="22"/>
        <w:lang w:val="en-CA"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qFormat="1"/>
    <w:lsdException w:name="Strong" w:uiPriority="22" w:qFormat="1"/>
    <w:lsdException w:name="Emphasis" w:uiPriority="20" w:qFormat="1"/>
    <w:lsdException w:name="Document Map" w:semiHidden="1" w:unhideWhenUsed="1" w:qFormat="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qFormat="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51AE4"/>
    <w:rPr>
      <w:rFonts w:ascii="Times New Roman" w:hAnsi="Times New Roman" w:cs="Times New Roman"/>
      <w:color w:val="00000A"/>
      <w:sz w:val="24"/>
      <w:szCs w:val="24"/>
      <w:lang w:val="en-US"/>
    </w:rPr>
  </w:style>
  <w:style w:type="paragraph" w:styleId="Heading1">
    <w:name w:val="heading 1"/>
    <w:basedOn w:val="Heading2"/>
    <w:next w:val="Normal"/>
    <w:link w:val="Heading1Char"/>
    <w:autoRedefine/>
    <w:uiPriority w:val="9"/>
    <w:qFormat/>
    <w:rsid w:val="00E47CA2"/>
    <w:pPr>
      <w:jc w:val="center"/>
      <w:outlineLvl w:val="0"/>
    </w:pPr>
  </w:style>
  <w:style w:type="paragraph" w:styleId="Heading2">
    <w:name w:val="heading 2"/>
    <w:basedOn w:val="Normal"/>
    <w:next w:val="Normal"/>
    <w:link w:val="Heading2Char"/>
    <w:autoRedefine/>
    <w:uiPriority w:val="9"/>
    <w:unhideWhenUsed/>
    <w:qFormat/>
    <w:rsid w:val="00E47CA2"/>
    <w:pPr>
      <w:keepNext/>
      <w:keepLines/>
      <w:spacing w:before="160" w:after="120" w:line="480" w:lineRule="auto"/>
      <w:outlineLvl w:val="1"/>
    </w:pPr>
    <w:rPr>
      <w:rFonts w:eastAsiaTheme="majorEastAsia"/>
      <w:b/>
      <w:lang w:val="en-CA"/>
    </w:rPr>
  </w:style>
  <w:style w:type="paragraph" w:styleId="Heading3">
    <w:name w:val="heading 3"/>
    <w:basedOn w:val="Heading1"/>
    <w:next w:val="Normal"/>
    <w:link w:val="Heading3Char"/>
    <w:autoRedefine/>
    <w:uiPriority w:val="9"/>
    <w:unhideWhenUsed/>
    <w:qFormat/>
    <w:rsid w:val="00E47CA2"/>
    <w:pPr>
      <w:jc w:val="left"/>
      <w:outlineLvl w:val="2"/>
    </w:pPr>
  </w:style>
  <w:style w:type="paragraph" w:styleId="Heading4">
    <w:name w:val="heading 4"/>
    <w:basedOn w:val="Heading3"/>
    <w:next w:val="Normal"/>
    <w:link w:val="Heading4Char"/>
    <w:uiPriority w:val="9"/>
    <w:unhideWhenUsed/>
    <w:qFormat/>
    <w:rsid w:val="00E47CA2"/>
    <w:pPr>
      <w:outlineLvl w:val="3"/>
    </w:pPr>
  </w:style>
  <w:style w:type="paragraph" w:styleId="Heading5">
    <w:name w:val="heading 5"/>
    <w:basedOn w:val="Heading4"/>
    <w:next w:val="Normal"/>
    <w:link w:val="Heading5Char"/>
    <w:autoRedefine/>
    <w:uiPriority w:val="9"/>
    <w:unhideWhenUsed/>
    <w:qFormat/>
    <w:rsid w:val="00E47CA2"/>
    <w:pPr>
      <w:outlineLvl w:val="4"/>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erChar">
    <w:name w:val="Header Char"/>
    <w:basedOn w:val="DefaultParagraphFont"/>
    <w:link w:val="Header"/>
    <w:uiPriority w:val="99"/>
    <w:qFormat/>
    <w:rsid w:val="00CD4CC5"/>
    <w:rPr>
      <w:lang w:val="en-US"/>
    </w:rPr>
  </w:style>
  <w:style w:type="character" w:customStyle="1" w:styleId="normaltextrun">
    <w:name w:val="normaltextrun"/>
    <w:basedOn w:val="DefaultParagraphFont"/>
    <w:qFormat/>
    <w:rsid w:val="00CD4CC5"/>
  </w:style>
  <w:style w:type="character" w:customStyle="1" w:styleId="apple-converted-space">
    <w:name w:val="apple-converted-space"/>
    <w:basedOn w:val="DefaultParagraphFont"/>
    <w:qFormat/>
    <w:rsid w:val="00CD4CC5"/>
  </w:style>
  <w:style w:type="character" w:customStyle="1" w:styleId="spellingerror">
    <w:name w:val="spellingerror"/>
    <w:basedOn w:val="DefaultParagraphFont"/>
    <w:qFormat/>
    <w:rsid w:val="00CD4CC5"/>
  </w:style>
  <w:style w:type="character" w:customStyle="1" w:styleId="BalloonTextChar">
    <w:name w:val="Balloon Text Char"/>
    <w:basedOn w:val="DefaultParagraphFont"/>
    <w:link w:val="BalloonText"/>
    <w:uiPriority w:val="99"/>
    <w:semiHidden/>
    <w:qFormat/>
    <w:rsid w:val="00CB288C"/>
    <w:rPr>
      <w:rFonts w:ascii="Times New Roman" w:hAnsi="Times New Roman" w:cs="Times New Roman"/>
      <w:sz w:val="18"/>
      <w:szCs w:val="18"/>
      <w:lang w:val="en-US"/>
    </w:rPr>
  </w:style>
  <w:style w:type="character" w:styleId="CommentReference">
    <w:name w:val="annotation reference"/>
    <w:basedOn w:val="DefaultParagraphFont"/>
    <w:uiPriority w:val="99"/>
    <w:semiHidden/>
    <w:unhideWhenUsed/>
    <w:qFormat/>
    <w:rsid w:val="00DD676E"/>
    <w:rPr>
      <w:sz w:val="16"/>
      <w:szCs w:val="16"/>
    </w:rPr>
  </w:style>
  <w:style w:type="character" w:customStyle="1" w:styleId="CommentTextChar">
    <w:name w:val="Comment Text Char"/>
    <w:basedOn w:val="DefaultParagraphFont"/>
    <w:link w:val="CommentText"/>
    <w:uiPriority w:val="99"/>
    <w:semiHidden/>
    <w:qFormat/>
    <w:rsid w:val="00DD676E"/>
    <w:rPr>
      <w:sz w:val="20"/>
      <w:szCs w:val="20"/>
      <w:lang w:val="en-US"/>
    </w:rPr>
  </w:style>
  <w:style w:type="character" w:customStyle="1" w:styleId="CommentSubjectChar">
    <w:name w:val="Comment Subject Char"/>
    <w:basedOn w:val="CommentTextChar"/>
    <w:link w:val="CommentSubject"/>
    <w:uiPriority w:val="99"/>
    <w:semiHidden/>
    <w:qFormat/>
    <w:rsid w:val="00DD676E"/>
    <w:rPr>
      <w:b/>
      <w:bCs/>
      <w:sz w:val="20"/>
      <w:szCs w:val="20"/>
      <w:lang w:val="en-US"/>
    </w:rPr>
  </w:style>
  <w:style w:type="character" w:customStyle="1" w:styleId="Heading1Char">
    <w:name w:val="Heading 1 Char"/>
    <w:basedOn w:val="DefaultParagraphFont"/>
    <w:link w:val="Heading1"/>
    <w:uiPriority w:val="9"/>
    <w:qFormat/>
    <w:rsid w:val="00E47CA2"/>
    <w:rPr>
      <w:rFonts w:ascii="Times New Roman" w:eastAsiaTheme="majorEastAsia" w:hAnsi="Times New Roman" w:cs="Times New Roman"/>
      <w:b/>
      <w:sz w:val="24"/>
      <w:szCs w:val="24"/>
    </w:rPr>
  </w:style>
  <w:style w:type="character" w:customStyle="1" w:styleId="ListLabel1">
    <w:name w:val="ListLabel 1"/>
    <w:qFormat/>
    <w:rPr>
      <w:rFonts w:ascii="Times New Roman" w:eastAsia="Calibri" w:hAnsi="Times New Roman" w:cs="Times"/>
      <w:sz w:val="24"/>
    </w:rPr>
  </w:style>
  <w:style w:type="character" w:customStyle="1" w:styleId="FooterChar">
    <w:name w:val="Footer Char"/>
    <w:basedOn w:val="DefaultParagraphFont"/>
    <w:link w:val="Footer"/>
    <w:uiPriority w:val="99"/>
    <w:qFormat/>
    <w:rsid w:val="00DD1E99"/>
    <w:rPr>
      <w:lang w:val="en-US"/>
    </w:rPr>
  </w:style>
  <w:style w:type="character" w:customStyle="1" w:styleId="InternetLink">
    <w:name w:val="Internet Link"/>
    <w:basedOn w:val="DefaultParagraphFont"/>
    <w:uiPriority w:val="99"/>
    <w:unhideWhenUsed/>
    <w:rsid w:val="001E357C"/>
    <w:rPr>
      <w:color w:val="0563C1" w:themeColor="hyperlink"/>
      <w:u w:val="single"/>
    </w:rPr>
  </w:style>
  <w:style w:type="character" w:customStyle="1" w:styleId="Heading2Char">
    <w:name w:val="Heading 2 Char"/>
    <w:basedOn w:val="DefaultParagraphFont"/>
    <w:link w:val="Heading2"/>
    <w:uiPriority w:val="9"/>
    <w:qFormat/>
    <w:rsid w:val="00E47CA2"/>
    <w:rPr>
      <w:rFonts w:ascii="Times New Roman" w:eastAsiaTheme="majorEastAsia" w:hAnsi="Times New Roman" w:cs="Times New Roman"/>
      <w:b/>
      <w:sz w:val="24"/>
      <w:szCs w:val="24"/>
    </w:rPr>
  </w:style>
  <w:style w:type="character" w:customStyle="1" w:styleId="Heading3Char">
    <w:name w:val="Heading 3 Char"/>
    <w:basedOn w:val="DefaultParagraphFont"/>
    <w:link w:val="Heading3"/>
    <w:uiPriority w:val="9"/>
    <w:qFormat/>
    <w:rsid w:val="00E47CA2"/>
    <w:rPr>
      <w:rFonts w:ascii="Times New Roman" w:eastAsiaTheme="majorEastAsia" w:hAnsi="Times New Roman" w:cs="Times New Roman"/>
      <w:b/>
      <w:sz w:val="24"/>
      <w:szCs w:val="24"/>
    </w:rPr>
  </w:style>
  <w:style w:type="character" w:styleId="FollowedHyperlink">
    <w:name w:val="FollowedHyperlink"/>
    <w:basedOn w:val="DefaultParagraphFont"/>
    <w:uiPriority w:val="99"/>
    <w:semiHidden/>
    <w:unhideWhenUsed/>
    <w:qFormat/>
    <w:rsid w:val="007730BC"/>
    <w:rPr>
      <w:color w:val="954F72" w:themeColor="followedHyperlink"/>
      <w:u w:val="single"/>
    </w:rPr>
  </w:style>
  <w:style w:type="character" w:customStyle="1" w:styleId="DocumentMapChar">
    <w:name w:val="Document Map Char"/>
    <w:basedOn w:val="DefaultParagraphFont"/>
    <w:link w:val="DocumentMap"/>
    <w:uiPriority w:val="99"/>
    <w:semiHidden/>
    <w:qFormat/>
    <w:rsid w:val="00BB039F"/>
    <w:rPr>
      <w:rFonts w:ascii="Times New Roman" w:hAnsi="Times New Roman" w:cs="Times New Roman"/>
      <w:sz w:val="24"/>
      <w:szCs w:val="24"/>
      <w:lang w:val="en-US"/>
    </w:rPr>
  </w:style>
  <w:style w:type="character" w:customStyle="1" w:styleId="ListLabel2">
    <w:name w:val="ListLabel 2"/>
    <w:qFormat/>
    <w:rPr>
      <w:rFonts w:cs="Times"/>
      <w:sz w:val="24"/>
    </w:rPr>
  </w:style>
  <w:style w:type="character" w:customStyle="1" w:styleId="ListLabel3">
    <w:name w:val="ListLabel 3"/>
    <w:qFormat/>
    <w:rPr>
      <w:rFonts w:cs="Courier New"/>
    </w:rPr>
  </w:style>
  <w:style w:type="character" w:customStyle="1" w:styleId="ListLabel4">
    <w:name w:val="ListLabel 4"/>
    <w:qFormat/>
    <w:rPr>
      <w:rFonts w:cs="Wingdings"/>
    </w:rPr>
  </w:style>
  <w:style w:type="character" w:customStyle="1" w:styleId="ListLabel5">
    <w:name w:val="ListLabel 5"/>
    <w:qFormat/>
    <w:rPr>
      <w:rFonts w:cs="Symbol"/>
    </w:rPr>
  </w:style>
  <w:style w:type="character" w:customStyle="1" w:styleId="ListLabel6">
    <w:name w:val="ListLabel 6"/>
    <w:qFormat/>
    <w:rPr>
      <w:rFonts w:cs="Courier New"/>
    </w:rPr>
  </w:style>
  <w:style w:type="character" w:customStyle="1" w:styleId="ListLabel7">
    <w:name w:val="ListLabel 7"/>
    <w:qFormat/>
    <w:rPr>
      <w:rFonts w:cs="Wingdings"/>
    </w:rPr>
  </w:style>
  <w:style w:type="character" w:customStyle="1" w:styleId="ListLabel8">
    <w:name w:val="ListLabel 8"/>
    <w:qFormat/>
    <w:rPr>
      <w:rFonts w:cs="Symbol"/>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Courier New"/>
    </w:rPr>
  </w:style>
  <w:style w:type="character" w:customStyle="1" w:styleId="ListLabel12">
    <w:name w:val="ListLabel 12"/>
    <w:qFormat/>
    <w:rPr>
      <w:rFonts w:cs="Courier New"/>
    </w:rPr>
  </w:style>
  <w:style w:type="character" w:customStyle="1" w:styleId="ListLabel13">
    <w:name w:val="ListLabel 13"/>
    <w:qFormat/>
    <w:rPr>
      <w:rFonts w:cs="Courier New"/>
    </w:rPr>
  </w:style>
  <w:style w:type="character" w:customStyle="1" w:styleId="ListLabel14">
    <w:name w:val="ListLabel 14"/>
    <w:qFormat/>
    <w:rPr>
      <w:rFonts w:cs="Courier New"/>
    </w:rPr>
  </w:style>
  <w:style w:type="character" w:customStyle="1" w:styleId="ListLabel15">
    <w:name w:val="ListLabel 15"/>
    <w:qFormat/>
    <w:rPr>
      <w:rFonts w:cs="Courier New"/>
    </w:rPr>
  </w:style>
  <w:style w:type="character" w:customStyle="1" w:styleId="ListLabel16">
    <w:name w:val="ListLabel 16"/>
    <w:qFormat/>
    <w:rPr>
      <w:rFonts w:cs="Courier New"/>
    </w:rPr>
  </w:style>
  <w:style w:type="character" w:customStyle="1" w:styleId="ListLabel17">
    <w:name w:val="ListLabel 17"/>
    <w:qFormat/>
    <w:rPr>
      <w:rFonts w:cs="Courier New"/>
    </w:rPr>
  </w:style>
  <w:style w:type="character" w:customStyle="1" w:styleId="ListLabel18">
    <w:name w:val="ListLabel 18"/>
    <w:qFormat/>
    <w:rPr>
      <w:rFonts w:cs="Courier New"/>
    </w:rPr>
  </w:style>
  <w:style w:type="character" w:customStyle="1" w:styleId="ListLabel19">
    <w:name w:val="ListLabel 19"/>
    <w:qFormat/>
    <w:rPr>
      <w:rFonts w:cs="Courier New"/>
    </w:rPr>
  </w:style>
  <w:style w:type="character" w:customStyle="1" w:styleId="ListLabel20">
    <w:name w:val="ListLabel 20"/>
    <w:qFormat/>
    <w:rPr>
      <w:rFonts w:cs="Courier New"/>
    </w:rPr>
  </w:style>
  <w:style w:type="character" w:customStyle="1" w:styleId="ListLabel21">
    <w:name w:val="ListLabel 21"/>
    <w:qFormat/>
    <w:rPr>
      <w:rFonts w:cs="Courier New"/>
    </w:rPr>
  </w:style>
  <w:style w:type="character" w:customStyle="1" w:styleId="ListLabel22">
    <w:name w:val="ListLabel 22"/>
    <w:qFormat/>
    <w:rPr>
      <w:rFonts w:cs="Courier New"/>
    </w:rPr>
  </w:style>
  <w:style w:type="character" w:customStyle="1" w:styleId="ListLabel23">
    <w:name w:val="ListLabel 23"/>
    <w:qFormat/>
    <w:rPr>
      <w:rFonts w:cs="Courier New"/>
    </w:rPr>
  </w:style>
  <w:style w:type="character" w:customStyle="1" w:styleId="ListLabel24">
    <w:name w:val="ListLabel 24"/>
    <w:qFormat/>
    <w:rPr>
      <w:rFonts w:cs="Courier New"/>
    </w:rPr>
  </w:style>
  <w:style w:type="character" w:customStyle="1" w:styleId="ListLabel25">
    <w:name w:val="ListLabel 25"/>
    <w:qFormat/>
    <w:rPr>
      <w:rFonts w:cs="Courier New"/>
    </w:rPr>
  </w:style>
  <w:style w:type="character" w:customStyle="1" w:styleId="ListLabel26">
    <w:name w:val="ListLabel 26"/>
    <w:qFormat/>
    <w:rPr>
      <w:rFonts w:cs="Courier New"/>
    </w:rPr>
  </w:style>
  <w:style w:type="character" w:customStyle="1" w:styleId="ListLabel27">
    <w:name w:val="ListLabel 27"/>
    <w:qFormat/>
    <w:rPr>
      <w:rFonts w:cs="Courier New"/>
    </w:rPr>
  </w:style>
  <w:style w:type="character" w:customStyle="1" w:styleId="ListLabel28">
    <w:name w:val="ListLabel 28"/>
    <w:qFormat/>
    <w:rPr>
      <w:rFonts w:cs="Courier New"/>
    </w:rPr>
  </w:style>
  <w:style w:type="character" w:customStyle="1" w:styleId="ListLabel29">
    <w:name w:val="ListLabel 29"/>
    <w:qFormat/>
    <w:rPr>
      <w:rFonts w:cs="Courier New"/>
    </w:rPr>
  </w:style>
  <w:style w:type="character" w:customStyle="1" w:styleId="ListLabel30">
    <w:name w:val="ListLabel 30"/>
    <w:qFormat/>
    <w:rPr>
      <w:rFonts w:cs="Courier New"/>
    </w:rPr>
  </w:style>
  <w:style w:type="character" w:customStyle="1" w:styleId="ListLabel31">
    <w:name w:val="ListLabel 31"/>
    <w:qFormat/>
    <w:rPr>
      <w:rFonts w:cs="Courier New"/>
    </w:rPr>
  </w:style>
  <w:style w:type="character" w:customStyle="1" w:styleId="ListLabel32">
    <w:name w:val="ListLabel 32"/>
    <w:qFormat/>
    <w:rPr>
      <w:rFonts w:cs="Courier New"/>
    </w:rPr>
  </w:style>
  <w:style w:type="character" w:customStyle="1" w:styleId="ListLabel33">
    <w:name w:val="ListLabel 33"/>
    <w:qFormat/>
    <w:rPr>
      <w:rFonts w:cs="Courier New"/>
    </w:rPr>
  </w:style>
  <w:style w:type="character" w:customStyle="1" w:styleId="ListLabel34">
    <w:name w:val="ListLabel 34"/>
    <w:qFormat/>
    <w:rPr>
      <w:rFonts w:cs="Courier New"/>
    </w:rPr>
  </w:style>
  <w:style w:type="character" w:customStyle="1" w:styleId="ListLabel35">
    <w:name w:val="ListLabel 35"/>
    <w:qFormat/>
    <w:rPr>
      <w:rFonts w:cs="Courier New"/>
    </w:rPr>
  </w:style>
  <w:style w:type="character" w:customStyle="1" w:styleId="ListLabel36">
    <w:name w:val="ListLabel 36"/>
    <w:qFormat/>
    <w:rPr>
      <w:rFonts w:cs="Courier New"/>
    </w:rPr>
  </w:style>
  <w:style w:type="character" w:customStyle="1" w:styleId="ListLabel37">
    <w:name w:val="ListLabel 37"/>
    <w:qFormat/>
    <w:rPr>
      <w:rFonts w:cs="Courier New"/>
    </w:rPr>
  </w:style>
  <w:style w:type="character" w:customStyle="1" w:styleId="ListLabel38">
    <w:name w:val="ListLabel 38"/>
    <w:qFormat/>
    <w:rPr>
      <w:rFonts w:cs="Courier New"/>
    </w:rPr>
  </w:style>
  <w:style w:type="character" w:customStyle="1" w:styleId="ListLabel39">
    <w:name w:val="ListLabel 39"/>
    <w:qFormat/>
    <w:rPr>
      <w:rFonts w:cs="Courier New"/>
    </w:rPr>
  </w:style>
  <w:style w:type="character" w:customStyle="1" w:styleId="ListLabel40">
    <w:name w:val="ListLabel 40"/>
    <w:qFormat/>
    <w:rPr>
      <w:rFonts w:cs="Courier New"/>
    </w:rPr>
  </w:style>
  <w:style w:type="character" w:customStyle="1" w:styleId="ListLabel41">
    <w:name w:val="ListLabel 41"/>
    <w:qFormat/>
    <w:rPr>
      <w:rFonts w:cs="Courier New"/>
    </w:rPr>
  </w:style>
  <w:style w:type="character" w:customStyle="1" w:styleId="ListLabel42">
    <w:name w:val="ListLabel 42"/>
    <w:qFormat/>
    <w:rPr>
      <w:rFonts w:cs="Courier New"/>
    </w:rPr>
  </w:style>
  <w:style w:type="character" w:customStyle="1" w:styleId="ListLabel43">
    <w:name w:val="ListLabel 43"/>
    <w:qFormat/>
    <w:rPr>
      <w:rFonts w:cs="Courier New"/>
    </w:rPr>
  </w:style>
  <w:style w:type="character" w:customStyle="1" w:styleId="ListLabel44">
    <w:name w:val="ListLabel 44"/>
    <w:qFormat/>
    <w:rPr>
      <w:rFonts w:cs="Courier New"/>
    </w:rPr>
  </w:style>
  <w:style w:type="character" w:customStyle="1" w:styleId="ListLabel45">
    <w:name w:val="ListLabel 45"/>
    <w:qFormat/>
    <w:rPr>
      <w:rFonts w:cs="Courier New"/>
    </w:rPr>
  </w:style>
  <w:style w:type="character" w:customStyle="1" w:styleId="ListLabel46">
    <w:name w:val="ListLabel 46"/>
    <w:qFormat/>
    <w:rPr>
      <w:rFonts w:cs="Courier New"/>
    </w:rPr>
  </w:style>
  <w:style w:type="character" w:customStyle="1" w:styleId="ListLabel47">
    <w:name w:val="ListLabel 47"/>
    <w:qFormat/>
    <w:rPr>
      <w:rFonts w:cs="Times New Roman"/>
      <w:sz w:val="26"/>
    </w:rPr>
  </w:style>
  <w:style w:type="character" w:customStyle="1" w:styleId="IndexLink">
    <w:name w:val="Index Link"/>
    <w:qFormat/>
  </w:style>
  <w:style w:type="character" w:customStyle="1" w:styleId="QuoteChar">
    <w:name w:val="Quote Char"/>
    <w:basedOn w:val="DefaultParagraphFont"/>
    <w:link w:val="Quote"/>
    <w:uiPriority w:val="29"/>
    <w:qFormat/>
    <w:rsid w:val="00A4125B"/>
    <w:rPr>
      <w:rFonts w:ascii="Times New Roman" w:hAnsi="Times New Roman" w:cs="Times New Roman"/>
      <w:i/>
      <w:iCs/>
      <w:color w:val="404040" w:themeColor="text1" w:themeTint="BF"/>
      <w:sz w:val="24"/>
      <w:szCs w:val="24"/>
      <w:lang w:val="en-US"/>
    </w:rPr>
  </w:style>
  <w:style w:type="character" w:styleId="Strong">
    <w:name w:val="Strong"/>
    <w:basedOn w:val="DefaultParagraphFont"/>
    <w:uiPriority w:val="22"/>
    <w:qFormat/>
    <w:rsid w:val="000236AE"/>
    <w:rPr>
      <w:b/>
      <w:bCs/>
    </w:rPr>
  </w:style>
  <w:style w:type="character" w:customStyle="1" w:styleId="Heading4Char">
    <w:name w:val="Heading 4 Char"/>
    <w:basedOn w:val="DefaultParagraphFont"/>
    <w:link w:val="Heading4"/>
    <w:uiPriority w:val="9"/>
    <w:qFormat/>
    <w:rsid w:val="00E47CA2"/>
    <w:rPr>
      <w:rFonts w:ascii="Times New Roman" w:eastAsiaTheme="majorEastAsia" w:hAnsi="Times New Roman" w:cs="Times New Roman"/>
      <w:b/>
      <w:sz w:val="24"/>
      <w:szCs w:val="24"/>
    </w:rPr>
  </w:style>
  <w:style w:type="character" w:customStyle="1" w:styleId="Heading5Char">
    <w:name w:val="Heading 5 Char"/>
    <w:basedOn w:val="DefaultParagraphFont"/>
    <w:link w:val="Heading5"/>
    <w:uiPriority w:val="9"/>
    <w:qFormat/>
    <w:rsid w:val="00E47CA2"/>
    <w:rPr>
      <w:rFonts w:ascii="Times New Roman" w:eastAsiaTheme="majorEastAsia" w:hAnsi="Times New Roman" w:cs="Times New Roman"/>
      <w:b/>
      <w:sz w:val="24"/>
      <w:szCs w:val="24"/>
    </w:rPr>
  </w:style>
  <w:style w:type="character" w:customStyle="1" w:styleId="ListLabel48">
    <w:name w:val="ListLabel 48"/>
    <w:qFormat/>
    <w:rPr>
      <w:rFonts w:ascii="Times New Roman" w:hAnsi="Times New Roman" w:cs="Symbol"/>
      <w:sz w:val="24"/>
    </w:rPr>
  </w:style>
  <w:style w:type="character" w:customStyle="1" w:styleId="ListLabel49">
    <w:name w:val="ListLabel 49"/>
    <w:qFormat/>
    <w:rPr>
      <w:rFonts w:cs="Courier New"/>
    </w:rPr>
  </w:style>
  <w:style w:type="character" w:customStyle="1" w:styleId="ListLabel50">
    <w:name w:val="ListLabel 50"/>
    <w:qFormat/>
    <w:rPr>
      <w:rFonts w:cs="Wingdings"/>
    </w:rPr>
  </w:style>
  <w:style w:type="character" w:customStyle="1" w:styleId="ListLabel51">
    <w:name w:val="ListLabel 51"/>
    <w:qFormat/>
    <w:rPr>
      <w:rFonts w:cs="Symbol"/>
    </w:rPr>
  </w:style>
  <w:style w:type="character" w:customStyle="1" w:styleId="ListLabel52">
    <w:name w:val="ListLabel 52"/>
    <w:qFormat/>
    <w:rPr>
      <w:rFonts w:cs="Courier New"/>
    </w:rPr>
  </w:style>
  <w:style w:type="character" w:customStyle="1" w:styleId="ListLabel53">
    <w:name w:val="ListLabel 53"/>
    <w:qFormat/>
    <w:rPr>
      <w:rFonts w:cs="Wingdings"/>
    </w:rPr>
  </w:style>
  <w:style w:type="character" w:customStyle="1" w:styleId="ListLabel54">
    <w:name w:val="ListLabel 54"/>
    <w:qFormat/>
    <w:rPr>
      <w:rFonts w:cs="Symbol"/>
    </w:rPr>
  </w:style>
  <w:style w:type="character" w:customStyle="1" w:styleId="ListLabel55">
    <w:name w:val="ListLabel 55"/>
    <w:qFormat/>
    <w:rPr>
      <w:rFonts w:cs="Courier New"/>
    </w:rPr>
  </w:style>
  <w:style w:type="character" w:customStyle="1" w:styleId="ListLabel56">
    <w:name w:val="ListLabel 56"/>
    <w:qFormat/>
    <w:rPr>
      <w:rFonts w:cs="Wingdings"/>
    </w:rPr>
  </w:style>
  <w:style w:type="character" w:customStyle="1" w:styleId="ListLabel57">
    <w:name w:val="ListLabel 57"/>
    <w:qFormat/>
    <w:rPr>
      <w:rFonts w:ascii="Times New Roman" w:hAnsi="Times New Roman" w:cs="Symbol"/>
      <w:sz w:val="24"/>
    </w:rPr>
  </w:style>
  <w:style w:type="character" w:customStyle="1" w:styleId="ListLabel58">
    <w:name w:val="ListLabel 58"/>
    <w:qFormat/>
    <w:rPr>
      <w:rFonts w:cs="Courier New"/>
    </w:rPr>
  </w:style>
  <w:style w:type="character" w:customStyle="1" w:styleId="ListLabel59">
    <w:name w:val="ListLabel 59"/>
    <w:qFormat/>
    <w:rPr>
      <w:rFonts w:cs="Wingdings"/>
    </w:rPr>
  </w:style>
  <w:style w:type="character" w:customStyle="1" w:styleId="ListLabel60">
    <w:name w:val="ListLabel 60"/>
    <w:qFormat/>
    <w:rPr>
      <w:rFonts w:cs="Symbol"/>
    </w:rPr>
  </w:style>
  <w:style w:type="character" w:customStyle="1" w:styleId="ListLabel61">
    <w:name w:val="ListLabel 61"/>
    <w:qFormat/>
    <w:rPr>
      <w:rFonts w:cs="Courier New"/>
    </w:rPr>
  </w:style>
  <w:style w:type="character" w:customStyle="1" w:styleId="ListLabel62">
    <w:name w:val="ListLabel 62"/>
    <w:qFormat/>
    <w:rPr>
      <w:rFonts w:cs="Wingdings"/>
    </w:rPr>
  </w:style>
  <w:style w:type="character" w:customStyle="1" w:styleId="ListLabel63">
    <w:name w:val="ListLabel 63"/>
    <w:qFormat/>
    <w:rPr>
      <w:rFonts w:cs="Symbol"/>
    </w:rPr>
  </w:style>
  <w:style w:type="character" w:customStyle="1" w:styleId="ListLabel64">
    <w:name w:val="ListLabel 64"/>
    <w:qFormat/>
    <w:rPr>
      <w:rFonts w:cs="Courier New"/>
    </w:rPr>
  </w:style>
  <w:style w:type="character" w:customStyle="1" w:styleId="ListLabel65">
    <w:name w:val="ListLabel 65"/>
    <w:qFormat/>
    <w:rPr>
      <w:rFonts w:cs="Wingdings"/>
    </w:rPr>
  </w:style>
  <w:style w:type="character" w:customStyle="1" w:styleId="ListLabel66">
    <w:name w:val="ListLabel 66"/>
    <w:qFormat/>
    <w:rPr>
      <w:rFonts w:ascii="Times New Roman" w:hAnsi="Times New Roman" w:cs="Symbol"/>
      <w:sz w:val="24"/>
    </w:rPr>
  </w:style>
  <w:style w:type="character" w:customStyle="1" w:styleId="ListLabel67">
    <w:name w:val="ListLabel 67"/>
    <w:qFormat/>
    <w:rPr>
      <w:rFonts w:cs="Courier New"/>
    </w:rPr>
  </w:style>
  <w:style w:type="character" w:customStyle="1" w:styleId="ListLabel68">
    <w:name w:val="ListLabel 68"/>
    <w:qFormat/>
    <w:rPr>
      <w:rFonts w:cs="Wingdings"/>
    </w:rPr>
  </w:style>
  <w:style w:type="character" w:customStyle="1" w:styleId="ListLabel69">
    <w:name w:val="ListLabel 69"/>
    <w:qFormat/>
    <w:rPr>
      <w:rFonts w:cs="Symbol"/>
    </w:rPr>
  </w:style>
  <w:style w:type="character" w:customStyle="1" w:styleId="ListLabel70">
    <w:name w:val="ListLabel 70"/>
    <w:qFormat/>
    <w:rPr>
      <w:rFonts w:cs="Courier New"/>
    </w:rPr>
  </w:style>
  <w:style w:type="character" w:customStyle="1" w:styleId="ListLabel71">
    <w:name w:val="ListLabel 71"/>
    <w:qFormat/>
    <w:rPr>
      <w:rFonts w:cs="Wingdings"/>
    </w:rPr>
  </w:style>
  <w:style w:type="character" w:customStyle="1" w:styleId="ListLabel72">
    <w:name w:val="ListLabel 72"/>
    <w:qFormat/>
    <w:rPr>
      <w:rFonts w:cs="Symbol"/>
    </w:rPr>
  </w:style>
  <w:style w:type="character" w:customStyle="1" w:styleId="ListLabel73">
    <w:name w:val="ListLabel 73"/>
    <w:qFormat/>
    <w:rPr>
      <w:rFonts w:cs="Courier New"/>
    </w:rPr>
  </w:style>
  <w:style w:type="character" w:customStyle="1" w:styleId="ListLabel74">
    <w:name w:val="ListLabel 74"/>
    <w:qFormat/>
    <w:rPr>
      <w:rFonts w:cs="Wingdings"/>
    </w:rPr>
  </w:style>
  <w:style w:type="character" w:customStyle="1" w:styleId="ListLabel75">
    <w:name w:val="ListLabel 75"/>
    <w:qFormat/>
    <w:rPr>
      <w:rFonts w:ascii="Times New Roman" w:hAnsi="Times New Roman" w:cs="Symbol"/>
      <w:sz w:val="24"/>
    </w:rPr>
  </w:style>
  <w:style w:type="character" w:customStyle="1" w:styleId="ListLabel76">
    <w:name w:val="ListLabel 76"/>
    <w:qFormat/>
    <w:rPr>
      <w:rFonts w:cs="Courier New"/>
    </w:rPr>
  </w:style>
  <w:style w:type="character" w:customStyle="1" w:styleId="ListLabel77">
    <w:name w:val="ListLabel 77"/>
    <w:qFormat/>
    <w:rPr>
      <w:rFonts w:cs="Wingdings"/>
    </w:rPr>
  </w:style>
  <w:style w:type="character" w:customStyle="1" w:styleId="ListLabel78">
    <w:name w:val="ListLabel 78"/>
    <w:qFormat/>
    <w:rPr>
      <w:rFonts w:cs="Symbol"/>
    </w:rPr>
  </w:style>
  <w:style w:type="character" w:customStyle="1" w:styleId="ListLabel79">
    <w:name w:val="ListLabel 79"/>
    <w:qFormat/>
    <w:rPr>
      <w:rFonts w:cs="Courier New"/>
    </w:rPr>
  </w:style>
  <w:style w:type="character" w:customStyle="1" w:styleId="ListLabel80">
    <w:name w:val="ListLabel 80"/>
    <w:qFormat/>
    <w:rPr>
      <w:rFonts w:cs="Wingdings"/>
    </w:rPr>
  </w:style>
  <w:style w:type="character" w:customStyle="1" w:styleId="ListLabel81">
    <w:name w:val="ListLabel 81"/>
    <w:qFormat/>
    <w:rPr>
      <w:rFonts w:cs="Symbol"/>
    </w:rPr>
  </w:style>
  <w:style w:type="character" w:customStyle="1" w:styleId="ListLabel82">
    <w:name w:val="ListLabel 82"/>
    <w:qFormat/>
    <w:rPr>
      <w:rFonts w:cs="Courier New"/>
    </w:rPr>
  </w:style>
  <w:style w:type="character" w:customStyle="1" w:styleId="ListLabel83">
    <w:name w:val="ListLabel 83"/>
    <w:qFormat/>
    <w:rPr>
      <w:rFonts w:cs="Wingdings"/>
    </w:rPr>
  </w:style>
  <w:style w:type="character" w:customStyle="1" w:styleId="ListLabel84">
    <w:name w:val="ListLabel 84"/>
    <w:qFormat/>
    <w:rPr>
      <w:rFonts w:ascii="Times New Roman" w:hAnsi="Times New Roman" w:cs="Symbol"/>
      <w:sz w:val="24"/>
    </w:rPr>
  </w:style>
  <w:style w:type="character" w:customStyle="1" w:styleId="ListLabel85">
    <w:name w:val="ListLabel 85"/>
    <w:qFormat/>
    <w:rPr>
      <w:rFonts w:cs="Courier New"/>
    </w:rPr>
  </w:style>
  <w:style w:type="character" w:customStyle="1" w:styleId="ListLabel86">
    <w:name w:val="ListLabel 86"/>
    <w:qFormat/>
    <w:rPr>
      <w:rFonts w:cs="Wingdings"/>
    </w:rPr>
  </w:style>
  <w:style w:type="character" w:customStyle="1" w:styleId="ListLabel87">
    <w:name w:val="ListLabel 87"/>
    <w:qFormat/>
    <w:rPr>
      <w:rFonts w:cs="Symbol"/>
    </w:rPr>
  </w:style>
  <w:style w:type="character" w:customStyle="1" w:styleId="ListLabel88">
    <w:name w:val="ListLabel 88"/>
    <w:qFormat/>
    <w:rPr>
      <w:rFonts w:cs="Courier New"/>
    </w:rPr>
  </w:style>
  <w:style w:type="character" w:customStyle="1" w:styleId="ListLabel89">
    <w:name w:val="ListLabel 89"/>
    <w:qFormat/>
    <w:rPr>
      <w:rFonts w:cs="Wingdings"/>
    </w:rPr>
  </w:style>
  <w:style w:type="character" w:customStyle="1" w:styleId="ListLabel90">
    <w:name w:val="ListLabel 90"/>
    <w:qFormat/>
    <w:rPr>
      <w:rFonts w:cs="Symbol"/>
    </w:rPr>
  </w:style>
  <w:style w:type="character" w:customStyle="1" w:styleId="ListLabel91">
    <w:name w:val="ListLabel 91"/>
    <w:qFormat/>
    <w:rPr>
      <w:rFonts w:cs="Courier New"/>
    </w:rPr>
  </w:style>
  <w:style w:type="character" w:customStyle="1" w:styleId="ListLabel92">
    <w:name w:val="ListLabel 92"/>
    <w:qFormat/>
    <w:rPr>
      <w:rFonts w:cs="Wingdings"/>
    </w:rPr>
  </w:style>
  <w:style w:type="character" w:customStyle="1" w:styleId="ListLabel93">
    <w:name w:val="ListLabel 93"/>
    <w:qFormat/>
    <w:rPr>
      <w:rFonts w:ascii="Times New Roman" w:hAnsi="Times New Roman" w:cs="Symbol"/>
      <w:sz w:val="24"/>
    </w:rPr>
  </w:style>
  <w:style w:type="character" w:customStyle="1" w:styleId="ListLabel94">
    <w:name w:val="ListLabel 94"/>
    <w:qFormat/>
    <w:rPr>
      <w:rFonts w:cs="Courier New"/>
    </w:rPr>
  </w:style>
  <w:style w:type="character" w:customStyle="1" w:styleId="ListLabel95">
    <w:name w:val="ListLabel 95"/>
    <w:qFormat/>
    <w:rPr>
      <w:rFonts w:cs="Wingdings"/>
    </w:rPr>
  </w:style>
  <w:style w:type="character" w:customStyle="1" w:styleId="ListLabel96">
    <w:name w:val="ListLabel 96"/>
    <w:qFormat/>
    <w:rPr>
      <w:rFonts w:cs="Symbol"/>
    </w:rPr>
  </w:style>
  <w:style w:type="character" w:customStyle="1" w:styleId="ListLabel97">
    <w:name w:val="ListLabel 97"/>
    <w:qFormat/>
    <w:rPr>
      <w:rFonts w:cs="Courier New"/>
    </w:rPr>
  </w:style>
  <w:style w:type="character" w:customStyle="1" w:styleId="ListLabel98">
    <w:name w:val="ListLabel 98"/>
    <w:qFormat/>
    <w:rPr>
      <w:rFonts w:cs="Wingdings"/>
    </w:rPr>
  </w:style>
  <w:style w:type="character" w:customStyle="1" w:styleId="ListLabel99">
    <w:name w:val="ListLabel 99"/>
    <w:qFormat/>
    <w:rPr>
      <w:rFonts w:cs="Symbol"/>
    </w:rPr>
  </w:style>
  <w:style w:type="character" w:customStyle="1" w:styleId="ListLabel100">
    <w:name w:val="ListLabel 100"/>
    <w:qFormat/>
    <w:rPr>
      <w:rFonts w:cs="Courier New"/>
    </w:rPr>
  </w:style>
  <w:style w:type="character" w:customStyle="1" w:styleId="ListLabel101">
    <w:name w:val="ListLabel 101"/>
    <w:qFormat/>
    <w:rPr>
      <w:rFonts w:cs="Wingdings"/>
    </w:rPr>
  </w:style>
  <w:style w:type="character" w:customStyle="1" w:styleId="ListLabel102">
    <w:name w:val="ListLabel 102"/>
    <w:qFormat/>
    <w:rPr>
      <w:rFonts w:ascii="Times New Roman" w:hAnsi="Times New Roman" w:cs="Symbol"/>
      <w:sz w:val="24"/>
    </w:rPr>
  </w:style>
  <w:style w:type="character" w:customStyle="1" w:styleId="ListLabel103">
    <w:name w:val="ListLabel 103"/>
    <w:qFormat/>
    <w:rPr>
      <w:rFonts w:cs="Courier New"/>
    </w:rPr>
  </w:style>
  <w:style w:type="character" w:customStyle="1" w:styleId="ListLabel104">
    <w:name w:val="ListLabel 104"/>
    <w:qFormat/>
    <w:rPr>
      <w:rFonts w:cs="Wingdings"/>
    </w:rPr>
  </w:style>
  <w:style w:type="character" w:customStyle="1" w:styleId="ListLabel105">
    <w:name w:val="ListLabel 105"/>
    <w:qFormat/>
    <w:rPr>
      <w:rFonts w:cs="Symbol"/>
    </w:rPr>
  </w:style>
  <w:style w:type="character" w:customStyle="1" w:styleId="ListLabel106">
    <w:name w:val="ListLabel 106"/>
    <w:qFormat/>
    <w:rPr>
      <w:rFonts w:cs="Courier New"/>
    </w:rPr>
  </w:style>
  <w:style w:type="character" w:customStyle="1" w:styleId="ListLabel107">
    <w:name w:val="ListLabel 107"/>
    <w:qFormat/>
    <w:rPr>
      <w:rFonts w:cs="Wingdings"/>
    </w:rPr>
  </w:style>
  <w:style w:type="character" w:customStyle="1" w:styleId="ListLabel108">
    <w:name w:val="ListLabel 108"/>
    <w:qFormat/>
    <w:rPr>
      <w:rFonts w:cs="Symbol"/>
    </w:rPr>
  </w:style>
  <w:style w:type="character" w:customStyle="1" w:styleId="ListLabel109">
    <w:name w:val="ListLabel 109"/>
    <w:qFormat/>
    <w:rPr>
      <w:rFonts w:cs="Courier New"/>
    </w:rPr>
  </w:style>
  <w:style w:type="character" w:customStyle="1" w:styleId="ListLabel110">
    <w:name w:val="ListLabel 110"/>
    <w:qFormat/>
    <w:rPr>
      <w:rFonts w:cs="Wingdings"/>
    </w:rPr>
  </w:style>
  <w:style w:type="character" w:customStyle="1" w:styleId="ListLabel111">
    <w:name w:val="ListLabel 111"/>
    <w:qFormat/>
    <w:rPr>
      <w:rFonts w:ascii="Times New Roman" w:hAnsi="Times New Roman" w:cs="Symbol"/>
      <w:sz w:val="24"/>
    </w:rPr>
  </w:style>
  <w:style w:type="character" w:customStyle="1" w:styleId="ListLabel112">
    <w:name w:val="ListLabel 112"/>
    <w:qFormat/>
    <w:rPr>
      <w:rFonts w:cs="Courier New"/>
    </w:rPr>
  </w:style>
  <w:style w:type="character" w:customStyle="1" w:styleId="ListLabel113">
    <w:name w:val="ListLabel 113"/>
    <w:qFormat/>
    <w:rPr>
      <w:rFonts w:cs="Wingdings"/>
    </w:rPr>
  </w:style>
  <w:style w:type="character" w:customStyle="1" w:styleId="ListLabel114">
    <w:name w:val="ListLabel 114"/>
    <w:qFormat/>
    <w:rPr>
      <w:rFonts w:cs="Symbol"/>
    </w:rPr>
  </w:style>
  <w:style w:type="character" w:customStyle="1" w:styleId="ListLabel115">
    <w:name w:val="ListLabel 115"/>
    <w:qFormat/>
    <w:rPr>
      <w:rFonts w:cs="Courier New"/>
    </w:rPr>
  </w:style>
  <w:style w:type="character" w:customStyle="1" w:styleId="ListLabel116">
    <w:name w:val="ListLabel 116"/>
    <w:qFormat/>
    <w:rPr>
      <w:rFonts w:cs="Wingdings"/>
    </w:rPr>
  </w:style>
  <w:style w:type="character" w:customStyle="1" w:styleId="ListLabel117">
    <w:name w:val="ListLabel 117"/>
    <w:qFormat/>
    <w:rPr>
      <w:rFonts w:cs="Symbol"/>
    </w:rPr>
  </w:style>
  <w:style w:type="character" w:customStyle="1" w:styleId="ListLabel118">
    <w:name w:val="ListLabel 118"/>
    <w:qFormat/>
    <w:rPr>
      <w:rFonts w:cs="Courier New"/>
    </w:rPr>
  </w:style>
  <w:style w:type="character" w:customStyle="1" w:styleId="ListLabel119">
    <w:name w:val="ListLabel 119"/>
    <w:qFormat/>
    <w:rPr>
      <w:rFonts w:cs="Wingdings"/>
    </w:rPr>
  </w:style>
  <w:style w:type="character" w:customStyle="1" w:styleId="ListLabel120">
    <w:name w:val="ListLabel 120"/>
    <w:qFormat/>
    <w:rPr>
      <w:rFonts w:cs="Courier New"/>
    </w:rPr>
  </w:style>
  <w:style w:type="character" w:customStyle="1" w:styleId="ListLabel121">
    <w:name w:val="ListLabel 121"/>
    <w:qFormat/>
    <w:rPr>
      <w:rFonts w:cs="Courier New"/>
    </w:rPr>
  </w:style>
  <w:style w:type="character" w:customStyle="1" w:styleId="ListLabel122">
    <w:name w:val="ListLabel 122"/>
    <w:qFormat/>
    <w:rPr>
      <w:rFonts w:ascii="Times New Roman" w:hAnsi="Times New Roman" w:cs="Symbol"/>
      <w:sz w:val="24"/>
    </w:rPr>
  </w:style>
  <w:style w:type="character" w:customStyle="1" w:styleId="ListLabel123">
    <w:name w:val="ListLabel 123"/>
    <w:qFormat/>
    <w:rPr>
      <w:rFonts w:cs="Courier New"/>
    </w:rPr>
  </w:style>
  <w:style w:type="character" w:customStyle="1" w:styleId="ListLabel124">
    <w:name w:val="ListLabel 124"/>
    <w:qFormat/>
    <w:rPr>
      <w:rFonts w:cs="Wingdings"/>
    </w:rPr>
  </w:style>
  <w:style w:type="character" w:customStyle="1" w:styleId="ListLabel125">
    <w:name w:val="ListLabel 125"/>
    <w:qFormat/>
    <w:rPr>
      <w:rFonts w:cs="Symbol"/>
    </w:rPr>
  </w:style>
  <w:style w:type="character" w:customStyle="1" w:styleId="ListLabel126">
    <w:name w:val="ListLabel 126"/>
    <w:qFormat/>
    <w:rPr>
      <w:rFonts w:cs="Courier New"/>
    </w:rPr>
  </w:style>
  <w:style w:type="character" w:customStyle="1" w:styleId="ListLabel127">
    <w:name w:val="ListLabel 127"/>
    <w:qFormat/>
    <w:rPr>
      <w:rFonts w:cs="Wingdings"/>
    </w:rPr>
  </w:style>
  <w:style w:type="character" w:customStyle="1" w:styleId="ListLabel128">
    <w:name w:val="ListLabel 128"/>
    <w:qFormat/>
    <w:rPr>
      <w:rFonts w:cs="Symbol"/>
    </w:rPr>
  </w:style>
  <w:style w:type="character" w:customStyle="1" w:styleId="ListLabel129">
    <w:name w:val="ListLabel 129"/>
    <w:qFormat/>
    <w:rPr>
      <w:rFonts w:cs="Courier New"/>
    </w:rPr>
  </w:style>
  <w:style w:type="character" w:customStyle="1" w:styleId="ListLabel130">
    <w:name w:val="ListLabel 130"/>
    <w:qFormat/>
    <w:rPr>
      <w:rFonts w:cs="Wingdings"/>
    </w:rPr>
  </w:style>
  <w:style w:type="character" w:customStyle="1" w:styleId="ListLabel131">
    <w:name w:val="ListLabel 131"/>
    <w:qFormat/>
    <w:rPr>
      <w:rFonts w:ascii="Times New Roman" w:hAnsi="Times New Roman" w:cs="Symbol"/>
      <w:sz w:val="24"/>
    </w:rPr>
  </w:style>
  <w:style w:type="character" w:customStyle="1" w:styleId="ListLabel132">
    <w:name w:val="ListLabel 132"/>
    <w:qFormat/>
    <w:rPr>
      <w:rFonts w:cs="Courier New"/>
    </w:rPr>
  </w:style>
  <w:style w:type="character" w:customStyle="1" w:styleId="ListLabel133">
    <w:name w:val="ListLabel 133"/>
    <w:qFormat/>
    <w:rPr>
      <w:rFonts w:cs="Wingdings"/>
    </w:rPr>
  </w:style>
  <w:style w:type="character" w:customStyle="1" w:styleId="ListLabel134">
    <w:name w:val="ListLabel 134"/>
    <w:qFormat/>
    <w:rPr>
      <w:rFonts w:cs="Symbol"/>
    </w:rPr>
  </w:style>
  <w:style w:type="character" w:customStyle="1" w:styleId="ListLabel135">
    <w:name w:val="ListLabel 135"/>
    <w:qFormat/>
    <w:rPr>
      <w:rFonts w:cs="Courier New"/>
    </w:rPr>
  </w:style>
  <w:style w:type="character" w:customStyle="1" w:styleId="ListLabel136">
    <w:name w:val="ListLabel 136"/>
    <w:qFormat/>
    <w:rPr>
      <w:rFonts w:cs="Wingdings"/>
    </w:rPr>
  </w:style>
  <w:style w:type="character" w:customStyle="1" w:styleId="ListLabel137">
    <w:name w:val="ListLabel 137"/>
    <w:qFormat/>
    <w:rPr>
      <w:rFonts w:cs="Symbol"/>
    </w:rPr>
  </w:style>
  <w:style w:type="character" w:customStyle="1" w:styleId="ListLabel138">
    <w:name w:val="ListLabel 138"/>
    <w:qFormat/>
    <w:rPr>
      <w:rFonts w:cs="Courier New"/>
    </w:rPr>
  </w:style>
  <w:style w:type="character" w:customStyle="1" w:styleId="ListLabel139">
    <w:name w:val="ListLabel 139"/>
    <w:qFormat/>
    <w:rPr>
      <w:rFonts w:cs="Wingdings"/>
    </w:rPr>
  </w:style>
  <w:style w:type="character" w:customStyle="1" w:styleId="ListLabel140">
    <w:name w:val="ListLabel 140"/>
    <w:qFormat/>
    <w:rPr>
      <w:rFonts w:ascii="Times New Roman" w:hAnsi="Times New Roman" w:cs="Symbol"/>
      <w:sz w:val="24"/>
    </w:rPr>
  </w:style>
  <w:style w:type="character" w:customStyle="1" w:styleId="ListLabel141">
    <w:name w:val="ListLabel 141"/>
    <w:qFormat/>
    <w:rPr>
      <w:rFonts w:cs="Courier New"/>
    </w:rPr>
  </w:style>
  <w:style w:type="character" w:customStyle="1" w:styleId="ListLabel142">
    <w:name w:val="ListLabel 142"/>
    <w:qFormat/>
    <w:rPr>
      <w:rFonts w:cs="Wingdings"/>
    </w:rPr>
  </w:style>
  <w:style w:type="character" w:customStyle="1" w:styleId="ListLabel143">
    <w:name w:val="ListLabel 143"/>
    <w:qFormat/>
    <w:rPr>
      <w:rFonts w:cs="Symbol"/>
    </w:rPr>
  </w:style>
  <w:style w:type="character" w:customStyle="1" w:styleId="ListLabel144">
    <w:name w:val="ListLabel 144"/>
    <w:qFormat/>
    <w:rPr>
      <w:rFonts w:cs="Courier New"/>
    </w:rPr>
  </w:style>
  <w:style w:type="character" w:customStyle="1" w:styleId="ListLabel145">
    <w:name w:val="ListLabel 145"/>
    <w:qFormat/>
    <w:rPr>
      <w:rFonts w:cs="Wingdings"/>
    </w:rPr>
  </w:style>
  <w:style w:type="character" w:customStyle="1" w:styleId="ListLabel146">
    <w:name w:val="ListLabel 146"/>
    <w:qFormat/>
    <w:rPr>
      <w:rFonts w:cs="Symbol"/>
    </w:rPr>
  </w:style>
  <w:style w:type="character" w:customStyle="1" w:styleId="ListLabel147">
    <w:name w:val="ListLabel 147"/>
    <w:qFormat/>
    <w:rPr>
      <w:rFonts w:cs="Courier New"/>
    </w:rPr>
  </w:style>
  <w:style w:type="character" w:customStyle="1" w:styleId="ListLabel148">
    <w:name w:val="ListLabel 148"/>
    <w:qFormat/>
    <w:rPr>
      <w:rFonts w:cs="Wingdings"/>
    </w:rPr>
  </w:style>
  <w:style w:type="character" w:customStyle="1" w:styleId="ListLabel149">
    <w:name w:val="ListLabel 149"/>
    <w:qFormat/>
    <w:rPr>
      <w:rFonts w:ascii="Times New Roman" w:hAnsi="Times New Roman" w:cs="Symbol"/>
      <w:sz w:val="24"/>
    </w:rPr>
  </w:style>
  <w:style w:type="character" w:customStyle="1" w:styleId="ListLabel150">
    <w:name w:val="ListLabel 150"/>
    <w:qFormat/>
    <w:rPr>
      <w:rFonts w:cs="Courier New"/>
    </w:rPr>
  </w:style>
  <w:style w:type="character" w:customStyle="1" w:styleId="ListLabel151">
    <w:name w:val="ListLabel 151"/>
    <w:qFormat/>
    <w:rPr>
      <w:rFonts w:cs="Wingdings"/>
    </w:rPr>
  </w:style>
  <w:style w:type="character" w:customStyle="1" w:styleId="ListLabel152">
    <w:name w:val="ListLabel 152"/>
    <w:qFormat/>
    <w:rPr>
      <w:rFonts w:cs="Symbol"/>
    </w:rPr>
  </w:style>
  <w:style w:type="character" w:customStyle="1" w:styleId="ListLabel153">
    <w:name w:val="ListLabel 153"/>
    <w:qFormat/>
    <w:rPr>
      <w:rFonts w:cs="Courier New"/>
    </w:rPr>
  </w:style>
  <w:style w:type="character" w:customStyle="1" w:styleId="ListLabel154">
    <w:name w:val="ListLabel 154"/>
    <w:qFormat/>
    <w:rPr>
      <w:rFonts w:cs="Wingdings"/>
    </w:rPr>
  </w:style>
  <w:style w:type="character" w:customStyle="1" w:styleId="ListLabel155">
    <w:name w:val="ListLabel 155"/>
    <w:qFormat/>
    <w:rPr>
      <w:rFonts w:cs="Symbol"/>
    </w:rPr>
  </w:style>
  <w:style w:type="character" w:customStyle="1" w:styleId="ListLabel156">
    <w:name w:val="ListLabel 156"/>
    <w:qFormat/>
    <w:rPr>
      <w:rFonts w:cs="Courier New"/>
    </w:rPr>
  </w:style>
  <w:style w:type="character" w:customStyle="1" w:styleId="ListLabel157">
    <w:name w:val="ListLabel 157"/>
    <w:qFormat/>
    <w:rPr>
      <w:rFonts w:cs="Wingdings"/>
    </w:rPr>
  </w:style>
  <w:style w:type="character" w:customStyle="1" w:styleId="ListLabel158">
    <w:name w:val="ListLabel 158"/>
    <w:qFormat/>
    <w:rPr>
      <w:rFonts w:ascii="Times New Roman" w:hAnsi="Times New Roman" w:cs="Symbol"/>
      <w:sz w:val="24"/>
    </w:rPr>
  </w:style>
  <w:style w:type="character" w:customStyle="1" w:styleId="ListLabel159">
    <w:name w:val="ListLabel 159"/>
    <w:qFormat/>
    <w:rPr>
      <w:rFonts w:cs="Courier New"/>
    </w:rPr>
  </w:style>
  <w:style w:type="character" w:customStyle="1" w:styleId="ListLabel160">
    <w:name w:val="ListLabel 160"/>
    <w:qFormat/>
    <w:rPr>
      <w:rFonts w:cs="Wingdings"/>
    </w:rPr>
  </w:style>
  <w:style w:type="character" w:customStyle="1" w:styleId="ListLabel161">
    <w:name w:val="ListLabel 161"/>
    <w:qFormat/>
    <w:rPr>
      <w:rFonts w:cs="Symbol"/>
    </w:rPr>
  </w:style>
  <w:style w:type="character" w:customStyle="1" w:styleId="ListLabel162">
    <w:name w:val="ListLabel 162"/>
    <w:qFormat/>
    <w:rPr>
      <w:rFonts w:cs="Courier New"/>
    </w:rPr>
  </w:style>
  <w:style w:type="character" w:customStyle="1" w:styleId="ListLabel163">
    <w:name w:val="ListLabel 163"/>
    <w:qFormat/>
    <w:rPr>
      <w:rFonts w:cs="Wingdings"/>
    </w:rPr>
  </w:style>
  <w:style w:type="character" w:customStyle="1" w:styleId="ListLabel164">
    <w:name w:val="ListLabel 164"/>
    <w:qFormat/>
    <w:rPr>
      <w:rFonts w:cs="Symbol"/>
    </w:rPr>
  </w:style>
  <w:style w:type="character" w:customStyle="1" w:styleId="ListLabel165">
    <w:name w:val="ListLabel 165"/>
    <w:qFormat/>
    <w:rPr>
      <w:rFonts w:cs="Courier New"/>
    </w:rPr>
  </w:style>
  <w:style w:type="character" w:customStyle="1" w:styleId="ListLabel166">
    <w:name w:val="ListLabel 166"/>
    <w:qFormat/>
    <w:rPr>
      <w:rFonts w:cs="Wingdings"/>
    </w:rPr>
  </w:style>
  <w:style w:type="character" w:customStyle="1" w:styleId="ListLabel167">
    <w:name w:val="ListLabel 167"/>
    <w:qFormat/>
    <w:rPr>
      <w:rFonts w:ascii="Times New Roman" w:hAnsi="Times New Roman" w:cs="Symbol"/>
      <w:sz w:val="24"/>
    </w:rPr>
  </w:style>
  <w:style w:type="character" w:customStyle="1" w:styleId="ListLabel168">
    <w:name w:val="ListLabel 168"/>
    <w:qFormat/>
    <w:rPr>
      <w:rFonts w:cs="Courier New"/>
    </w:rPr>
  </w:style>
  <w:style w:type="character" w:customStyle="1" w:styleId="ListLabel169">
    <w:name w:val="ListLabel 169"/>
    <w:qFormat/>
    <w:rPr>
      <w:rFonts w:cs="Wingdings"/>
    </w:rPr>
  </w:style>
  <w:style w:type="character" w:customStyle="1" w:styleId="ListLabel170">
    <w:name w:val="ListLabel 170"/>
    <w:qFormat/>
    <w:rPr>
      <w:rFonts w:cs="Symbol"/>
    </w:rPr>
  </w:style>
  <w:style w:type="character" w:customStyle="1" w:styleId="ListLabel171">
    <w:name w:val="ListLabel 171"/>
    <w:qFormat/>
    <w:rPr>
      <w:rFonts w:cs="Courier New"/>
    </w:rPr>
  </w:style>
  <w:style w:type="character" w:customStyle="1" w:styleId="ListLabel172">
    <w:name w:val="ListLabel 172"/>
    <w:qFormat/>
    <w:rPr>
      <w:rFonts w:cs="Wingdings"/>
    </w:rPr>
  </w:style>
  <w:style w:type="character" w:customStyle="1" w:styleId="ListLabel173">
    <w:name w:val="ListLabel 173"/>
    <w:qFormat/>
    <w:rPr>
      <w:rFonts w:cs="Symbol"/>
    </w:rPr>
  </w:style>
  <w:style w:type="character" w:customStyle="1" w:styleId="ListLabel174">
    <w:name w:val="ListLabel 174"/>
    <w:qFormat/>
    <w:rPr>
      <w:rFonts w:cs="Courier New"/>
    </w:rPr>
  </w:style>
  <w:style w:type="character" w:customStyle="1" w:styleId="ListLabel175">
    <w:name w:val="ListLabel 175"/>
    <w:qFormat/>
    <w:rPr>
      <w:rFonts w:cs="Wingdings"/>
    </w:rPr>
  </w:style>
  <w:style w:type="character" w:customStyle="1" w:styleId="ListLabel176">
    <w:name w:val="ListLabel 176"/>
    <w:qFormat/>
    <w:rPr>
      <w:rFonts w:ascii="Times New Roman" w:hAnsi="Times New Roman" w:cs="Symbol"/>
      <w:sz w:val="24"/>
    </w:rPr>
  </w:style>
  <w:style w:type="character" w:customStyle="1" w:styleId="ListLabel177">
    <w:name w:val="ListLabel 177"/>
    <w:qFormat/>
    <w:rPr>
      <w:rFonts w:cs="Courier New"/>
    </w:rPr>
  </w:style>
  <w:style w:type="character" w:customStyle="1" w:styleId="ListLabel178">
    <w:name w:val="ListLabel 178"/>
    <w:qFormat/>
    <w:rPr>
      <w:rFonts w:cs="Wingdings"/>
    </w:rPr>
  </w:style>
  <w:style w:type="character" w:customStyle="1" w:styleId="ListLabel179">
    <w:name w:val="ListLabel 179"/>
    <w:qFormat/>
    <w:rPr>
      <w:rFonts w:cs="Symbol"/>
    </w:rPr>
  </w:style>
  <w:style w:type="character" w:customStyle="1" w:styleId="ListLabel180">
    <w:name w:val="ListLabel 180"/>
    <w:qFormat/>
    <w:rPr>
      <w:rFonts w:cs="Courier New"/>
    </w:rPr>
  </w:style>
  <w:style w:type="character" w:customStyle="1" w:styleId="ListLabel181">
    <w:name w:val="ListLabel 181"/>
    <w:qFormat/>
    <w:rPr>
      <w:rFonts w:cs="Wingdings"/>
    </w:rPr>
  </w:style>
  <w:style w:type="character" w:customStyle="1" w:styleId="ListLabel182">
    <w:name w:val="ListLabel 182"/>
    <w:qFormat/>
    <w:rPr>
      <w:rFonts w:cs="Symbol"/>
    </w:rPr>
  </w:style>
  <w:style w:type="character" w:customStyle="1" w:styleId="ListLabel183">
    <w:name w:val="ListLabel 183"/>
    <w:qFormat/>
    <w:rPr>
      <w:rFonts w:cs="Courier New"/>
    </w:rPr>
  </w:style>
  <w:style w:type="character" w:customStyle="1" w:styleId="ListLabel184">
    <w:name w:val="ListLabel 184"/>
    <w:qFormat/>
    <w:rPr>
      <w:rFonts w:cs="Wingdings"/>
    </w:rPr>
  </w:style>
  <w:style w:type="character" w:customStyle="1" w:styleId="ListLabel185">
    <w:name w:val="ListLabel 185"/>
    <w:qFormat/>
    <w:rPr>
      <w:rFonts w:ascii="Times New Roman" w:hAnsi="Times New Roman" w:cs="Symbol"/>
      <w:sz w:val="24"/>
    </w:rPr>
  </w:style>
  <w:style w:type="character" w:customStyle="1" w:styleId="ListLabel186">
    <w:name w:val="ListLabel 186"/>
    <w:qFormat/>
    <w:rPr>
      <w:rFonts w:cs="Courier New"/>
    </w:rPr>
  </w:style>
  <w:style w:type="character" w:customStyle="1" w:styleId="ListLabel187">
    <w:name w:val="ListLabel 187"/>
    <w:qFormat/>
    <w:rPr>
      <w:rFonts w:cs="Wingdings"/>
    </w:rPr>
  </w:style>
  <w:style w:type="character" w:customStyle="1" w:styleId="ListLabel188">
    <w:name w:val="ListLabel 188"/>
    <w:qFormat/>
    <w:rPr>
      <w:rFonts w:cs="Symbol"/>
    </w:rPr>
  </w:style>
  <w:style w:type="character" w:customStyle="1" w:styleId="ListLabel189">
    <w:name w:val="ListLabel 189"/>
    <w:qFormat/>
    <w:rPr>
      <w:rFonts w:cs="Courier New"/>
    </w:rPr>
  </w:style>
  <w:style w:type="character" w:customStyle="1" w:styleId="ListLabel190">
    <w:name w:val="ListLabel 190"/>
    <w:qFormat/>
    <w:rPr>
      <w:rFonts w:cs="Wingdings"/>
    </w:rPr>
  </w:style>
  <w:style w:type="character" w:customStyle="1" w:styleId="ListLabel191">
    <w:name w:val="ListLabel 191"/>
    <w:qFormat/>
    <w:rPr>
      <w:rFonts w:cs="Symbol"/>
    </w:rPr>
  </w:style>
  <w:style w:type="character" w:customStyle="1" w:styleId="ListLabel192">
    <w:name w:val="ListLabel 192"/>
    <w:qFormat/>
    <w:rPr>
      <w:rFonts w:cs="Courier New"/>
    </w:rPr>
  </w:style>
  <w:style w:type="character" w:customStyle="1" w:styleId="ListLabel193">
    <w:name w:val="ListLabel 193"/>
    <w:qFormat/>
    <w:rPr>
      <w:rFonts w:cs="Wingdings"/>
    </w:rPr>
  </w:style>
  <w:style w:type="paragraph" w:customStyle="1" w:styleId="Headingp">
    <w:name w:val="Heading p"/>
    <w:basedOn w:val="Normal"/>
    <w:next w:val="BodyText"/>
    <w:qFormat/>
    <w:rsid w:val="00806749"/>
    <w:pPr>
      <w:widowControl w:val="0"/>
      <w:spacing w:line="480" w:lineRule="auto"/>
      <w:ind w:firstLine="720"/>
      <w:jc w:val="center"/>
    </w:pPr>
    <w:rPr>
      <w:rFonts w:eastAsia="Calibri"/>
      <w:b/>
    </w:rPr>
  </w:style>
  <w:style w:type="paragraph" w:styleId="BodyText">
    <w:name w:val="Body Text"/>
    <w:basedOn w:val="Normal"/>
    <w:pPr>
      <w:spacing w:after="140" w:line="288" w:lineRule="auto"/>
    </w:pPr>
  </w:style>
  <w:style w:type="paragraph" w:styleId="List">
    <w:name w:val="List"/>
    <w:pPr>
      <w:widowControl w:val="0"/>
    </w:pPr>
    <w:rPr>
      <w:rFonts w:cs="Mangal"/>
      <w:sz w:val="24"/>
    </w:rPr>
  </w:style>
  <w:style w:type="paragraph" w:styleId="Caption">
    <w:name w:val="caption"/>
    <w:basedOn w:val="Normal"/>
    <w:qFormat/>
    <w:pPr>
      <w:suppressLineNumbers/>
      <w:spacing w:before="120" w:after="120" w:line="276" w:lineRule="auto"/>
    </w:pPr>
    <w:rPr>
      <w:rFonts w:asciiTheme="minorHAnsi" w:hAnsiTheme="minorHAnsi" w:cs="Mangal"/>
      <w:i/>
      <w:iCs/>
    </w:rPr>
  </w:style>
  <w:style w:type="paragraph" w:customStyle="1" w:styleId="Index">
    <w:name w:val="Index"/>
    <w:basedOn w:val="Normal"/>
    <w:qFormat/>
    <w:pPr>
      <w:suppressLineNumbers/>
      <w:spacing w:after="200" w:line="276" w:lineRule="auto"/>
    </w:pPr>
    <w:rPr>
      <w:rFonts w:asciiTheme="minorHAnsi" w:hAnsiTheme="minorHAnsi" w:cs="Mangal"/>
      <w:sz w:val="22"/>
      <w:szCs w:val="22"/>
    </w:rPr>
  </w:style>
  <w:style w:type="paragraph" w:customStyle="1" w:styleId="BodyText1">
    <w:name w:val="Body Text1"/>
    <w:basedOn w:val="Normal"/>
    <w:qFormat/>
    <w:pPr>
      <w:spacing w:after="140" w:line="288" w:lineRule="auto"/>
    </w:pPr>
    <w:rPr>
      <w:rFonts w:asciiTheme="minorHAnsi" w:hAnsiTheme="minorHAnsi" w:cstheme="minorBidi"/>
      <w:sz w:val="22"/>
      <w:szCs w:val="22"/>
    </w:rPr>
  </w:style>
  <w:style w:type="paragraph" w:styleId="Header">
    <w:name w:val="header"/>
    <w:basedOn w:val="Normal"/>
    <w:link w:val="HeaderChar"/>
    <w:uiPriority w:val="99"/>
    <w:unhideWhenUsed/>
    <w:rsid w:val="00CD4CC5"/>
    <w:pPr>
      <w:tabs>
        <w:tab w:val="center" w:pos="4680"/>
        <w:tab w:val="right" w:pos="9360"/>
      </w:tabs>
    </w:pPr>
    <w:rPr>
      <w:rFonts w:asciiTheme="minorHAnsi" w:hAnsiTheme="minorHAnsi" w:cstheme="minorBidi"/>
      <w:sz w:val="22"/>
      <w:szCs w:val="22"/>
    </w:rPr>
  </w:style>
  <w:style w:type="paragraph" w:customStyle="1" w:styleId="paragraph">
    <w:name w:val="paragraph"/>
    <w:basedOn w:val="Normal"/>
    <w:qFormat/>
    <w:rsid w:val="00CD4CC5"/>
    <w:pPr>
      <w:spacing w:beforeAutospacing="1" w:afterAutospacing="1"/>
    </w:pPr>
    <w:rPr>
      <w:rFonts w:eastAsia="Times New Roman"/>
      <w:lang w:val="en-CA" w:eastAsia="en-CA"/>
    </w:rPr>
  </w:style>
  <w:style w:type="paragraph" w:styleId="BalloonText">
    <w:name w:val="Balloon Text"/>
    <w:basedOn w:val="Normal"/>
    <w:link w:val="BalloonTextChar"/>
    <w:uiPriority w:val="99"/>
    <w:semiHidden/>
    <w:unhideWhenUsed/>
    <w:qFormat/>
    <w:rsid w:val="00CB288C"/>
    <w:rPr>
      <w:sz w:val="18"/>
      <w:szCs w:val="18"/>
    </w:rPr>
  </w:style>
  <w:style w:type="paragraph" w:styleId="Revision">
    <w:name w:val="Revision"/>
    <w:uiPriority w:val="99"/>
    <w:semiHidden/>
    <w:qFormat/>
    <w:rsid w:val="00DD676E"/>
    <w:rPr>
      <w:color w:val="00000A"/>
      <w:sz w:val="24"/>
      <w:lang w:val="en-US"/>
    </w:rPr>
  </w:style>
  <w:style w:type="paragraph" w:styleId="CommentText">
    <w:name w:val="annotation text"/>
    <w:basedOn w:val="Normal"/>
    <w:link w:val="CommentTextChar"/>
    <w:uiPriority w:val="99"/>
    <w:semiHidden/>
    <w:unhideWhenUsed/>
    <w:qFormat/>
    <w:rsid w:val="00DD676E"/>
    <w:pPr>
      <w:spacing w:after="200"/>
    </w:pPr>
    <w:rPr>
      <w:rFonts w:asciiTheme="minorHAnsi" w:hAnsiTheme="minorHAnsi" w:cstheme="minorBidi"/>
      <w:sz w:val="20"/>
      <w:szCs w:val="20"/>
    </w:rPr>
  </w:style>
  <w:style w:type="paragraph" w:styleId="CommentSubject">
    <w:name w:val="annotation subject"/>
    <w:basedOn w:val="CommentText"/>
    <w:link w:val="CommentSubjectChar"/>
    <w:uiPriority w:val="99"/>
    <w:semiHidden/>
    <w:unhideWhenUsed/>
    <w:qFormat/>
    <w:rsid w:val="00DD676E"/>
    <w:rPr>
      <w:b/>
      <w:bCs/>
    </w:rPr>
  </w:style>
  <w:style w:type="paragraph" w:styleId="ListParagraph">
    <w:name w:val="List Paragraph"/>
    <w:basedOn w:val="Normal"/>
    <w:uiPriority w:val="34"/>
    <w:qFormat/>
    <w:rsid w:val="00D03433"/>
    <w:pPr>
      <w:spacing w:after="200" w:line="276" w:lineRule="auto"/>
      <w:ind w:left="720"/>
      <w:contextualSpacing/>
    </w:pPr>
    <w:rPr>
      <w:rFonts w:asciiTheme="minorHAnsi" w:hAnsiTheme="minorHAnsi" w:cstheme="minorBidi"/>
      <w:sz w:val="22"/>
      <w:szCs w:val="22"/>
    </w:rPr>
  </w:style>
  <w:style w:type="paragraph" w:styleId="TOC1">
    <w:name w:val="toc 1"/>
    <w:basedOn w:val="Normal"/>
    <w:next w:val="Normal"/>
    <w:autoRedefine/>
    <w:uiPriority w:val="39"/>
    <w:unhideWhenUsed/>
    <w:rsid w:val="00DD1E99"/>
    <w:pPr>
      <w:spacing w:after="100" w:line="276" w:lineRule="auto"/>
    </w:pPr>
    <w:rPr>
      <w:rFonts w:asciiTheme="minorHAnsi" w:hAnsiTheme="minorHAnsi" w:cstheme="minorBidi"/>
      <w:sz w:val="22"/>
      <w:szCs w:val="22"/>
    </w:rPr>
  </w:style>
  <w:style w:type="paragraph" w:styleId="TOC2">
    <w:name w:val="toc 2"/>
    <w:basedOn w:val="Normal"/>
    <w:next w:val="Normal"/>
    <w:autoRedefine/>
    <w:uiPriority w:val="39"/>
    <w:unhideWhenUsed/>
    <w:rsid w:val="001B41A9"/>
    <w:pPr>
      <w:tabs>
        <w:tab w:val="right" w:leader="dot" w:pos="9350"/>
      </w:tabs>
      <w:spacing w:after="100" w:line="360" w:lineRule="auto"/>
    </w:pPr>
    <w:rPr>
      <w:sz w:val="22"/>
      <w:szCs w:val="22"/>
    </w:rPr>
  </w:style>
  <w:style w:type="paragraph" w:styleId="TOC3">
    <w:name w:val="toc 3"/>
    <w:basedOn w:val="Normal"/>
    <w:next w:val="Normal"/>
    <w:autoRedefine/>
    <w:uiPriority w:val="39"/>
    <w:unhideWhenUsed/>
    <w:rsid w:val="00DD1E99"/>
    <w:pPr>
      <w:spacing w:after="100" w:line="276" w:lineRule="auto"/>
      <w:ind w:left="440"/>
    </w:pPr>
    <w:rPr>
      <w:rFonts w:asciiTheme="minorHAnsi" w:hAnsiTheme="minorHAnsi" w:cstheme="minorBidi"/>
      <w:sz w:val="22"/>
      <w:szCs w:val="22"/>
    </w:rPr>
  </w:style>
  <w:style w:type="paragraph" w:customStyle="1" w:styleId="TOC41">
    <w:name w:val="TOC 41"/>
    <w:basedOn w:val="Normal"/>
    <w:next w:val="Normal"/>
    <w:autoRedefine/>
    <w:uiPriority w:val="39"/>
    <w:unhideWhenUsed/>
    <w:qFormat/>
    <w:rsid w:val="00271706"/>
    <w:pPr>
      <w:spacing w:line="276" w:lineRule="auto"/>
      <w:ind w:left="660"/>
    </w:pPr>
    <w:rPr>
      <w:rFonts w:asciiTheme="minorHAnsi" w:hAnsiTheme="minorHAnsi" w:cstheme="minorBidi"/>
      <w:sz w:val="20"/>
      <w:szCs w:val="20"/>
    </w:rPr>
  </w:style>
  <w:style w:type="paragraph" w:customStyle="1" w:styleId="TOC51">
    <w:name w:val="TOC 51"/>
    <w:basedOn w:val="Normal"/>
    <w:next w:val="Normal"/>
    <w:autoRedefine/>
    <w:uiPriority w:val="39"/>
    <w:unhideWhenUsed/>
    <w:qFormat/>
    <w:rsid w:val="00271706"/>
    <w:pPr>
      <w:spacing w:line="276" w:lineRule="auto"/>
      <w:ind w:left="880"/>
    </w:pPr>
    <w:rPr>
      <w:rFonts w:asciiTheme="minorHAnsi" w:hAnsiTheme="minorHAnsi" w:cstheme="minorBidi"/>
      <w:sz w:val="20"/>
      <w:szCs w:val="20"/>
    </w:rPr>
  </w:style>
  <w:style w:type="paragraph" w:customStyle="1" w:styleId="TOC61">
    <w:name w:val="TOC 61"/>
    <w:basedOn w:val="Normal"/>
    <w:next w:val="Normal"/>
    <w:autoRedefine/>
    <w:uiPriority w:val="39"/>
    <w:unhideWhenUsed/>
    <w:qFormat/>
    <w:rsid w:val="00271706"/>
    <w:pPr>
      <w:spacing w:line="276" w:lineRule="auto"/>
      <w:ind w:left="1100"/>
    </w:pPr>
    <w:rPr>
      <w:rFonts w:asciiTheme="minorHAnsi" w:hAnsiTheme="minorHAnsi" w:cstheme="minorBidi"/>
      <w:sz w:val="20"/>
      <w:szCs w:val="20"/>
    </w:rPr>
  </w:style>
  <w:style w:type="paragraph" w:customStyle="1" w:styleId="TOC71">
    <w:name w:val="TOC 71"/>
    <w:basedOn w:val="Normal"/>
    <w:next w:val="Normal"/>
    <w:autoRedefine/>
    <w:uiPriority w:val="39"/>
    <w:unhideWhenUsed/>
    <w:qFormat/>
    <w:rsid w:val="00271706"/>
    <w:pPr>
      <w:spacing w:line="276" w:lineRule="auto"/>
      <w:ind w:left="1320"/>
    </w:pPr>
    <w:rPr>
      <w:rFonts w:asciiTheme="minorHAnsi" w:hAnsiTheme="minorHAnsi" w:cstheme="minorBidi"/>
      <w:sz w:val="20"/>
      <w:szCs w:val="20"/>
    </w:rPr>
  </w:style>
  <w:style w:type="paragraph" w:customStyle="1" w:styleId="TOC81">
    <w:name w:val="TOC 81"/>
    <w:basedOn w:val="Normal"/>
    <w:next w:val="Normal"/>
    <w:autoRedefine/>
    <w:uiPriority w:val="39"/>
    <w:unhideWhenUsed/>
    <w:qFormat/>
    <w:rsid w:val="00271706"/>
    <w:pPr>
      <w:spacing w:line="276" w:lineRule="auto"/>
      <w:ind w:left="1540"/>
    </w:pPr>
    <w:rPr>
      <w:rFonts w:asciiTheme="minorHAnsi" w:hAnsiTheme="minorHAnsi" w:cstheme="minorBidi"/>
      <w:sz w:val="20"/>
      <w:szCs w:val="20"/>
    </w:rPr>
  </w:style>
  <w:style w:type="paragraph" w:customStyle="1" w:styleId="TOC91">
    <w:name w:val="TOC 91"/>
    <w:basedOn w:val="Normal"/>
    <w:next w:val="Normal"/>
    <w:autoRedefine/>
    <w:uiPriority w:val="39"/>
    <w:unhideWhenUsed/>
    <w:qFormat/>
    <w:rsid w:val="00271706"/>
    <w:pPr>
      <w:spacing w:line="276" w:lineRule="auto"/>
      <w:ind w:left="1760"/>
    </w:pPr>
    <w:rPr>
      <w:rFonts w:asciiTheme="minorHAnsi" w:hAnsiTheme="minorHAnsi" w:cstheme="minorBidi"/>
      <w:sz w:val="20"/>
      <w:szCs w:val="20"/>
    </w:rPr>
  </w:style>
  <w:style w:type="paragraph" w:styleId="TOCHeading">
    <w:name w:val="TOC Heading"/>
    <w:basedOn w:val="Heading1"/>
    <w:next w:val="Normal"/>
    <w:uiPriority w:val="39"/>
    <w:unhideWhenUsed/>
    <w:qFormat/>
    <w:rsid w:val="00271706"/>
    <w:pPr>
      <w:spacing w:before="480"/>
    </w:pPr>
    <w:rPr>
      <w:b w:val="0"/>
      <w:bCs/>
      <w:sz w:val="28"/>
      <w:szCs w:val="28"/>
    </w:rPr>
  </w:style>
  <w:style w:type="paragraph" w:styleId="NormalWeb">
    <w:name w:val="Normal (Web)"/>
    <w:basedOn w:val="Normal"/>
    <w:uiPriority w:val="99"/>
    <w:unhideWhenUsed/>
    <w:qFormat/>
    <w:rsid w:val="00AC392F"/>
    <w:pPr>
      <w:spacing w:beforeAutospacing="1" w:afterAutospacing="1"/>
    </w:pPr>
    <w:rPr>
      <w:rFonts w:eastAsia="Times New Roman"/>
      <w:lang w:val="en-CA" w:eastAsia="en-CA"/>
    </w:rPr>
  </w:style>
  <w:style w:type="paragraph" w:styleId="Footer">
    <w:name w:val="footer"/>
    <w:basedOn w:val="Normal"/>
    <w:link w:val="FooterChar"/>
    <w:uiPriority w:val="99"/>
    <w:unhideWhenUsed/>
    <w:rsid w:val="00DD1E99"/>
    <w:pPr>
      <w:tabs>
        <w:tab w:val="center" w:pos="4680"/>
        <w:tab w:val="right" w:pos="9360"/>
      </w:tabs>
    </w:pPr>
    <w:rPr>
      <w:rFonts w:asciiTheme="minorHAnsi" w:hAnsiTheme="minorHAnsi" w:cstheme="minorBidi"/>
      <w:sz w:val="22"/>
      <w:szCs w:val="22"/>
    </w:rPr>
  </w:style>
  <w:style w:type="paragraph" w:styleId="NoSpacing">
    <w:name w:val="No Spacing"/>
    <w:uiPriority w:val="1"/>
    <w:qFormat/>
    <w:rsid w:val="00294EC2"/>
    <w:rPr>
      <w:color w:val="00000A"/>
      <w:sz w:val="24"/>
      <w:szCs w:val="24"/>
      <w:lang w:val="en-US"/>
    </w:rPr>
  </w:style>
  <w:style w:type="paragraph" w:styleId="DocumentMap">
    <w:name w:val="Document Map"/>
    <w:basedOn w:val="Normal"/>
    <w:link w:val="DocumentMapChar"/>
    <w:uiPriority w:val="99"/>
    <w:semiHidden/>
    <w:unhideWhenUsed/>
    <w:qFormat/>
    <w:rsid w:val="00BB039F"/>
  </w:style>
  <w:style w:type="paragraph" w:styleId="Quote">
    <w:name w:val="Quote"/>
    <w:basedOn w:val="Normal"/>
    <w:next w:val="Normal"/>
    <w:link w:val="QuoteChar"/>
    <w:uiPriority w:val="29"/>
    <w:qFormat/>
    <w:rsid w:val="00A4125B"/>
    <w:pPr>
      <w:spacing w:before="200" w:after="160"/>
      <w:ind w:left="864" w:right="864"/>
      <w:jc w:val="center"/>
    </w:pPr>
    <w:rPr>
      <w:i/>
      <w:iCs/>
      <w:color w:val="404040" w:themeColor="text1" w:themeTint="BF"/>
    </w:rPr>
  </w:style>
  <w:style w:type="table" w:styleId="TableGrid">
    <w:name w:val="Table Grid"/>
    <w:basedOn w:val="TableNormal"/>
    <w:uiPriority w:val="39"/>
    <w:rsid w:val="007730BC"/>
    <w:rPr>
      <w:sz w:val="24"/>
      <w:szCs w:val="24"/>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uiPriority w:val="99"/>
    <w:semiHidden/>
    <w:unhideWhenUsed/>
    <w:rsid w:val="0029366C"/>
  </w:style>
  <w:style w:type="character" w:styleId="Hyperlink">
    <w:name w:val="Hyperlink"/>
    <w:basedOn w:val="DefaultParagraphFont"/>
    <w:uiPriority w:val="99"/>
    <w:unhideWhenUsed/>
    <w:rsid w:val="00DD3744"/>
    <w:rPr>
      <w:color w:val="0563C1" w:themeColor="hyperlink"/>
      <w:u w:val="single"/>
    </w:rPr>
  </w:style>
  <w:style w:type="paragraph" w:customStyle="1" w:styleId="Style1">
    <w:name w:val="Style1"/>
    <w:basedOn w:val="Heading1"/>
    <w:qFormat/>
    <w:rsid w:val="00806749"/>
  </w:style>
  <w:style w:type="character" w:styleId="UnresolvedMention">
    <w:name w:val="Unresolved Mention"/>
    <w:basedOn w:val="DefaultParagraphFont"/>
    <w:uiPriority w:val="99"/>
    <w:semiHidden/>
    <w:unhideWhenUsed/>
    <w:rsid w:val="005E173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757095825">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diagramQuickStyle" Target="diagrams/quickStyle1.xml"/><Relationship Id="rId18" Type="http://schemas.openxmlformats.org/officeDocument/2006/relationships/diagramQuickStyle" Target="diagrams/quickStyle2.xml"/><Relationship Id="rId26" Type="http://schemas.openxmlformats.org/officeDocument/2006/relationships/hyperlink" Target="http://www.gov.mb.ca/dio/pdf/introducing_accessibility_for_manitobans_act.pdf" TargetMode="External"/><Relationship Id="rId39" Type="http://schemas.openxmlformats.org/officeDocument/2006/relationships/theme" Target="theme/theme1.xml"/><Relationship Id="rId21" Type="http://schemas.openxmlformats.org/officeDocument/2006/relationships/hyperlink" Target="http://www.disabilitystudies.ca/ccds---history.html" TargetMode="External"/><Relationship Id="rId34" Type="http://schemas.openxmlformats.org/officeDocument/2006/relationships/hyperlink" Target="mailto:nancy.hansen@umanitoba.ca" TargetMode="External"/><Relationship Id="rId7" Type="http://schemas.openxmlformats.org/officeDocument/2006/relationships/endnotes" Target="endnotes.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hyperlink" Target="http://www.gov.mb.ca/dio/pdf/introducing_accessibility_for_manitobans_act.pdf" TargetMode="External"/><Relationship Id="rId33" Type="http://schemas.openxmlformats.org/officeDocument/2006/relationships/hyperlink" Target="mailto:"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hyperlink" Target="http://www.manitobahumanrights.ca/v1/about-us/pubs/annual-reports/2015_annual_repor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Data" Target="diagrams/data1.xml"/><Relationship Id="rId24" Type="http://schemas.openxmlformats.org/officeDocument/2006/relationships/hyperlink" Target="https://www.statcan.gc.ca/pub/75-006-x/2014001/article/14115-eng.htm" TargetMode="External"/><Relationship Id="rId32" Type="http://schemas.openxmlformats.org/officeDocument/2006/relationships/hyperlink" Target="http://mspace.lib.umanitoba.ca/" TargetMode="External"/><Relationship Id="rId37" Type="http://schemas.openxmlformats.org/officeDocument/2006/relationships/header" Target="header3.xml"/><Relationship Id="rId5"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hyperlink" Target="http://accessibilitymb.ca/pdf/employers%20_handbook.pdf" TargetMode="External"/><Relationship Id="rId28" Type="http://schemas.openxmlformats.org/officeDocument/2006/relationships/hyperlink" Target="http://www.gov.mb.ca/health/primarycare/public/access/index.html" TargetMode="External"/><Relationship Id="rId36" Type="http://schemas.openxmlformats.org/officeDocument/2006/relationships/hyperlink" Target="mailto:jaweds@myumanitoba.ca" TargetMode="External"/><Relationship Id="rId10" Type="http://schemas.openxmlformats.org/officeDocument/2006/relationships/footer" Target="footer1.xml"/><Relationship Id="rId19" Type="http://schemas.openxmlformats.org/officeDocument/2006/relationships/diagramColors" Target="diagrams/colors2.xml"/><Relationship Id="rId31" Type="http://schemas.openxmlformats.org/officeDocument/2006/relationships/hyperlink" Target="mailto:" TargetMode="Externa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diagramColors" Target="diagrams/colors1.xml"/><Relationship Id="rId22" Type="http://schemas.openxmlformats.org/officeDocument/2006/relationships/hyperlink" Target="http://www.gov.mb.ca/health/primarycare/public/myhts/index.html" TargetMode="External"/><Relationship Id="rId27" Type="http://schemas.openxmlformats.org/officeDocument/2006/relationships/hyperlink" Target="http://www.gov.mb.ca/health/primarycare/providers/getyourbenefits.html" TargetMode="External"/><Relationship Id="rId30" Type="http://schemas.openxmlformats.org/officeDocument/2006/relationships/hyperlink" Target="mailto:nancy.hansen@umanitoba.ca" TargetMode="External"/><Relationship Id="rId35" Type="http://schemas.openxmlformats.org/officeDocument/2006/relationships/hyperlink" Target="mailto:Deborah.McPhail@umanitoba.ca" TargetMode="External"/><Relationship Id="rId8" Type="http://schemas.openxmlformats.org/officeDocument/2006/relationships/header" Target="header1.xml"/><Relationship Id="rId3" Type="http://schemas.openxmlformats.org/officeDocument/2006/relationships/styles" Target="styles.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C58E7DA-C6F0-AC4A-838D-D8AB951F890B}" type="doc">
      <dgm:prSet loTypeId="urn:microsoft.com/office/officeart/2008/layout/VerticalCurvedList" loCatId="" qsTypeId="urn:microsoft.com/office/officeart/2005/8/quickstyle/simple4" qsCatId="simple" csTypeId="urn:microsoft.com/office/officeart/2005/8/colors/accent1_2" csCatId="accent1" phldr="1"/>
      <dgm:spPr/>
      <dgm:t>
        <a:bodyPr/>
        <a:lstStyle/>
        <a:p>
          <a:endParaRPr lang="en-US"/>
        </a:p>
      </dgm:t>
    </dgm:pt>
    <dgm:pt modelId="{E84C6EC7-D80B-3F4D-A1D3-244F22D59272}">
      <dgm:prSet phldrT="[Text]"/>
      <dgm:spPr/>
      <dgm:t>
        <a:bodyPr/>
        <a:lstStyle/>
        <a:p>
          <a:r>
            <a:rPr lang="en-US"/>
            <a:t>The Accessible Customer Service Standard </a:t>
          </a:r>
        </a:p>
      </dgm:t>
    </dgm:pt>
    <dgm:pt modelId="{C70BF9B0-7707-1649-9DD4-CBE4E65A7A97}" type="parTrans" cxnId="{AA5C3C51-6027-064C-91D5-2710C3AC3378}">
      <dgm:prSet/>
      <dgm:spPr/>
      <dgm:t>
        <a:bodyPr/>
        <a:lstStyle/>
        <a:p>
          <a:endParaRPr lang="en-US"/>
        </a:p>
      </dgm:t>
    </dgm:pt>
    <dgm:pt modelId="{9C2D8074-5798-3D49-8DAF-9FD3E03C6FA5}" type="sibTrans" cxnId="{AA5C3C51-6027-064C-91D5-2710C3AC3378}">
      <dgm:prSet/>
      <dgm:spPr/>
      <dgm:t>
        <a:bodyPr/>
        <a:lstStyle/>
        <a:p>
          <a:endParaRPr lang="en-US"/>
        </a:p>
      </dgm:t>
    </dgm:pt>
    <dgm:pt modelId="{0AA9076E-0B36-AC4D-BF8D-9547C4B83EA7}">
      <dgm:prSet phldrT="[Text]"/>
      <dgm:spPr/>
      <dgm:t>
        <a:bodyPr/>
        <a:lstStyle/>
        <a:p>
          <a:r>
            <a:rPr lang="en-US"/>
            <a:t>The Accessible Employment Standard</a:t>
          </a:r>
        </a:p>
      </dgm:t>
    </dgm:pt>
    <dgm:pt modelId="{E67171D2-E188-C044-BDDE-8419DCA76587}" type="parTrans" cxnId="{3A69ADB3-585B-7946-8452-545B05296270}">
      <dgm:prSet/>
      <dgm:spPr/>
      <dgm:t>
        <a:bodyPr/>
        <a:lstStyle/>
        <a:p>
          <a:endParaRPr lang="en-US"/>
        </a:p>
      </dgm:t>
    </dgm:pt>
    <dgm:pt modelId="{6933FAD3-AD01-994C-91F9-6AB1B9A40E8C}" type="sibTrans" cxnId="{3A69ADB3-585B-7946-8452-545B05296270}">
      <dgm:prSet/>
      <dgm:spPr/>
      <dgm:t>
        <a:bodyPr/>
        <a:lstStyle/>
        <a:p>
          <a:endParaRPr lang="en-US"/>
        </a:p>
      </dgm:t>
    </dgm:pt>
    <dgm:pt modelId="{50CD6060-8650-874F-A22D-855B4B94557D}">
      <dgm:prSet phldrT="[Text]"/>
      <dgm:spPr/>
      <dgm:t>
        <a:bodyPr/>
        <a:lstStyle/>
        <a:p>
          <a:r>
            <a:rPr lang="en-US"/>
            <a:t>The Accessible Information and Communications Standard </a:t>
          </a:r>
        </a:p>
      </dgm:t>
    </dgm:pt>
    <dgm:pt modelId="{7406D234-7B5A-FA48-87D3-8A8100E9E8A3}" type="parTrans" cxnId="{D7407DC2-28BA-1F41-B20E-C319A3B91B58}">
      <dgm:prSet/>
      <dgm:spPr/>
      <dgm:t>
        <a:bodyPr/>
        <a:lstStyle/>
        <a:p>
          <a:endParaRPr lang="en-US"/>
        </a:p>
      </dgm:t>
    </dgm:pt>
    <dgm:pt modelId="{F8843FE9-3EEB-F744-A34C-AFC0262150B5}" type="sibTrans" cxnId="{D7407DC2-28BA-1F41-B20E-C319A3B91B58}">
      <dgm:prSet/>
      <dgm:spPr/>
      <dgm:t>
        <a:bodyPr/>
        <a:lstStyle/>
        <a:p>
          <a:endParaRPr lang="en-US"/>
        </a:p>
      </dgm:t>
    </dgm:pt>
    <dgm:pt modelId="{37120281-82F2-0E46-8B37-ED227F84B048}">
      <dgm:prSet/>
      <dgm:spPr/>
      <dgm:t>
        <a:bodyPr/>
        <a:lstStyle/>
        <a:p>
          <a:r>
            <a:rPr lang="en-US"/>
            <a:t>The Accessible Built Environment Standard </a:t>
          </a:r>
        </a:p>
      </dgm:t>
    </dgm:pt>
    <dgm:pt modelId="{B6E0D15D-0FE7-7E47-BBF1-4C87170944B9}" type="parTrans" cxnId="{7492E389-F820-AE4D-A62E-4D2EB628BA66}">
      <dgm:prSet/>
      <dgm:spPr/>
      <dgm:t>
        <a:bodyPr/>
        <a:lstStyle/>
        <a:p>
          <a:endParaRPr lang="en-US"/>
        </a:p>
      </dgm:t>
    </dgm:pt>
    <dgm:pt modelId="{E119EAC8-98CD-E34E-BFE8-6A9A60455E7D}" type="sibTrans" cxnId="{7492E389-F820-AE4D-A62E-4D2EB628BA66}">
      <dgm:prSet/>
      <dgm:spPr/>
      <dgm:t>
        <a:bodyPr/>
        <a:lstStyle/>
        <a:p>
          <a:endParaRPr lang="en-US"/>
        </a:p>
      </dgm:t>
    </dgm:pt>
    <dgm:pt modelId="{0DD80A73-EBAD-864A-9CCD-E4A83C9C1B65}">
      <dgm:prSet/>
      <dgm:spPr/>
      <dgm:t>
        <a:bodyPr/>
        <a:lstStyle/>
        <a:p>
          <a:r>
            <a:rPr lang="en-US"/>
            <a:t>The Accessible Transportation Standard </a:t>
          </a:r>
        </a:p>
      </dgm:t>
    </dgm:pt>
    <dgm:pt modelId="{E73DAFFE-BFD6-EE4D-8DC5-04B992AE5587}" type="parTrans" cxnId="{4E9246A3-5BBC-814F-9315-F9C01FEB6A3B}">
      <dgm:prSet/>
      <dgm:spPr/>
      <dgm:t>
        <a:bodyPr/>
        <a:lstStyle/>
        <a:p>
          <a:endParaRPr lang="en-US"/>
        </a:p>
      </dgm:t>
    </dgm:pt>
    <dgm:pt modelId="{B5C6D382-146B-7E43-A2D6-FD756FBF9168}" type="sibTrans" cxnId="{4E9246A3-5BBC-814F-9315-F9C01FEB6A3B}">
      <dgm:prSet/>
      <dgm:spPr/>
      <dgm:t>
        <a:bodyPr/>
        <a:lstStyle/>
        <a:p>
          <a:endParaRPr lang="en-US"/>
        </a:p>
      </dgm:t>
    </dgm:pt>
    <dgm:pt modelId="{79134351-33A0-6347-99F3-FC49212F6431}" type="pres">
      <dgm:prSet presAssocID="{5C58E7DA-C6F0-AC4A-838D-D8AB951F890B}" presName="Name0" presStyleCnt="0">
        <dgm:presLayoutVars>
          <dgm:chMax val="7"/>
          <dgm:chPref val="7"/>
          <dgm:dir/>
        </dgm:presLayoutVars>
      </dgm:prSet>
      <dgm:spPr/>
    </dgm:pt>
    <dgm:pt modelId="{DC45C604-B459-444A-90D2-32677C846E0D}" type="pres">
      <dgm:prSet presAssocID="{5C58E7DA-C6F0-AC4A-838D-D8AB951F890B}" presName="Name1" presStyleCnt="0"/>
      <dgm:spPr/>
    </dgm:pt>
    <dgm:pt modelId="{5BB824DC-94BF-DF49-8805-A7044361E0C0}" type="pres">
      <dgm:prSet presAssocID="{5C58E7DA-C6F0-AC4A-838D-D8AB951F890B}" presName="cycle" presStyleCnt="0"/>
      <dgm:spPr/>
    </dgm:pt>
    <dgm:pt modelId="{29F6096E-F999-724F-952F-323A8CCA4B85}" type="pres">
      <dgm:prSet presAssocID="{5C58E7DA-C6F0-AC4A-838D-D8AB951F890B}" presName="srcNode" presStyleLbl="node1" presStyleIdx="0" presStyleCnt="5"/>
      <dgm:spPr/>
    </dgm:pt>
    <dgm:pt modelId="{35EA2279-5F10-F547-8899-B9D9EEF87DB1}" type="pres">
      <dgm:prSet presAssocID="{5C58E7DA-C6F0-AC4A-838D-D8AB951F890B}" presName="conn" presStyleLbl="parChTrans1D2" presStyleIdx="0" presStyleCnt="1"/>
      <dgm:spPr/>
    </dgm:pt>
    <dgm:pt modelId="{22772442-121C-3B40-ADEB-45762DE77CA3}" type="pres">
      <dgm:prSet presAssocID="{5C58E7DA-C6F0-AC4A-838D-D8AB951F890B}" presName="extraNode" presStyleLbl="node1" presStyleIdx="0" presStyleCnt="5"/>
      <dgm:spPr/>
    </dgm:pt>
    <dgm:pt modelId="{3654A3B9-5DE7-544A-9C6B-87A0CFDAC069}" type="pres">
      <dgm:prSet presAssocID="{5C58E7DA-C6F0-AC4A-838D-D8AB951F890B}" presName="dstNode" presStyleLbl="node1" presStyleIdx="0" presStyleCnt="5"/>
      <dgm:spPr/>
    </dgm:pt>
    <dgm:pt modelId="{7BB6B544-05C4-7A43-B780-09C616EAF841}" type="pres">
      <dgm:prSet presAssocID="{E84C6EC7-D80B-3F4D-A1D3-244F22D59272}" presName="text_1" presStyleLbl="node1" presStyleIdx="0" presStyleCnt="5">
        <dgm:presLayoutVars>
          <dgm:bulletEnabled val="1"/>
        </dgm:presLayoutVars>
      </dgm:prSet>
      <dgm:spPr/>
    </dgm:pt>
    <dgm:pt modelId="{DEB28754-9557-3D4E-B498-D15EE02DB279}" type="pres">
      <dgm:prSet presAssocID="{E84C6EC7-D80B-3F4D-A1D3-244F22D59272}" presName="accent_1" presStyleCnt="0"/>
      <dgm:spPr/>
    </dgm:pt>
    <dgm:pt modelId="{9A61543B-F388-0B46-BCBF-699F02B7CCE1}" type="pres">
      <dgm:prSet presAssocID="{E84C6EC7-D80B-3F4D-A1D3-244F22D59272}" presName="accentRepeatNode" presStyleLbl="solidFgAcc1" presStyleIdx="0" presStyleCnt="5"/>
      <dgm:spPr>
        <a:solidFill>
          <a:srgbClr val="6DE0BE"/>
        </a:solidFill>
      </dgm:spPr>
    </dgm:pt>
    <dgm:pt modelId="{EB569903-2725-B240-8F59-96062453846D}" type="pres">
      <dgm:prSet presAssocID="{0AA9076E-0B36-AC4D-BF8D-9547C4B83EA7}" presName="text_2" presStyleLbl="node1" presStyleIdx="1" presStyleCnt="5">
        <dgm:presLayoutVars>
          <dgm:bulletEnabled val="1"/>
        </dgm:presLayoutVars>
      </dgm:prSet>
      <dgm:spPr/>
    </dgm:pt>
    <dgm:pt modelId="{5F0938C7-E4A2-7845-BD0B-C1F1D454BEB5}" type="pres">
      <dgm:prSet presAssocID="{0AA9076E-0B36-AC4D-BF8D-9547C4B83EA7}" presName="accent_2" presStyleCnt="0"/>
      <dgm:spPr/>
    </dgm:pt>
    <dgm:pt modelId="{119948B0-D374-834C-A186-72C8AD9B2506}" type="pres">
      <dgm:prSet presAssocID="{0AA9076E-0B36-AC4D-BF8D-9547C4B83EA7}" presName="accentRepeatNode" presStyleLbl="solidFgAcc1" presStyleIdx="1" presStyleCnt="5"/>
      <dgm:spPr>
        <a:solidFill>
          <a:srgbClr val="6DE0BE"/>
        </a:solidFill>
      </dgm:spPr>
    </dgm:pt>
    <dgm:pt modelId="{445762D8-2759-4748-A2E6-188B2C69B393}" type="pres">
      <dgm:prSet presAssocID="{50CD6060-8650-874F-A22D-855B4B94557D}" presName="text_3" presStyleLbl="node1" presStyleIdx="2" presStyleCnt="5">
        <dgm:presLayoutVars>
          <dgm:bulletEnabled val="1"/>
        </dgm:presLayoutVars>
      </dgm:prSet>
      <dgm:spPr/>
    </dgm:pt>
    <dgm:pt modelId="{B05C1C39-7C40-1A41-A5BA-5C1EC5ABF07A}" type="pres">
      <dgm:prSet presAssocID="{50CD6060-8650-874F-A22D-855B4B94557D}" presName="accent_3" presStyleCnt="0"/>
      <dgm:spPr/>
    </dgm:pt>
    <dgm:pt modelId="{0D836084-DA68-AE4B-8EE1-436A35758F54}" type="pres">
      <dgm:prSet presAssocID="{50CD6060-8650-874F-A22D-855B4B94557D}" presName="accentRepeatNode" presStyleLbl="solidFgAcc1" presStyleIdx="2" presStyleCnt="5"/>
      <dgm:spPr>
        <a:solidFill>
          <a:srgbClr val="6DE0BE"/>
        </a:solidFill>
      </dgm:spPr>
    </dgm:pt>
    <dgm:pt modelId="{BC127B99-EC5C-074F-BECA-611B3EBC2EED}" type="pres">
      <dgm:prSet presAssocID="{37120281-82F2-0E46-8B37-ED227F84B048}" presName="text_4" presStyleLbl="node1" presStyleIdx="3" presStyleCnt="5">
        <dgm:presLayoutVars>
          <dgm:bulletEnabled val="1"/>
        </dgm:presLayoutVars>
      </dgm:prSet>
      <dgm:spPr/>
    </dgm:pt>
    <dgm:pt modelId="{970911D3-142A-2843-AAD0-0F702802C6E6}" type="pres">
      <dgm:prSet presAssocID="{37120281-82F2-0E46-8B37-ED227F84B048}" presName="accent_4" presStyleCnt="0"/>
      <dgm:spPr/>
    </dgm:pt>
    <dgm:pt modelId="{BE687348-4DE6-154C-90BD-CECF61EAFE41}" type="pres">
      <dgm:prSet presAssocID="{37120281-82F2-0E46-8B37-ED227F84B048}" presName="accentRepeatNode" presStyleLbl="solidFgAcc1" presStyleIdx="3" presStyleCnt="5"/>
      <dgm:spPr>
        <a:solidFill>
          <a:srgbClr val="6DE0BE"/>
        </a:solidFill>
      </dgm:spPr>
    </dgm:pt>
    <dgm:pt modelId="{9A692B23-3862-FC4F-88B2-83512D452B7E}" type="pres">
      <dgm:prSet presAssocID="{0DD80A73-EBAD-864A-9CCD-E4A83C9C1B65}" presName="text_5" presStyleLbl="node1" presStyleIdx="4" presStyleCnt="5">
        <dgm:presLayoutVars>
          <dgm:bulletEnabled val="1"/>
        </dgm:presLayoutVars>
      </dgm:prSet>
      <dgm:spPr/>
    </dgm:pt>
    <dgm:pt modelId="{66CE5D04-297D-8645-9F68-B587C859181D}" type="pres">
      <dgm:prSet presAssocID="{0DD80A73-EBAD-864A-9CCD-E4A83C9C1B65}" presName="accent_5" presStyleCnt="0"/>
      <dgm:spPr/>
    </dgm:pt>
    <dgm:pt modelId="{D2C9E5AC-9AD8-DD4E-8AFA-CFADD3E932F0}" type="pres">
      <dgm:prSet presAssocID="{0DD80A73-EBAD-864A-9CCD-E4A83C9C1B65}" presName="accentRepeatNode" presStyleLbl="solidFgAcc1" presStyleIdx="4" presStyleCnt="5"/>
      <dgm:spPr>
        <a:solidFill>
          <a:srgbClr val="6DE0BE"/>
        </a:solidFill>
      </dgm:spPr>
    </dgm:pt>
  </dgm:ptLst>
  <dgm:cxnLst>
    <dgm:cxn modelId="{985DE614-4583-2247-AA0A-5A346A6CD41A}" type="presOf" srcId="{9C2D8074-5798-3D49-8DAF-9FD3E03C6FA5}" destId="{35EA2279-5F10-F547-8899-B9D9EEF87DB1}" srcOrd="0" destOrd="0" presId="urn:microsoft.com/office/officeart/2008/layout/VerticalCurvedList"/>
    <dgm:cxn modelId="{F663B618-17C2-9349-A53D-BC72F68C636A}" type="presOf" srcId="{0DD80A73-EBAD-864A-9CCD-E4A83C9C1B65}" destId="{9A692B23-3862-FC4F-88B2-83512D452B7E}" srcOrd="0" destOrd="0" presId="urn:microsoft.com/office/officeart/2008/layout/VerticalCurvedList"/>
    <dgm:cxn modelId="{1A0F1044-7DD7-CE4D-8C9F-6AC624697E2B}" type="presOf" srcId="{50CD6060-8650-874F-A22D-855B4B94557D}" destId="{445762D8-2759-4748-A2E6-188B2C69B393}" srcOrd="0" destOrd="0" presId="urn:microsoft.com/office/officeart/2008/layout/VerticalCurvedList"/>
    <dgm:cxn modelId="{AA5C3C51-6027-064C-91D5-2710C3AC3378}" srcId="{5C58E7DA-C6F0-AC4A-838D-D8AB951F890B}" destId="{E84C6EC7-D80B-3F4D-A1D3-244F22D59272}" srcOrd="0" destOrd="0" parTransId="{C70BF9B0-7707-1649-9DD4-CBE4E65A7A97}" sibTransId="{9C2D8074-5798-3D49-8DAF-9FD3E03C6FA5}"/>
    <dgm:cxn modelId="{2515E557-DF67-8645-B4EB-E0394716FAE1}" type="presOf" srcId="{0AA9076E-0B36-AC4D-BF8D-9547C4B83EA7}" destId="{EB569903-2725-B240-8F59-96062453846D}" srcOrd="0" destOrd="0" presId="urn:microsoft.com/office/officeart/2008/layout/VerticalCurvedList"/>
    <dgm:cxn modelId="{947BA85A-B37E-4C40-8B49-81F06D863D39}" type="presOf" srcId="{37120281-82F2-0E46-8B37-ED227F84B048}" destId="{BC127B99-EC5C-074F-BECA-611B3EBC2EED}" srcOrd="0" destOrd="0" presId="urn:microsoft.com/office/officeart/2008/layout/VerticalCurvedList"/>
    <dgm:cxn modelId="{7492E389-F820-AE4D-A62E-4D2EB628BA66}" srcId="{5C58E7DA-C6F0-AC4A-838D-D8AB951F890B}" destId="{37120281-82F2-0E46-8B37-ED227F84B048}" srcOrd="3" destOrd="0" parTransId="{B6E0D15D-0FE7-7E47-BBF1-4C87170944B9}" sibTransId="{E119EAC8-98CD-E34E-BFE8-6A9A60455E7D}"/>
    <dgm:cxn modelId="{8A4626A0-D0A0-DF43-9694-D3ED7DB0DC97}" type="presOf" srcId="{5C58E7DA-C6F0-AC4A-838D-D8AB951F890B}" destId="{79134351-33A0-6347-99F3-FC49212F6431}" srcOrd="0" destOrd="0" presId="urn:microsoft.com/office/officeart/2008/layout/VerticalCurvedList"/>
    <dgm:cxn modelId="{4E9246A3-5BBC-814F-9315-F9C01FEB6A3B}" srcId="{5C58E7DA-C6F0-AC4A-838D-D8AB951F890B}" destId="{0DD80A73-EBAD-864A-9CCD-E4A83C9C1B65}" srcOrd="4" destOrd="0" parTransId="{E73DAFFE-BFD6-EE4D-8DC5-04B992AE5587}" sibTransId="{B5C6D382-146B-7E43-A2D6-FD756FBF9168}"/>
    <dgm:cxn modelId="{3A69ADB3-585B-7946-8452-545B05296270}" srcId="{5C58E7DA-C6F0-AC4A-838D-D8AB951F890B}" destId="{0AA9076E-0B36-AC4D-BF8D-9547C4B83EA7}" srcOrd="1" destOrd="0" parTransId="{E67171D2-E188-C044-BDDE-8419DCA76587}" sibTransId="{6933FAD3-AD01-994C-91F9-6AB1B9A40E8C}"/>
    <dgm:cxn modelId="{832593BD-426E-F04C-BE0C-DAA8915B36EC}" type="presOf" srcId="{E84C6EC7-D80B-3F4D-A1D3-244F22D59272}" destId="{7BB6B544-05C4-7A43-B780-09C616EAF841}" srcOrd="0" destOrd="0" presId="urn:microsoft.com/office/officeart/2008/layout/VerticalCurvedList"/>
    <dgm:cxn modelId="{D7407DC2-28BA-1F41-B20E-C319A3B91B58}" srcId="{5C58E7DA-C6F0-AC4A-838D-D8AB951F890B}" destId="{50CD6060-8650-874F-A22D-855B4B94557D}" srcOrd="2" destOrd="0" parTransId="{7406D234-7B5A-FA48-87D3-8A8100E9E8A3}" sibTransId="{F8843FE9-3EEB-F744-A34C-AFC0262150B5}"/>
    <dgm:cxn modelId="{170DA954-8B0C-F84B-9EDC-9442F6C1EF1D}" type="presParOf" srcId="{79134351-33A0-6347-99F3-FC49212F6431}" destId="{DC45C604-B459-444A-90D2-32677C846E0D}" srcOrd="0" destOrd="0" presId="urn:microsoft.com/office/officeart/2008/layout/VerticalCurvedList"/>
    <dgm:cxn modelId="{C0AE7222-6097-0D42-80B4-761E786F9932}" type="presParOf" srcId="{DC45C604-B459-444A-90D2-32677C846E0D}" destId="{5BB824DC-94BF-DF49-8805-A7044361E0C0}" srcOrd="0" destOrd="0" presId="urn:microsoft.com/office/officeart/2008/layout/VerticalCurvedList"/>
    <dgm:cxn modelId="{0DB49F08-ED38-9841-808F-C4A6AE395DC6}" type="presParOf" srcId="{5BB824DC-94BF-DF49-8805-A7044361E0C0}" destId="{29F6096E-F999-724F-952F-323A8CCA4B85}" srcOrd="0" destOrd="0" presId="urn:microsoft.com/office/officeart/2008/layout/VerticalCurvedList"/>
    <dgm:cxn modelId="{5C40A762-1C2C-F944-86D5-EEA9EFE38036}" type="presParOf" srcId="{5BB824DC-94BF-DF49-8805-A7044361E0C0}" destId="{35EA2279-5F10-F547-8899-B9D9EEF87DB1}" srcOrd="1" destOrd="0" presId="urn:microsoft.com/office/officeart/2008/layout/VerticalCurvedList"/>
    <dgm:cxn modelId="{58F33E20-D143-074E-A717-B80944E27A5C}" type="presParOf" srcId="{5BB824DC-94BF-DF49-8805-A7044361E0C0}" destId="{22772442-121C-3B40-ADEB-45762DE77CA3}" srcOrd="2" destOrd="0" presId="urn:microsoft.com/office/officeart/2008/layout/VerticalCurvedList"/>
    <dgm:cxn modelId="{29356EDB-ADD0-A544-992B-4952E47B7581}" type="presParOf" srcId="{5BB824DC-94BF-DF49-8805-A7044361E0C0}" destId="{3654A3B9-5DE7-544A-9C6B-87A0CFDAC069}" srcOrd="3" destOrd="0" presId="urn:microsoft.com/office/officeart/2008/layout/VerticalCurvedList"/>
    <dgm:cxn modelId="{6E967D33-0029-B448-A886-403A95EDCC64}" type="presParOf" srcId="{DC45C604-B459-444A-90D2-32677C846E0D}" destId="{7BB6B544-05C4-7A43-B780-09C616EAF841}" srcOrd="1" destOrd="0" presId="urn:microsoft.com/office/officeart/2008/layout/VerticalCurvedList"/>
    <dgm:cxn modelId="{1369E764-1BAC-4742-A2A0-34FCA0D56E05}" type="presParOf" srcId="{DC45C604-B459-444A-90D2-32677C846E0D}" destId="{DEB28754-9557-3D4E-B498-D15EE02DB279}" srcOrd="2" destOrd="0" presId="urn:microsoft.com/office/officeart/2008/layout/VerticalCurvedList"/>
    <dgm:cxn modelId="{4F90EFEA-1626-D54C-BF4E-48498E8647F2}" type="presParOf" srcId="{DEB28754-9557-3D4E-B498-D15EE02DB279}" destId="{9A61543B-F388-0B46-BCBF-699F02B7CCE1}" srcOrd="0" destOrd="0" presId="urn:microsoft.com/office/officeart/2008/layout/VerticalCurvedList"/>
    <dgm:cxn modelId="{5236EB45-5F93-2B47-8EC8-B2DE326A3DE0}" type="presParOf" srcId="{DC45C604-B459-444A-90D2-32677C846E0D}" destId="{EB569903-2725-B240-8F59-96062453846D}" srcOrd="3" destOrd="0" presId="urn:microsoft.com/office/officeart/2008/layout/VerticalCurvedList"/>
    <dgm:cxn modelId="{47B53BE2-7A9E-7C46-833F-C4A909B6245C}" type="presParOf" srcId="{DC45C604-B459-444A-90D2-32677C846E0D}" destId="{5F0938C7-E4A2-7845-BD0B-C1F1D454BEB5}" srcOrd="4" destOrd="0" presId="urn:microsoft.com/office/officeart/2008/layout/VerticalCurvedList"/>
    <dgm:cxn modelId="{E85D98AA-36BA-8C45-811B-0077D5007EB1}" type="presParOf" srcId="{5F0938C7-E4A2-7845-BD0B-C1F1D454BEB5}" destId="{119948B0-D374-834C-A186-72C8AD9B2506}" srcOrd="0" destOrd="0" presId="urn:microsoft.com/office/officeart/2008/layout/VerticalCurvedList"/>
    <dgm:cxn modelId="{6F263ED7-8BB3-E946-905C-21D260D91872}" type="presParOf" srcId="{DC45C604-B459-444A-90D2-32677C846E0D}" destId="{445762D8-2759-4748-A2E6-188B2C69B393}" srcOrd="5" destOrd="0" presId="urn:microsoft.com/office/officeart/2008/layout/VerticalCurvedList"/>
    <dgm:cxn modelId="{4C7F0AEF-8E45-AC4A-B50C-90C4170C90D3}" type="presParOf" srcId="{DC45C604-B459-444A-90D2-32677C846E0D}" destId="{B05C1C39-7C40-1A41-A5BA-5C1EC5ABF07A}" srcOrd="6" destOrd="0" presId="urn:microsoft.com/office/officeart/2008/layout/VerticalCurvedList"/>
    <dgm:cxn modelId="{E44D7DB2-999D-7347-A6B0-05347A24CA8C}" type="presParOf" srcId="{B05C1C39-7C40-1A41-A5BA-5C1EC5ABF07A}" destId="{0D836084-DA68-AE4B-8EE1-436A35758F54}" srcOrd="0" destOrd="0" presId="urn:microsoft.com/office/officeart/2008/layout/VerticalCurvedList"/>
    <dgm:cxn modelId="{7DD63F25-BBC1-FC40-85C2-C4E7A53A30C0}" type="presParOf" srcId="{DC45C604-B459-444A-90D2-32677C846E0D}" destId="{BC127B99-EC5C-074F-BECA-611B3EBC2EED}" srcOrd="7" destOrd="0" presId="urn:microsoft.com/office/officeart/2008/layout/VerticalCurvedList"/>
    <dgm:cxn modelId="{CD9432ED-789A-CF44-B40D-FCDB58B44531}" type="presParOf" srcId="{DC45C604-B459-444A-90D2-32677C846E0D}" destId="{970911D3-142A-2843-AAD0-0F702802C6E6}" srcOrd="8" destOrd="0" presId="urn:microsoft.com/office/officeart/2008/layout/VerticalCurvedList"/>
    <dgm:cxn modelId="{A45AEEA3-E77E-4A4E-B160-137D03824B84}" type="presParOf" srcId="{970911D3-142A-2843-AAD0-0F702802C6E6}" destId="{BE687348-4DE6-154C-90BD-CECF61EAFE41}" srcOrd="0" destOrd="0" presId="urn:microsoft.com/office/officeart/2008/layout/VerticalCurvedList"/>
    <dgm:cxn modelId="{80ACF271-54E6-5C4C-BE00-42879024E573}" type="presParOf" srcId="{DC45C604-B459-444A-90D2-32677C846E0D}" destId="{9A692B23-3862-FC4F-88B2-83512D452B7E}" srcOrd="9" destOrd="0" presId="urn:microsoft.com/office/officeart/2008/layout/VerticalCurvedList"/>
    <dgm:cxn modelId="{67B364F2-6628-6842-8C56-FC08B160BCE1}" type="presParOf" srcId="{DC45C604-B459-444A-90D2-32677C846E0D}" destId="{66CE5D04-297D-8645-9F68-B587C859181D}" srcOrd="10" destOrd="0" presId="urn:microsoft.com/office/officeart/2008/layout/VerticalCurvedList"/>
    <dgm:cxn modelId="{26FDB117-E84D-784B-B401-AA1D647E0C1E}" type="presParOf" srcId="{66CE5D04-297D-8645-9F68-B587C859181D}" destId="{D2C9E5AC-9AD8-DD4E-8AFA-CFADD3E932F0}" srcOrd="0" destOrd="0" presId="urn:microsoft.com/office/officeart/2008/layout/VerticalCurvedLis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365ED15C-25C3-FE47-9BCE-8A3330D56B60}" type="doc">
      <dgm:prSet loTypeId="urn:microsoft.com/office/officeart/2005/8/layout/cycle2" loCatId="" qsTypeId="urn:microsoft.com/office/officeart/2005/8/quickstyle/3D1" qsCatId="3D" csTypeId="urn:microsoft.com/office/officeart/2005/8/colors/colorful5" csCatId="colorful" phldr="1"/>
      <dgm:spPr/>
      <dgm:t>
        <a:bodyPr/>
        <a:lstStyle/>
        <a:p>
          <a:endParaRPr lang="en-US"/>
        </a:p>
      </dgm:t>
    </dgm:pt>
    <dgm:pt modelId="{29205586-7592-9544-B180-3E683C316975}">
      <dgm:prSet phldrT="[Text]" custT="1"/>
      <dgm:spPr/>
      <dgm:t>
        <a:bodyPr/>
        <a:lstStyle/>
        <a:p>
          <a:r>
            <a:rPr lang="en-US" sz="900"/>
            <a:t>Accessibility</a:t>
          </a:r>
        </a:p>
      </dgm:t>
    </dgm:pt>
    <dgm:pt modelId="{CACF5F1E-4214-E54E-9D1F-F13E8FC3345B}" type="parTrans" cxnId="{9224F222-B7F6-D440-A706-4FB9743A738A}">
      <dgm:prSet/>
      <dgm:spPr/>
      <dgm:t>
        <a:bodyPr/>
        <a:lstStyle/>
        <a:p>
          <a:endParaRPr lang="en-US"/>
        </a:p>
      </dgm:t>
    </dgm:pt>
    <dgm:pt modelId="{03BB7EDE-2C9B-344A-8DE2-E0518F2D90A1}" type="sibTrans" cxnId="{9224F222-B7F6-D440-A706-4FB9743A738A}">
      <dgm:prSet/>
      <dgm:spPr/>
      <dgm:t>
        <a:bodyPr/>
        <a:lstStyle/>
        <a:p>
          <a:endParaRPr lang="en-US"/>
        </a:p>
      </dgm:t>
    </dgm:pt>
    <dgm:pt modelId="{762C6DAA-4B50-B845-8ACA-A489780B4146}">
      <dgm:prSet phldrT="[Text]" custT="1"/>
      <dgm:spPr/>
      <dgm:t>
        <a:bodyPr/>
        <a:lstStyle/>
        <a:p>
          <a:r>
            <a:rPr lang="en-US" sz="1000"/>
            <a:t>Training</a:t>
          </a:r>
        </a:p>
      </dgm:t>
    </dgm:pt>
    <dgm:pt modelId="{B34C7651-26DA-E041-9E7E-13840E2342CD}" type="parTrans" cxnId="{D5E2C6CF-E10C-534B-B670-18CA9307E7A8}">
      <dgm:prSet/>
      <dgm:spPr/>
      <dgm:t>
        <a:bodyPr/>
        <a:lstStyle/>
        <a:p>
          <a:endParaRPr lang="en-US"/>
        </a:p>
      </dgm:t>
    </dgm:pt>
    <dgm:pt modelId="{CC502F57-89DB-EE4E-AB67-9616BEA207F4}" type="sibTrans" cxnId="{D5E2C6CF-E10C-534B-B670-18CA9307E7A8}">
      <dgm:prSet/>
      <dgm:spPr/>
      <dgm:t>
        <a:bodyPr/>
        <a:lstStyle/>
        <a:p>
          <a:endParaRPr lang="en-US"/>
        </a:p>
      </dgm:t>
    </dgm:pt>
    <dgm:pt modelId="{EF48F08A-A74C-D446-A8DD-1885A916BA38}">
      <dgm:prSet phldrT="[Text]" custT="1"/>
      <dgm:spPr/>
      <dgm:t>
        <a:bodyPr/>
        <a:lstStyle/>
        <a:p>
          <a:r>
            <a:rPr lang="en-US" sz="1000"/>
            <a:t>Policies</a:t>
          </a:r>
        </a:p>
      </dgm:t>
    </dgm:pt>
    <dgm:pt modelId="{DB1173A1-7B25-6A44-92AA-98883C111B5D}" type="parTrans" cxnId="{6610E659-759E-034F-B2E5-CD3FFCBE813F}">
      <dgm:prSet/>
      <dgm:spPr/>
      <dgm:t>
        <a:bodyPr/>
        <a:lstStyle/>
        <a:p>
          <a:endParaRPr lang="en-US"/>
        </a:p>
      </dgm:t>
    </dgm:pt>
    <dgm:pt modelId="{DE6A8DAB-26F6-D049-9040-9C2C314005BD}" type="sibTrans" cxnId="{6610E659-759E-034F-B2E5-CD3FFCBE813F}">
      <dgm:prSet/>
      <dgm:spPr/>
      <dgm:t>
        <a:bodyPr/>
        <a:lstStyle/>
        <a:p>
          <a:endParaRPr lang="en-US"/>
        </a:p>
      </dgm:t>
    </dgm:pt>
    <dgm:pt modelId="{416C441D-2187-1747-873F-51CDC98838D4}">
      <dgm:prSet phldrT="[Text]" custT="1"/>
      <dgm:spPr/>
      <dgm:t>
        <a:bodyPr/>
        <a:lstStyle/>
        <a:p>
          <a:r>
            <a:rPr lang="en-US" sz="1000"/>
            <a:t>Resources</a:t>
          </a:r>
        </a:p>
      </dgm:t>
    </dgm:pt>
    <dgm:pt modelId="{41BA03F2-06C4-8E4C-A9C9-07B11F862B53}" type="parTrans" cxnId="{CD35E9CE-1C15-1144-AFE6-4E590BD7B698}">
      <dgm:prSet/>
      <dgm:spPr/>
      <dgm:t>
        <a:bodyPr/>
        <a:lstStyle/>
        <a:p>
          <a:endParaRPr lang="en-US"/>
        </a:p>
      </dgm:t>
    </dgm:pt>
    <dgm:pt modelId="{F80120AD-90C5-BE40-9D6A-DA7372EF50AD}" type="sibTrans" cxnId="{CD35E9CE-1C15-1144-AFE6-4E590BD7B698}">
      <dgm:prSet/>
      <dgm:spPr/>
      <dgm:t>
        <a:bodyPr/>
        <a:lstStyle/>
        <a:p>
          <a:endParaRPr lang="en-US"/>
        </a:p>
      </dgm:t>
    </dgm:pt>
    <dgm:pt modelId="{F92B3F3C-FEE1-3A4C-A105-D22398F8D010}">
      <dgm:prSet phldrT="[Text]" custT="1"/>
      <dgm:spPr/>
      <dgm:t>
        <a:bodyPr/>
        <a:lstStyle/>
        <a:p>
          <a:r>
            <a:rPr lang="en-US" sz="1000"/>
            <a:t>Time</a:t>
          </a:r>
          <a:r>
            <a:rPr lang="en-US" sz="800"/>
            <a:t> Renumeration </a:t>
          </a:r>
        </a:p>
      </dgm:t>
    </dgm:pt>
    <dgm:pt modelId="{67EC3305-9D52-B643-B632-13432DF63EB9}" type="parTrans" cxnId="{49295D28-BC17-7242-9096-2753D4508798}">
      <dgm:prSet/>
      <dgm:spPr/>
      <dgm:t>
        <a:bodyPr/>
        <a:lstStyle/>
        <a:p>
          <a:endParaRPr lang="en-US"/>
        </a:p>
      </dgm:t>
    </dgm:pt>
    <dgm:pt modelId="{8547E6C0-07FB-C84C-8E94-AA77818C3702}" type="sibTrans" cxnId="{49295D28-BC17-7242-9096-2753D4508798}">
      <dgm:prSet/>
      <dgm:spPr/>
      <dgm:t>
        <a:bodyPr/>
        <a:lstStyle/>
        <a:p>
          <a:endParaRPr lang="en-US"/>
        </a:p>
      </dgm:t>
    </dgm:pt>
    <dgm:pt modelId="{76747E73-F2C5-EE49-88C5-84B885D00560}" type="pres">
      <dgm:prSet presAssocID="{365ED15C-25C3-FE47-9BCE-8A3330D56B60}" presName="cycle" presStyleCnt="0">
        <dgm:presLayoutVars>
          <dgm:dir/>
          <dgm:resizeHandles val="exact"/>
        </dgm:presLayoutVars>
      </dgm:prSet>
      <dgm:spPr/>
    </dgm:pt>
    <dgm:pt modelId="{03A3F2B9-1EEC-E640-A2B1-5C9B5286B99C}" type="pres">
      <dgm:prSet presAssocID="{29205586-7592-9544-B180-3E683C316975}" presName="node" presStyleLbl="node1" presStyleIdx="0" presStyleCnt="5">
        <dgm:presLayoutVars>
          <dgm:bulletEnabled val="1"/>
        </dgm:presLayoutVars>
      </dgm:prSet>
      <dgm:spPr/>
    </dgm:pt>
    <dgm:pt modelId="{3F95D458-CA3D-344E-907C-C30C660BFB1C}" type="pres">
      <dgm:prSet presAssocID="{03BB7EDE-2C9B-344A-8DE2-E0518F2D90A1}" presName="sibTrans" presStyleLbl="sibTrans2D1" presStyleIdx="0" presStyleCnt="5"/>
      <dgm:spPr/>
    </dgm:pt>
    <dgm:pt modelId="{8FFE654F-A255-3B4F-B35A-29B6473D4CAD}" type="pres">
      <dgm:prSet presAssocID="{03BB7EDE-2C9B-344A-8DE2-E0518F2D90A1}" presName="connectorText" presStyleLbl="sibTrans2D1" presStyleIdx="0" presStyleCnt="5"/>
      <dgm:spPr/>
    </dgm:pt>
    <dgm:pt modelId="{CEA01722-6C16-FD40-BE4D-4F3CD81326B7}" type="pres">
      <dgm:prSet presAssocID="{762C6DAA-4B50-B845-8ACA-A489780B4146}" presName="node" presStyleLbl="node1" presStyleIdx="1" presStyleCnt="5">
        <dgm:presLayoutVars>
          <dgm:bulletEnabled val="1"/>
        </dgm:presLayoutVars>
      </dgm:prSet>
      <dgm:spPr/>
    </dgm:pt>
    <dgm:pt modelId="{1F8D937E-B376-4A4D-91B7-E90C817EA8CA}" type="pres">
      <dgm:prSet presAssocID="{CC502F57-89DB-EE4E-AB67-9616BEA207F4}" presName="sibTrans" presStyleLbl="sibTrans2D1" presStyleIdx="1" presStyleCnt="5"/>
      <dgm:spPr/>
    </dgm:pt>
    <dgm:pt modelId="{1CC38424-ED09-1244-96E9-355B871BCC9F}" type="pres">
      <dgm:prSet presAssocID="{CC502F57-89DB-EE4E-AB67-9616BEA207F4}" presName="connectorText" presStyleLbl="sibTrans2D1" presStyleIdx="1" presStyleCnt="5"/>
      <dgm:spPr/>
    </dgm:pt>
    <dgm:pt modelId="{AB66005B-4212-944B-8ED9-3D5712DED422}" type="pres">
      <dgm:prSet presAssocID="{416C441D-2187-1747-873F-51CDC98838D4}" presName="node" presStyleLbl="node1" presStyleIdx="2" presStyleCnt="5">
        <dgm:presLayoutVars>
          <dgm:bulletEnabled val="1"/>
        </dgm:presLayoutVars>
      </dgm:prSet>
      <dgm:spPr/>
    </dgm:pt>
    <dgm:pt modelId="{17B781CF-AA88-A048-A9A8-5E728C401493}" type="pres">
      <dgm:prSet presAssocID="{F80120AD-90C5-BE40-9D6A-DA7372EF50AD}" presName="sibTrans" presStyleLbl="sibTrans2D1" presStyleIdx="2" presStyleCnt="5"/>
      <dgm:spPr/>
    </dgm:pt>
    <dgm:pt modelId="{2A77828C-75B0-2942-8FC0-42B5962A37FD}" type="pres">
      <dgm:prSet presAssocID="{F80120AD-90C5-BE40-9D6A-DA7372EF50AD}" presName="connectorText" presStyleLbl="sibTrans2D1" presStyleIdx="2" presStyleCnt="5"/>
      <dgm:spPr/>
    </dgm:pt>
    <dgm:pt modelId="{C081D9A4-1B65-D14C-AC5E-7D756EA4B134}" type="pres">
      <dgm:prSet presAssocID="{F92B3F3C-FEE1-3A4C-A105-D22398F8D010}" presName="node" presStyleLbl="node1" presStyleIdx="3" presStyleCnt="5">
        <dgm:presLayoutVars>
          <dgm:bulletEnabled val="1"/>
        </dgm:presLayoutVars>
      </dgm:prSet>
      <dgm:spPr/>
    </dgm:pt>
    <dgm:pt modelId="{F7A2CB10-1F23-D545-B658-B075978DFC32}" type="pres">
      <dgm:prSet presAssocID="{8547E6C0-07FB-C84C-8E94-AA77818C3702}" presName="sibTrans" presStyleLbl="sibTrans2D1" presStyleIdx="3" presStyleCnt="5"/>
      <dgm:spPr/>
    </dgm:pt>
    <dgm:pt modelId="{5BCA982A-F392-9441-8802-21043F1E2546}" type="pres">
      <dgm:prSet presAssocID="{8547E6C0-07FB-C84C-8E94-AA77818C3702}" presName="connectorText" presStyleLbl="sibTrans2D1" presStyleIdx="3" presStyleCnt="5"/>
      <dgm:spPr/>
    </dgm:pt>
    <dgm:pt modelId="{AB655CF5-0780-4147-A9EC-E08C57F63C60}" type="pres">
      <dgm:prSet presAssocID="{EF48F08A-A74C-D446-A8DD-1885A916BA38}" presName="node" presStyleLbl="node1" presStyleIdx="4" presStyleCnt="5">
        <dgm:presLayoutVars>
          <dgm:bulletEnabled val="1"/>
        </dgm:presLayoutVars>
      </dgm:prSet>
      <dgm:spPr/>
    </dgm:pt>
    <dgm:pt modelId="{E2FAB40B-9D02-CD40-9E73-9B73AAF72B26}" type="pres">
      <dgm:prSet presAssocID="{DE6A8DAB-26F6-D049-9040-9C2C314005BD}" presName="sibTrans" presStyleLbl="sibTrans2D1" presStyleIdx="4" presStyleCnt="5"/>
      <dgm:spPr/>
    </dgm:pt>
    <dgm:pt modelId="{42DFE40E-7285-1140-963E-EFCE35BE7749}" type="pres">
      <dgm:prSet presAssocID="{DE6A8DAB-26F6-D049-9040-9C2C314005BD}" presName="connectorText" presStyleLbl="sibTrans2D1" presStyleIdx="4" presStyleCnt="5"/>
      <dgm:spPr/>
    </dgm:pt>
  </dgm:ptLst>
  <dgm:cxnLst>
    <dgm:cxn modelId="{EBAA231E-10CD-7F4A-80CF-E68CF12D9B0E}" type="presOf" srcId="{03BB7EDE-2C9B-344A-8DE2-E0518F2D90A1}" destId="{8FFE654F-A255-3B4F-B35A-29B6473D4CAD}" srcOrd="1" destOrd="0" presId="urn:microsoft.com/office/officeart/2005/8/layout/cycle2"/>
    <dgm:cxn modelId="{9224F222-B7F6-D440-A706-4FB9743A738A}" srcId="{365ED15C-25C3-FE47-9BCE-8A3330D56B60}" destId="{29205586-7592-9544-B180-3E683C316975}" srcOrd="0" destOrd="0" parTransId="{CACF5F1E-4214-E54E-9D1F-F13E8FC3345B}" sibTransId="{03BB7EDE-2C9B-344A-8DE2-E0518F2D90A1}"/>
    <dgm:cxn modelId="{E1D13123-F173-B84A-8949-83084B4B81EE}" type="presOf" srcId="{CC502F57-89DB-EE4E-AB67-9616BEA207F4}" destId="{1F8D937E-B376-4A4D-91B7-E90C817EA8CA}" srcOrd="0" destOrd="0" presId="urn:microsoft.com/office/officeart/2005/8/layout/cycle2"/>
    <dgm:cxn modelId="{49295D28-BC17-7242-9096-2753D4508798}" srcId="{365ED15C-25C3-FE47-9BCE-8A3330D56B60}" destId="{F92B3F3C-FEE1-3A4C-A105-D22398F8D010}" srcOrd="3" destOrd="0" parTransId="{67EC3305-9D52-B643-B632-13432DF63EB9}" sibTransId="{8547E6C0-07FB-C84C-8E94-AA77818C3702}"/>
    <dgm:cxn modelId="{2CBA542C-30EE-B54C-92DC-991F4D733075}" type="presOf" srcId="{F92B3F3C-FEE1-3A4C-A105-D22398F8D010}" destId="{C081D9A4-1B65-D14C-AC5E-7D756EA4B134}" srcOrd="0" destOrd="0" presId="urn:microsoft.com/office/officeart/2005/8/layout/cycle2"/>
    <dgm:cxn modelId="{C2BF3C2F-FC5B-334A-BB66-93F0740BE44A}" type="presOf" srcId="{F80120AD-90C5-BE40-9D6A-DA7372EF50AD}" destId="{17B781CF-AA88-A048-A9A8-5E728C401493}" srcOrd="0" destOrd="0" presId="urn:microsoft.com/office/officeart/2005/8/layout/cycle2"/>
    <dgm:cxn modelId="{063B834E-EE73-4643-9E1E-46783C5C86C7}" type="presOf" srcId="{762C6DAA-4B50-B845-8ACA-A489780B4146}" destId="{CEA01722-6C16-FD40-BE4D-4F3CD81326B7}" srcOrd="0" destOrd="0" presId="urn:microsoft.com/office/officeart/2005/8/layout/cycle2"/>
    <dgm:cxn modelId="{6EEE4A57-F46D-F14A-B604-A02AC9E5ECEF}" type="presOf" srcId="{416C441D-2187-1747-873F-51CDC98838D4}" destId="{AB66005B-4212-944B-8ED9-3D5712DED422}" srcOrd="0" destOrd="0" presId="urn:microsoft.com/office/officeart/2005/8/layout/cycle2"/>
    <dgm:cxn modelId="{6610E659-759E-034F-B2E5-CD3FFCBE813F}" srcId="{365ED15C-25C3-FE47-9BCE-8A3330D56B60}" destId="{EF48F08A-A74C-D446-A8DD-1885A916BA38}" srcOrd="4" destOrd="0" parTransId="{DB1173A1-7B25-6A44-92AA-98883C111B5D}" sibTransId="{DE6A8DAB-26F6-D049-9040-9C2C314005BD}"/>
    <dgm:cxn modelId="{3349B475-B036-154A-BB0E-89D12DA6F493}" type="presOf" srcId="{EF48F08A-A74C-D446-A8DD-1885A916BA38}" destId="{AB655CF5-0780-4147-A9EC-E08C57F63C60}" srcOrd="0" destOrd="0" presId="urn:microsoft.com/office/officeart/2005/8/layout/cycle2"/>
    <dgm:cxn modelId="{8265AD81-730C-9446-8E4C-A7F8EF81FED3}" type="presOf" srcId="{DE6A8DAB-26F6-D049-9040-9C2C314005BD}" destId="{42DFE40E-7285-1140-963E-EFCE35BE7749}" srcOrd="1" destOrd="0" presId="urn:microsoft.com/office/officeart/2005/8/layout/cycle2"/>
    <dgm:cxn modelId="{93F05EA3-CCB7-3544-9EAF-8961810F5170}" type="presOf" srcId="{CC502F57-89DB-EE4E-AB67-9616BEA207F4}" destId="{1CC38424-ED09-1244-96E9-355B871BCC9F}" srcOrd="1" destOrd="0" presId="urn:microsoft.com/office/officeart/2005/8/layout/cycle2"/>
    <dgm:cxn modelId="{5360B3BA-FDB0-724E-B749-F0C36ACA0193}" type="presOf" srcId="{8547E6C0-07FB-C84C-8E94-AA77818C3702}" destId="{5BCA982A-F392-9441-8802-21043F1E2546}" srcOrd="1" destOrd="0" presId="urn:microsoft.com/office/officeart/2005/8/layout/cycle2"/>
    <dgm:cxn modelId="{18A703C3-A722-DA42-8D75-86809E342DA3}" type="presOf" srcId="{DE6A8DAB-26F6-D049-9040-9C2C314005BD}" destId="{E2FAB40B-9D02-CD40-9E73-9B73AAF72B26}" srcOrd="0" destOrd="0" presId="urn:microsoft.com/office/officeart/2005/8/layout/cycle2"/>
    <dgm:cxn modelId="{99008EC6-C59D-4B48-A797-68443DDAEA57}" type="presOf" srcId="{03BB7EDE-2C9B-344A-8DE2-E0518F2D90A1}" destId="{3F95D458-CA3D-344E-907C-C30C660BFB1C}" srcOrd="0" destOrd="0" presId="urn:microsoft.com/office/officeart/2005/8/layout/cycle2"/>
    <dgm:cxn modelId="{CD35E9CE-1C15-1144-AFE6-4E590BD7B698}" srcId="{365ED15C-25C3-FE47-9BCE-8A3330D56B60}" destId="{416C441D-2187-1747-873F-51CDC98838D4}" srcOrd="2" destOrd="0" parTransId="{41BA03F2-06C4-8E4C-A9C9-07B11F862B53}" sibTransId="{F80120AD-90C5-BE40-9D6A-DA7372EF50AD}"/>
    <dgm:cxn modelId="{24012BCF-865E-7141-833C-D675C8A7BFD9}" type="presOf" srcId="{F80120AD-90C5-BE40-9D6A-DA7372EF50AD}" destId="{2A77828C-75B0-2942-8FC0-42B5962A37FD}" srcOrd="1" destOrd="0" presId="urn:microsoft.com/office/officeart/2005/8/layout/cycle2"/>
    <dgm:cxn modelId="{D5E2C6CF-E10C-534B-B670-18CA9307E7A8}" srcId="{365ED15C-25C3-FE47-9BCE-8A3330D56B60}" destId="{762C6DAA-4B50-B845-8ACA-A489780B4146}" srcOrd="1" destOrd="0" parTransId="{B34C7651-26DA-E041-9E7E-13840E2342CD}" sibTransId="{CC502F57-89DB-EE4E-AB67-9616BEA207F4}"/>
    <dgm:cxn modelId="{55C267DE-B08F-DF46-B3A5-73B56F0F5DFF}" type="presOf" srcId="{29205586-7592-9544-B180-3E683C316975}" destId="{03A3F2B9-1EEC-E640-A2B1-5C9B5286B99C}" srcOrd="0" destOrd="0" presId="urn:microsoft.com/office/officeart/2005/8/layout/cycle2"/>
    <dgm:cxn modelId="{2DCBD2EE-E9F2-6E4F-917E-7C76BEB91DAD}" type="presOf" srcId="{365ED15C-25C3-FE47-9BCE-8A3330D56B60}" destId="{76747E73-F2C5-EE49-88C5-84B885D00560}" srcOrd="0" destOrd="0" presId="urn:microsoft.com/office/officeart/2005/8/layout/cycle2"/>
    <dgm:cxn modelId="{D95B22F1-6CDE-4F42-AA50-82740FE7F44E}" type="presOf" srcId="{8547E6C0-07FB-C84C-8E94-AA77818C3702}" destId="{F7A2CB10-1F23-D545-B658-B075978DFC32}" srcOrd="0" destOrd="0" presId="urn:microsoft.com/office/officeart/2005/8/layout/cycle2"/>
    <dgm:cxn modelId="{FCDD7466-87CE-A949-908A-92A0D6A26F6C}" type="presParOf" srcId="{76747E73-F2C5-EE49-88C5-84B885D00560}" destId="{03A3F2B9-1EEC-E640-A2B1-5C9B5286B99C}" srcOrd="0" destOrd="0" presId="urn:microsoft.com/office/officeart/2005/8/layout/cycle2"/>
    <dgm:cxn modelId="{E0B897DC-945E-4845-B21A-14AA838B205A}" type="presParOf" srcId="{76747E73-F2C5-EE49-88C5-84B885D00560}" destId="{3F95D458-CA3D-344E-907C-C30C660BFB1C}" srcOrd="1" destOrd="0" presId="urn:microsoft.com/office/officeart/2005/8/layout/cycle2"/>
    <dgm:cxn modelId="{30579031-A68C-F546-9CC7-E9FDBF7BCF35}" type="presParOf" srcId="{3F95D458-CA3D-344E-907C-C30C660BFB1C}" destId="{8FFE654F-A255-3B4F-B35A-29B6473D4CAD}" srcOrd="0" destOrd="0" presId="urn:microsoft.com/office/officeart/2005/8/layout/cycle2"/>
    <dgm:cxn modelId="{5475E5A7-1D6F-274F-88CD-214F8BCC9FEB}" type="presParOf" srcId="{76747E73-F2C5-EE49-88C5-84B885D00560}" destId="{CEA01722-6C16-FD40-BE4D-4F3CD81326B7}" srcOrd="2" destOrd="0" presId="urn:microsoft.com/office/officeart/2005/8/layout/cycle2"/>
    <dgm:cxn modelId="{963CDC37-6D41-E84E-ACE1-746090E95AF1}" type="presParOf" srcId="{76747E73-F2C5-EE49-88C5-84B885D00560}" destId="{1F8D937E-B376-4A4D-91B7-E90C817EA8CA}" srcOrd="3" destOrd="0" presId="urn:microsoft.com/office/officeart/2005/8/layout/cycle2"/>
    <dgm:cxn modelId="{9C3096B2-13E5-2647-BCD7-44BA0D8CA2BC}" type="presParOf" srcId="{1F8D937E-B376-4A4D-91B7-E90C817EA8CA}" destId="{1CC38424-ED09-1244-96E9-355B871BCC9F}" srcOrd="0" destOrd="0" presId="urn:microsoft.com/office/officeart/2005/8/layout/cycle2"/>
    <dgm:cxn modelId="{1B09D1C0-2868-074D-AD38-CA3F33F6DE98}" type="presParOf" srcId="{76747E73-F2C5-EE49-88C5-84B885D00560}" destId="{AB66005B-4212-944B-8ED9-3D5712DED422}" srcOrd="4" destOrd="0" presId="urn:microsoft.com/office/officeart/2005/8/layout/cycle2"/>
    <dgm:cxn modelId="{6B97D734-C320-7549-8727-BB56BAA3A500}" type="presParOf" srcId="{76747E73-F2C5-EE49-88C5-84B885D00560}" destId="{17B781CF-AA88-A048-A9A8-5E728C401493}" srcOrd="5" destOrd="0" presId="urn:microsoft.com/office/officeart/2005/8/layout/cycle2"/>
    <dgm:cxn modelId="{C2EFB5B1-7014-7A4C-91DF-25084DC9C368}" type="presParOf" srcId="{17B781CF-AA88-A048-A9A8-5E728C401493}" destId="{2A77828C-75B0-2942-8FC0-42B5962A37FD}" srcOrd="0" destOrd="0" presId="urn:microsoft.com/office/officeart/2005/8/layout/cycle2"/>
    <dgm:cxn modelId="{04AF3E76-B59A-A945-9F82-5D150E37DCB5}" type="presParOf" srcId="{76747E73-F2C5-EE49-88C5-84B885D00560}" destId="{C081D9A4-1B65-D14C-AC5E-7D756EA4B134}" srcOrd="6" destOrd="0" presId="urn:microsoft.com/office/officeart/2005/8/layout/cycle2"/>
    <dgm:cxn modelId="{47144037-CE75-F340-8C80-D5BA26ECB86D}" type="presParOf" srcId="{76747E73-F2C5-EE49-88C5-84B885D00560}" destId="{F7A2CB10-1F23-D545-B658-B075978DFC32}" srcOrd="7" destOrd="0" presId="urn:microsoft.com/office/officeart/2005/8/layout/cycle2"/>
    <dgm:cxn modelId="{C88956FD-FA78-7743-A680-5C08B39807D3}" type="presParOf" srcId="{F7A2CB10-1F23-D545-B658-B075978DFC32}" destId="{5BCA982A-F392-9441-8802-21043F1E2546}" srcOrd="0" destOrd="0" presId="urn:microsoft.com/office/officeart/2005/8/layout/cycle2"/>
    <dgm:cxn modelId="{56C6AE73-A667-DA40-B2B5-FBF968F7973B}" type="presParOf" srcId="{76747E73-F2C5-EE49-88C5-84B885D00560}" destId="{AB655CF5-0780-4147-A9EC-E08C57F63C60}" srcOrd="8" destOrd="0" presId="urn:microsoft.com/office/officeart/2005/8/layout/cycle2"/>
    <dgm:cxn modelId="{6FAE0333-1697-9A46-A245-FC4FCB8323DA}" type="presParOf" srcId="{76747E73-F2C5-EE49-88C5-84B885D00560}" destId="{E2FAB40B-9D02-CD40-9E73-9B73AAF72B26}" srcOrd="9" destOrd="0" presId="urn:microsoft.com/office/officeart/2005/8/layout/cycle2"/>
    <dgm:cxn modelId="{01BD3F6E-AA64-F04E-BA9A-652743EC91CE}" type="presParOf" srcId="{E2FAB40B-9D02-CD40-9E73-9B73AAF72B26}" destId="{42DFE40E-7285-1140-963E-EFCE35BE7749}" srcOrd="0" destOrd="0" presId="urn:microsoft.com/office/officeart/2005/8/layout/cycle2"/>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5EA2279-5F10-F547-8899-B9D9EEF87DB1}">
      <dsp:nvSpPr>
        <dsp:cNvPr id="0" name=""/>
        <dsp:cNvSpPr/>
      </dsp:nvSpPr>
      <dsp:spPr>
        <a:xfrm>
          <a:off x="-3298292" y="-507375"/>
          <a:ext cx="3933210" cy="3933210"/>
        </a:xfrm>
        <a:prstGeom prst="blockArc">
          <a:avLst>
            <a:gd name="adj1" fmla="val 18900000"/>
            <a:gd name="adj2" fmla="val 2700000"/>
            <a:gd name="adj3" fmla="val 549"/>
          </a:avLst>
        </a:prstGeom>
        <a:noFill/>
        <a:ln w="6350" cap="flat" cmpd="sng" algn="ctr">
          <a:solidFill>
            <a:schemeClr val="accent1">
              <a:shade val="60000"/>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7BB6B544-05C4-7A43-B780-09C616EAF841}">
      <dsp:nvSpPr>
        <dsp:cNvPr id="0" name=""/>
        <dsp:cNvSpPr/>
      </dsp:nvSpPr>
      <dsp:spPr>
        <a:xfrm>
          <a:off x="278683" y="182345"/>
          <a:ext cx="5173162" cy="3649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89659" tIns="35560" rIns="35560" bIns="35560" numCol="1" spcCol="1270" anchor="ctr" anchorCtr="0">
          <a:noAutofit/>
        </a:bodyPr>
        <a:lstStyle/>
        <a:p>
          <a:pPr marL="0" lvl="0" indent="0" algn="l" defTabSz="622300">
            <a:lnSpc>
              <a:spcPct val="90000"/>
            </a:lnSpc>
            <a:spcBef>
              <a:spcPct val="0"/>
            </a:spcBef>
            <a:spcAft>
              <a:spcPct val="35000"/>
            </a:spcAft>
            <a:buNone/>
          </a:pPr>
          <a:r>
            <a:rPr lang="en-US" sz="1400" kern="1200"/>
            <a:t>The Accessible Customer Service Standard </a:t>
          </a:r>
        </a:p>
      </dsp:txBody>
      <dsp:txXfrm>
        <a:off x="278683" y="182345"/>
        <a:ext cx="5173162" cy="364924"/>
      </dsp:txXfrm>
    </dsp:sp>
    <dsp:sp modelId="{9A61543B-F388-0B46-BCBF-699F02B7CCE1}">
      <dsp:nvSpPr>
        <dsp:cNvPr id="0" name=""/>
        <dsp:cNvSpPr/>
      </dsp:nvSpPr>
      <dsp:spPr>
        <a:xfrm>
          <a:off x="50605" y="136729"/>
          <a:ext cx="456155" cy="456155"/>
        </a:xfrm>
        <a:prstGeom prst="ellipse">
          <a:avLst/>
        </a:prstGeom>
        <a:solidFill>
          <a:srgbClr val="6DE0BE"/>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EB569903-2725-B240-8F59-96062453846D}">
      <dsp:nvSpPr>
        <dsp:cNvPr id="0" name=""/>
        <dsp:cNvSpPr/>
      </dsp:nvSpPr>
      <dsp:spPr>
        <a:xfrm>
          <a:off x="540177" y="729556"/>
          <a:ext cx="4911668" cy="3649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89659" tIns="35560" rIns="35560" bIns="35560" numCol="1" spcCol="1270" anchor="ctr" anchorCtr="0">
          <a:noAutofit/>
        </a:bodyPr>
        <a:lstStyle/>
        <a:p>
          <a:pPr marL="0" lvl="0" indent="0" algn="l" defTabSz="622300">
            <a:lnSpc>
              <a:spcPct val="90000"/>
            </a:lnSpc>
            <a:spcBef>
              <a:spcPct val="0"/>
            </a:spcBef>
            <a:spcAft>
              <a:spcPct val="35000"/>
            </a:spcAft>
            <a:buNone/>
          </a:pPr>
          <a:r>
            <a:rPr lang="en-US" sz="1400" kern="1200"/>
            <a:t>The Accessible Employment Standard</a:t>
          </a:r>
        </a:p>
      </dsp:txBody>
      <dsp:txXfrm>
        <a:off x="540177" y="729556"/>
        <a:ext cx="4911668" cy="364924"/>
      </dsp:txXfrm>
    </dsp:sp>
    <dsp:sp modelId="{119948B0-D374-834C-A186-72C8AD9B2506}">
      <dsp:nvSpPr>
        <dsp:cNvPr id="0" name=""/>
        <dsp:cNvSpPr/>
      </dsp:nvSpPr>
      <dsp:spPr>
        <a:xfrm>
          <a:off x="312099" y="683941"/>
          <a:ext cx="456155" cy="456155"/>
        </a:xfrm>
        <a:prstGeom prst="ellipse">
          <a:avLst/>
        </a:prstGeom>
        <a:solidFill>
          <a:srgbClr val="6DE0BE"/>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445762D8-2759-4748-A2E6-188B2C69B393}">
      <dsp:nvSpPr>
        <dsp:cNvPr id="0" name=""/>
        <dsp:cNvSpPr/>
      </dsp:nvSpPr>
      <dsp:spPr>
        <a:xfrm>
          <a:off x="620435" y="1276767"/>
          <a:ext cx="4831410" cy="3649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89659" tIns="35560" rIns="35560" bIns="35560" numCol="1" spcCol="1270" anchor="ctr" anchorCtr="0">
          <a:noAutofit/>
        </a:bodyPr>
        <a:lstStyle/>
        <a:p>
          <a:pPr marL="0" lvl="0" indent="0" algn="l" defTabSz="622300">
            <a:lnSpc>
              <a:spcPct val="90000"/>
            </a:lnSpc>
            <a:spcBef>
              <a:spcPct val="0"/>
            </a:spcBef>
            <a:spcAft>
              <a:spcPct val="35000"/>
            </a:spcAft>
            <a:buNone/>
          </a:pPr>
          <a:r>
            <a:rPr lang="en-US" sz="1400" kern="1200"/>
            <a:t>The Accessible Information and Communications Standard </a:t>
          </a:r>
        </a:p>
      </dsp:txBody>
      <dsp:txXfrm>
        <a:off x="620435" y="1276767"/>
        <a:ext cx="4831410" cy="364924"/>
      </dsp:txXfrm>
    </dsp:sp>
    <dsp:sp modelId="{0D836084-DA68-AE4B-8EE1-436A35758F54}">
      <dsp:nvSpPr>
        <dsp:cNvPr id="0" name=""/>
        <dsp:cNvSpPr/>
      </dsp:nvSpPr>
      <dsp:spPr>
        <a:xfrm>
          <a:off x="392357" y="1231152"/>
          <a:ext cx="456155" cy="456155"/>
        </a:xfrm>
        <a:prstGeom prst="ellipse">
          <a:avLst/>
        </a:prstGeom>
        <a:solidFill>
          <a:srgbClr val="6DE0BE"/>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BC127B99-EC5C-074F-BECA-611B3EBC2EED}">
      <dsp:nvSpPr>
        <dsp:cNvPr id="0" name=""/>
        <dsp:cNvSpPr/>
      </dsp:nvSpPr>
      <dsp:spPr>
        <a:xfrm>
          <a:off x="540177" y="1823979"/>
          <a:ext cx="4911668" cy="3649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89659" tIns="35560" rIns="35560" bIns="35560" numCol="1" spcCol="1270" anchor="ctr" anchorCtr="0">
          <a:noAutofit/>
        </a:bodyPr>
        <a:lstStyle/>
        <a:p>
          <a:pPr marL="0" lvl="0" indent="0" algn="l" defTabSz="622300">
            <a:lnSpc>
              <a:spcPct val="90000"/>
            </a:lnSpc>
            <a:spcBef>
              <a:spcPct val="0"/>
            </a:spcBef>
            <a:spcAft>
              <a:spcPct val="35000"/>
            </a:spcAft>
            <a:buNone/>
          </a:pPr>
          <a:r>
            <a:rPr lang="en-US" sz="1400" kern="1200"/>
            <a:t>The Accessible Built Environment Standard </a:t>
          </a:r>
        </a:p>
      </dsp:txBody>
      <dsp:txXfrm>
        <a:off x="540177" y="1823979"/>
        <a:ext cx="4911668" cy="364924"/>
      </dsp:txXfrm>
    </dsp:sp>
    <dsp:sp modelId="{BE687348-4DE6-154C-90BD-CECF61EAFE41}">
      <dsp:nvSpPr>
        <dsp:cNvPr id="0" name=""/>
        <dsp:cNvSpPr/>
      </dsp:nvSpPr>
      <dsp:spPr>
        <a:xfrm>
          <a:off x="312099" y="1778363"/>
          <a:ext cx="456155" cy="456155"/>
        </a:xfrm>
        <a:prstGeom prst="ellipse">
          <a:avLst/>
        </a:prstGeom>
        <a:solidFill>
          <a:srgbClr val="6DE0BE"/>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 modelId="{9A692B23-3862-FC4F-88B2-83512D452B7E}">
      <dsp:nvSpPr>
        <dsp:cNvPr id="0" name=""/>
        <dsp:cNvSpPr/>
      </dsp:nvSpPr>
      <dsp:spPr>
        <a:xfrm>
          <a:off x="278683" y="2371190"/>
          <a:ext cx="5173162" cy="364924"/>
        </a:xfrm>
        <a:prstGeom prst="rect">
          <a:avLst/>
        </a:prstGeom>
        <a:gradFill rotWithShape="0">
          <a:gsLst>
            <a:gs pos="0">
              <a:schemeClr val="accent1">
                <a:hueOff val="0"/>
                <a:satOff val="0"/>
                <a:lumOff val="0"/>
                <a:alphaOff val="0"/>
                <a:satMod val="103000"/>
                <a:lumMod val="102000"/>
                <a:tint val="94000"/>
              </a:schemeClr>
            </a:gs>
            <a:gs pos="50000">
              <a:schemeClr val="accent1">
                <a:hueOff val="0"/>
                <a:satOff val="0"/>
                <a:lumOff val="0"/>
                <a:alphaOff val="0"/>
                <a:satMod val="110000"/>
                <a:lumMod val="100000"/>
                <a:shade val="100000"/>
              </a:schemeClr>
            </a:gs>
            <a:gs pos="100000">
              <a:schemeClr val="accent1">
                <a:hueOff val="0"/>
                <a:satOff val="0"/>
                <a:lumOff val="0"/>
                <a:alphaOff val="0"/>
                <a:lumMod val="99000"/>
                <a:satMod val="120000"/>
                <a:shade val="78000"/>
              </a:schemeClr>
            </a:gs>
          </a:gsLst>
          <a:lin ang="5400000" scaled="0"/>
        </a:gradFill>
        <a:ln>
          <a:noFill/>
        </a:ln>
        <a:effectLst/>
      </dsp:spPr>
      <dsp:style>
        <a:lnRef idx="0">
          <a:scrgbClr r="0" g="0" b="0"/>
        </a:lnRef>
        <a:fillRef idx="3">
          <a:scrgbClr r="0" g="0" b="0"/>
        </a:fillRef>
        <a:effectRef idx="2">
          <a:scrgbClr r="0" g="0" b="0"/>
        </a:effectRef>
        <a:fontRef idx="minor">
          <a:schemeClr val="lt1"/>
        </a:fontRef>
      </dsp:style>
      <dsp:txBody>
        <a:bodyPr spcFirstLastPara="0" vert="horz" wrap="square" lIns="289659" tIns="35560" rIns="35560" bIns="35560" numCol="1" spcCol="1270" anchor="ctr" anchorCtr="0">
          <a:noAutofit/>
        </a:bodyPr>
        <a:lstStyle/>
        <a:p>
          <a:pPr marL="0" lvl="0" indent="0" algn="l" defTabSz="622300">
            <a:lnSpc>
              <a:spcPct val="90000"/>
            </a:lnSpc>
            <a:spcBef>
              <a:spcPct val="0"/>
            </a:spcBef>
            <a:spcAft>
              <a:spcPct val="35000"/>
            </a:spcAft>
            <a:buNone/>
          </a:pPr>
          <a:r>
            <a:rPr lang="en-US" sz="1400" kern="1200"/>
            <a:t>The Accessible Transportation Standard </a:t>
          </a:r>
        </a:p>
      </dsp:txBody>
      <dsp:txXfrm>
        <a:off x="278683" y="2371190"/>
        <a:ext cx="5173162" cy="364924"/>
      </dsp:txXfrm>
    </dsp:sp>
    <dsp:sp modelId="{D2C9E5AC-9AD8-DD4E-8AFA-CFADD3E932F0}">
      <dsp:nvSpPr>
        <dsp:cNvPr id="0" name=""/>
        <dsp:cNvSpPr/>
      </dsp:nvSpPr>
      <dsp:spPr>
        <a:xfrm>
          <a:off x="50605" y="2325574"/>
          <a:ext cx="456155" cy="456155"/>
        </a:xfrm>
        <a:prstGeom prst="ellipse">
          <a:avLst/>
        </a:prstGeom>
        <a:solidFill>
          <a:srgbClr val="6DE0BE"/>
        </a:solidFill>
        <a:ln w="6350" cap="flat" cmpd="sng" algn="ctr">
          <a:solidFill>
            <a:schemeClr val="accent1">
              <a:hueOff val="0"/>
              <a:satOff val="0"/>
              <a:lumOff val="0"/>
              <a:alphaOff val="0"/>
            </a:schemeClr>
          </a:solidFill>
          <a:prstDash val="solid"/>
          <a:miter lim="800000"/>
        </a:ln>
        <a:effectLst/>
      </dsp:spPr>
      <dsp:style>
        <a:lnRef idx="1">
          <a:scrgbClr r="0" g="0" b="0"/>
        </a:lnRef>
        <a:fillRef idx="1">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3A3F2B9-1EEC-E640-A2B1-5C9B5286B99C}">
      <dsp:nvSpPr>
        <dsp:cNvPr id="0" name=""/>
        <dsp:cNvSpPr/>
      </dsp:nvSpPr>
      <dsp:spPr>
        <a:xfrm>
          <a:off x="2115845" y="1246"/>
          <a:ext cx="1401394" cy="1401394"/>
        </a:xfrm>
        <a:prstGeom prst="ellipse">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marL="0" lvl="0" indent="0" algn="ctr" defTabSz="400050">
            <a:lnSpc>
              <a:spcPct val="90000"/>
            </a:lnSpc>
            <a:spcBef>
              <a:spcPct val="0"/>
            </a:spcBef>
            <a:spcAft>
              <a:spcPct val="35000"/>
            </a:spcAft>
            <a:buNone/>
          </a:pPr>
          <a:r>
            <a:rPr lang="en-US" sz="900" kern="1200"/>
            <a:t>Accessibility</a:t>
          </a:r>
        </a:p>
      </dsp:txBody>
      <dsp:txXfrm>
        <a:off x="2321074" y="206475"/>
        <a:ext cx="990936" cy="990936"/>
      </dsp:txXfrm>
    </dsp:sp>
    <dsp:sp modelId="{3F95D458-CA3D-344E-907C-C30C660BFB1C}">
      <dsp:nvSpPr>
        <dsp:cNvPr id="0" name=""/>
        <dsp:cNvSpPr/>
      </dsp:nvSpPr>
      <dsp:spPr>
        <a:xfrm rot="2160000">
          <a:off x="3472773" y="1077305"/>
          <a:ext cx="371807" cy="472970"/>
        </a:xfrm>
        <a:prstGeom prst="rightArrow">
          <a:avLst>
            <a:gd name="adj1" fmla="val 60000"/>
            <a:gd name="adj2" fmla="val 50000"/>
          </a:avLst>
        </a:prstGeom>
        <a:gradFill rotWithShape="0">
          <a:gsLst>
            <a:gs pos="0">
              <a:schemeClr val="accent5">
                <a:hueOff val="0"/>
                <a:satOff val="0"/>
                <a:lumOff val="0"/>
                <a:alphaOff val="0"/>
                <a:satMod val="103000"/>
                <a:lumMod val="102000"/>
                <a:tint val="94000"/>
              </a:schemeClr>
            </a:gs>
            <a:gs pos="50000">
              <a:schemeClr val="accent5">
                <a:hueOff val="0"/>
                <a:satOff val="0"/>
                <a:lumOff val="0"/>
                <a:alphaOff val="0"/>
                <a:satMod val="110000"/>
                <a:lumMod val="100000"/>
                <a:shade val="100000"/>
              </a:schemeClr>
            </a:gs>
            <a:gs pos="100000">
              <a:schemeClr val="accent5">
                <a:hueOff val="0"/>
                <a:satOff val="0"/>
                <a:lumOff val="0"/>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a:off x="3483424" y="1139118"/>
        <a:ext cx="260265" cy="283782"/>
      </dsp:txXfrm>
    </dsp:sp>
    <dsp:sp modelId="{CEA01722-6C16-FD40-BE4D-4F3CD81326B7}">
      <dsp:nvSpPr>
        <dsp:cNvPr id="0" name=""/>
        <dsp:cNvSpPr/>
      </dsp:nvSpPr>
      <dsp:spPr>
        <a:xfrm>
          <a:off x="3817141" y="1237310"/>
          <a:ext cx="1401394" cy="1401394"/>
        </a:xfrm>
        <a:prstGeom prst="ellipse">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Training</a:t>
          </a:r>
        </a:p>
      </dsp:txBody>
      <dsp:txXfrm>
        <a:off x="4022370" y="1442539"/>
        <a:ext cx="990936" cy="990936"/>
      </dsp:txXfrm>
    </dsp:sp>
    <dsp:sp modelId="{1F8D937E-B376-4A4D-91B7-E90C817EA8CA}">
      <dsp:nvSpPr>
        <dsp:cNvPr id="0" name=""/>
        <dsp:cNvSpPr/>
      </dsp:nvSpPr>
      <dsp:spPr>
        <a:xfrm rot="6480000">
          <a:off x="4010268" y="2691511"/>
          <a:ext cx="371807" cy="472970"/>
        </a:xfrm>
        <a:prstGeom prst="rightArrow">
          <a:avLst>
            <a:gd name="adj1" fmla="val 60000"/>
            <a:gd name="adj2" fmla="val 50000"/>
          </a:avLst>
        </a:prstGeom>
        <a:gradFill rotWithShape="0">
          <a:gsLst>
            <a:gs pos="0">
              <a:schemeClr val="accent5">
                <a:hueOff val="-1838336"/>
                <a:satOff val="-2557"/>
                <a:lumOff val="-981"/>
                <a:alphaOff val="0"/>
                <a:satMod val="103000"/>
                <a:lumMod val="102000"/>
                <a:tint val="94000"/>
              </a:schemeClr>
            </a:gs>
            <a:gs pos="50000">
              <a:schemeClr val="accent5">
                <a:hueOff val="-1838336"/>
                <a:satOff val="-2557"/>
                <a:lumOff val="-981"/>
                <a:alphaOff val="0"/>
                <a:satMod val="110000"/>
                <a:lumMod val="100000"/>
                <a:shade val="100000"/>
              </a:schemeClr>
            </a:gs>
            <a:gs pos="100000">
              <a:schemeClr val="accent5">
                <a:hueOff val="-1838336"/>
                <a:satOff val="-2557"/>
                <a:lumOff val="-981"/>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rot="10800000">
        <a:off x="4083273" y="2733064"/>
        <a:ext cx="260265" cy="283782"/>
      </dsp:txXfrm>
    </dsp:sp>
    <dsp:sp modelId="{AB66005B-4212-944B-8ED9-3D5712DED422}">
      <dsp:nvSpPr>
        <dsp:cNvPr id="0" name=""/>
        <dsp:cNvSpPr/>
      </dsp:nvSpPr>
      <dsp:spPr>
        <a:xfrm>
          <a:off x="3167303" y="3237303"/>
          <a:ext cx="1401394" cy="1401394"/>
        </a:xfrm>
        <a:prstGeom prst="ellipse">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Resources</a:t>
          </a:r>
        </a:p>
      </dsp:txBody>
      <dsp:txXfrm>
        <a:off x="3372532" y="3442532"/>
        <a:ext cx="990936" cy="990936"/>
      </dsp:txXfrm>
    </dsp:sp>
    <dsp:sp modelId="{17B781CF-AA88-A048-A9A8-5E728C401493}">
      <dsp:nvSpPr>
        <dsp:cNvPr id="0" name=""/>
        <dsp:cNvSpPr/>
      </dsp:nvSpPr>
      <dsp:spPr>
        <a:xfrm rot="10800000">
          <a:off x="2641161" y="3701515"/>
          <a:ext cx="371807" cy="472970"/>
        </a:xfrm>
        <a:prstGeom prst="rightArrow">
          <a:avLst>
            <a:gd name="adj1" fmla="val 60000"/>
            <a:gd name="adj2" fmla="val 50000"/>
          </a:avLst>
        </a:prstGeom>
        <a:gradFill rotWithShape="0">
          <a:gsLst>
            <a:gs pos="0">
              <a:schemeClr val="accent5">
                <a:hueOff val="-3676672"/>
                <a:satOff val="-5114"/>
                <a:lumOff val="-1961"/>
                <a:alphaOff val="0"/>
                <a:satMod val="103000"/>
                <a:lumMod val="102000"/>
                <a:tint val="94000"/>
              </a:schemeClr>
            </a:gs>
            <a:gs pos="50000">
              <a:schemeClr val="accent5">
                <a:hueOff val="-3676672"/>
                <a:satOff val="-5114"/>
                <a:lumOff val="-1961"/>
                <a:alphaOff val="0"/>
                <a:satMod val="110000"/>
                <a:lumMod val="100000"/>
                <a:shade val="100000"/>
              </a:schemeClr>
            </a:gs>
            <a:gs pos="100000">
              <a:schemeClr val="accent5">
                <a:hueOff val="-3676672"/>
                <a:satOff val="-5114"/>
                <a:lumOff val="-1961"/>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rot="10800000">
        <a:off x="2752703" y="3796109"/>
        <a:ext cx="260265" cy="283782"/>
      </dsp:txXfrm>
    </dsp:sp>
    <dsp:sp modelId="{C081D9A4-1B65-D14C-AC5E-7D756EA4B134}">
      <dsp:nvSpPr>
        <dsp:cNvPr id="0" name=""/>
        <dsp:cNvSpPr/>
      </dsp:nvSpPr>
      <dsp:spPr>
        <a:xfrm>
          <a:off x="1064386" y="3237303"/>
          <a:ext cx="1401394" cy="1401394"/>
        </a:xfrm>
        <a:prstGeom prst="ellipse">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Time</a:t>
          </a:r>
          <a:r>
            <a:rPr lang="en-US" sz="800" kern="1200"/>
            <a:t> Renumeration </a:t>
          </a:r>
        </a:p>
      </dsp:txBody>
      <dsp:txXfrm>
        <a:off x="1269615" y="3442532"/>
        <a:ext cx="990936" cy="990936"/>
      </dsp:txXfrm>
    </dsp:sp>
    <dsp:sp modelId="{F7A2CB10-1F23-D545-B658-B075978DFC32}">
      <dsp:nvSpPr>
        <dsp:cNvPr id="0" name=""/>
        <dsp:cNvSpPr/>
      </dsp:nvSpPr>
      <dsp:spPr>
        <a:xfrm rot="15120000">
          <a:off x="1257513" y="2711526"/>
          <a:ext cx="371807" cy="472970"/>
        </a:xfrm>
        <a:prstGeom prst="rightArrow">
          <a:avLst>
            <a:gd name="adj1" fmla="val 60000"/>
            <a:gd name="adj2" fmla="val 50000"/>
          </a:avLst>
        </a:prstGeom>
        <a:gradFill rotWithShape="0">
          <a:gsLst>
            <a:gs pos="0">
              <a:schemeClr val="accent5">
                <a:hueOff val="-5515009"/>
                <a:satOff val="-7671"/>
                <a:lumOff val="-2942"/>
                <a:alphaOff val="0"/>
                <a:satMod val="103000"/>
                <a:lumMod val="102000"/>
                <a:tint val="94000"/>
              </a:schemeClr>
            </a:gs>
            <a:gs pos="50000">
              <a:schemeClr val="accent5">
                <a:hueOff val="-5515009"/>
                <a:satOff val="-7671"/>
                <a:lumOff val="-2942"/>
                <a:alphaOff val="0"/>
                <a:satMod val="110000"/>
                <a:lumMod val="100000"/>
                <a:shade val="100000"/>
              </a:schemeClr>
            </a:gs>
            <a:gs pos="100000">
              <a:schemeClr val="accent5">
                <a:hueOff val="-5515009"/>
                <a:satOff val="-7671"/>
                <a:lumOff val="-2942"/>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rot="10800000">
        <a:off x="1330518" y="2859161"/>
        <a:ext cx="260265" cy="283782"/>
      </dsp:txXfrm>
    </dsp:sp>
    <dsp:sp modelId="{AB655CF5-0780-4147-A9EC-E08C57F63C60}">
      <dsp:nvSpPr>
        <dsp:cNvPr id="0" name=""/>
        <dsp:cNvSpPr/>
      </dsp:nvSpPr>
      <dsp:spPr>
        <a:xfrm>
          <a:off x="414548" y="1237310"/>
          <a:ext cx="1401394" cy="1401394"/>
        </a:xfrm>
        <a:prstGeom prst="ellipse">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700" tIns="12700" rIns="12700" bIns="12700" numCol="1" spcCol="1270" anchor="ctr" anchorCtr="0">
          <a:noAutofit/>
        </a:bodyPr>
        <a:lstStyle/>
        <a:p>
          <a:pPr marL="0" lvl="0" indent="0" algn="ctr" defTabSz="444500">
            <a:lnSpc>
              <a:spcPct val="90000"/>
            </a:lnSpc>
            <a:spcBef>
              <a:spcPct val="0"/>
            </a:spcBef>
            <a:spcAft>
              <a:spcPct val="35000"/>
            </a:spcAft>
            <a:buNone/>
          </a:pPr>
          <a:r>
            <a:rPr lang="en-US" sz="1000" kern="1200"/>
            <a:t>Policies</a:t>
          </a:r>
        </a:p>
      </dsp:txBody>
      <dsp:txXfrm>
        <a:off x="619777" y="1442539"/>
        <a:ext cx="990936" cy="990936"/>
      </dsp:txXfrm>
    </dsp:sp>
    <dsp:sp modelId="{E2FAB40B-9D02-CD40-9E73-9B73AAF72B26}">
      <dsp:nvSpPr>
        <dsp:cNvPr id="0" name=""/>
        <dsp:cNvSpPr/>
      </dsp:nvSpPr>
      <dsp:spPr>
        <a:xfrm rot="19440000">
          <a:off x="1771477" y="1089675"/>
          <a:ext cx="371807" cy="472970"/>
        </a:xfrm>
        <a:prstGeom prst="rightArrow">
          <a:avLst>
            <a:gd name="adj1" fmla="val 60000"/>
            <a:gd name="adj2" fmla="val 50000"/>
          </a:avLst>
        </a:prstGeom>
        <a:gradFill rotWithShape="0">
          <a:gsLst>
            <a:gs pos="0">
              <a:schemeClr val="accent5">
                <a:hueOff val="-7353344"/>
                <a:satOff val="-10228"/>
                <a:lumOff val="-3922"/>
                <a:alphaOff val="0"/>
                <a:satMod val="103000"/>
                <a:lumMod val="102000"/>
                <a:tint val="94000"/>
              </a:schemeClr>
            </a:gs>
            <a:gs pos="50000">
              <a:schemeClr val="accent5">
                <a:hueOff val="-7353344"/>
                <a:satOff val="-10228"/>
                <a:lumOff val="-3922"/>
                <a:alphaOff val="0"/>
                <a:satMod val="110000"/>
                <a:lumMod val="100000"/>
                <a:shade val="100000"/>
              </a:schemeClr>
            </a:gs>
            <a:gs pos="100000">
              <a:schemeClr val="accent5">
                <a:hueOff val="-7353344"/>
                <a:satOff val="-10228"/>
                <a:lumOff val="-3922"/>
                <a:alphaOff val="0"/>
                <a:lumMod val="99000"/>
                <a:satMod val="120000"/>
                <a:shade val="78000"/>
              </a:schemeClr>
            </a:gs>
          </a:gsLst>
          <a:lin ang="5400000" scaled="0"/>
        </a:gradFill>
        <a:ln>
          <a:noFill/>
        </a:ln>
        <a:effectLst/>
        <a:scene3d>
          <a:camera prst="orthographicFront"/>
          <a:lightRig rig="flat" dir="t"/>
        </a:scene3d>
        <a:sp3d z="-80000" prstMaterial="plastic">
          <a:bevelT w="50800" h="50800"/>
          <a:bevelB w="25400" h="25400" prst="angle"/>
        </a:sp3d>
      </dsp:spPr>
      <dsp:style>
        <a:lnRef idx="0">
          <a:scrgbClr r="0" g="0" b="0"/>
        </a:lnRef>
        <a:fillRef idx="3">
          <a:scrgbClr r="0" g="0" b="0"/>
        </a:fillRef>
        <a:effectRef idx="2">
          <a:scrgbClr r="0" g="0" b="0"/>
        </a:effectRef>
        <a:fontRef idx="minor">
          <a:schemeClr val="lt1"/>
        </a:fontRef>
      </dsp:style>
      <dsp:txBody>
        <a:bodyPr spcFirstLastPara="0" vert="horz" wrap="square" lIns="0" tIns="0" rIns="0" bIns="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a:off x="1782128" y="1217050"/>
        <a:ext cx="260265" cy="283782"/>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urvedList">
  <dgm:title val=""/>
  <dgm:desc val=""/>
  <dgm:catLst>
    <dgm:cat type="list" pri="20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tyleData>
  <dgm:clr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chPref val="7"/>
      <dgm:dir/>
    </dgm:varLst>
    <dgm:alg type="composite"/>
    <dgm:shape xmlns:r="http://schemas.openxmlformats.org/officeDocument/2006/relationships" r:blip="">
      <dgm:adjLst/>
    </dgm:shape>
    <dgm:constrLst>
      <dgm:constr type="w" for="ch" refType="h" refFor="ch" op="gte" fact="0.8"/>
    </dgm:constrLst>
    <dgm:layoutNode name="Name1">
      <dgm:alg type="composite"/>
      <dgm:shape xmlns:r="http://schemas.openxmlformats.org/officeDocument/2006/relationships" r:blip="">
        <dgm:adjLst/>
      </dgm:shape>
      <dgm:choose name="Name2">
        <dgm:if name="Name3" func="var" arg="dir" op="equ" val="norm">
          <dgm:choose name="Name4">
            <dgm:if name="Name5" axis="ch" ptType="node" func="cnt" op="equ" val="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h" fact="0.225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primFontSz" for="ch" ptType="node" op="equ" val="65"/>
              </dgm:constrLst>
            </dgm:if>
            <dgm:if name="Name6" axis="ch" ptType="node" func="cnt" op="equ" val="2">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h" fact="0.1891"/>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h" fact="0.1891"/>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primFontSz" for="ch" ptType="node" op="equ" val="65"/>
              </dgm:constrLst>
            </dgm:if>
            <dgm:if name="Name7" axis="ch" ptType="node" func="cnt" op="equ" val="3">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h" fact="0.1526"/>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h" fact="0.2253"/>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h" fact="0.1526"/>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primFontSz" for="ch" ptType="node" op="equ" val="65"/>
              </dgm:constrLst>
            </dgm:if>
            <dgm:if name="Name8" axis="ch" ptType="node" func="cnt" op="equ" val="4">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h" fact="0.1268"/>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h" fact="0.215"/>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h" fact="0.21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h" fact="0.126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primFontSz" for="ch" ptType="node" op="equ" val="65"/>
              </dgm:constrLst>
            </dgm:if>
            <dgm:if name="Name9" axis="ch" ptType="node" func="cnt" op="equ" val="5">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h" fact="0.1082"/>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h" fact="0.197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h" fact="0.2253"/>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h" fact="0.1978"/>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h" fact="0.1082"/>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primFontSz" for="ch" ptType="node" op="equ" val="65"/>
              </dgm:constrLst>
            </dgm:if>
            <dgm:if name="Name10" axis="ch" ptType="node" func="cnt" op="equ" val="6">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h" fact="0.0943"/>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h" fact="0.1809"/>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h" fact="0.2205"/>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h" fact="0.2205"/>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h" fact="0.18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h" fact="0.0943"/>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primFontSz" for="ch" ptType="node" op="equ" val="65"/>
              </dgm:constrLst>
            </dgm:if>
            <dgm:else name="Name11">
              <dgm:constrLst>
                <dgm:constr type="h" for="ch" forName="cycle" refType="h"/>
                <dgm:constr type="w" for="ch" forName="cycle" refType="h" refFor="ch" refForName="cycle" fact="0.26"/>
                <dgm:constr type="l" for="ch" forName="cycle"/>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h" fact="0.0835"/>
                <dgm:constr type="l" for="ch" forName="text_1" refType="ctrX" refFor="ch" refForName="accent_1"/>
                <dgm:constr type="r" for="ch" forName="text_1" refType="w"/>
                <dgm:constr type="w" for="ch" forName="text_1" refType="h" refFor="ch" refForName="text_1" op="gte"/>
                <dgm:constr type="h" for="ch" forName="text_1" refType="h" refFor="ch" refForName="accent_1" fact="0.8"/>
                <dgm:constr type="ctrY" for="ch" forName="text_1" refType="ctrY" refFor="ch" refForName="accent_1"/>
                <dgm:constr type="l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h" fact="0.1658"/>
                <dgm:constr type="l" for="ch" forName="text_2" refType="ctrX" refFor="ch" refForName="accent_2"/>
                <dgm:constr type="r" for="ch" forName="text_2" refType="w"/>
                <dgm:constr type="w" for="ch" forName="text_2" refType="h" refFor="ch" refForName="text_2" op="gte"/>
                <dgm:constr type="h" for="ch" forName="text_2" refType="h" refFor="ch" refForName="accent_2" fact="0.8"/>
                <dgm:constr type="ctrY" for="ch" forName="text_2" refType="ctrY" refFor="ch" refForName="accent_2"/>
                <dgm:constr type="l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h" fact="0.2109"/>
                <dgm:constr type="l" for="ch" forName="text_3" refType="ctrX" refFor="ch" refForName="accent_3"/>
                <dgm:constr type="r" for="ch" forName="text_3" refType="w"/>
                <dgm:constr type="w" for="ch" forName="text_3" refType="h" refFor="ch" refForName="text_3" op="gte"/>
                <dgm:constr type="h" for="ch" forName="text_3" refType="h" refFor="ch" refForName="accent_3" fact="0.8"/>
                <dgm:constr type="ctrY" for="ch" forName="text_3" refType="ctrY" refFor="ch" refForName="accent_3"/>
                <dgm:constr type="l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h" fact="0.2253"/>
                <dgm:constr type="l" for="ch" forName="text_4" refType="ctrX" refFor="ch" refForName="accent_4"/>
                <dgm:constr type="r" for="ch" forName="text_4" refType="w"/>
                <dgm:constr type="w" for="ch" forName="text_4" refType="h" refFor="ch" refForName="text_4" op="gte"/>
                <dgm:constr type="h" for="ch" forName="text_4" refType="h" refFor="ch" refForName="accent_4" fact="0.8"/>
                <dgm:constr type="ctrY" for="ch" forName="text_4" refType="ctrY" refFor="ch" refForName="accent_4"/>
                <dgm:constr type="l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h" fact="0.2109"/>
                <dgm:constr type="l" for="ch" forName="text_5" refType="ctrX" refFor="ch" refForName="accent_5"/>
                <dgm:constr type="r" for="ch" forName="text_5" refType="w"/>
                <dgm:constr type="w" for="ch" forName="text_5" refType="h" refFor="ch" refForName="text_5" op="gte"/>
                <dgm:constr type="h" for="ch" forName="text_5" refType="h" refFor="ch" refForName="accent_5" fact="0.8"/>
                <dgm:constr type="ctrY" for="ch" forName="text_5" refType="ctrY" refFor="ch" refForName="accent_5"/>
                <dgm:constr type="l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h" fact="0.1658"/>
                <dgm:constr type="l" for="ch" forName="text_6" refType="ctrX" refFor="ch" refForName="accent_6"/>
                <dgm:constr type="r" for="ch" forName="text_6" refType="w"/>
                <dgm:constr type="w" for="ch" forName="text_6" refType="h" refFor="ch" refForName="text_6" op="gte"/>
                <dgm:constr type="h" for="ch" forName="text_6" refType="h" refFor="ch" refForName="accent_6" fact="0.8"/>
                <dgm:constr type="ctrY" for="ch" forName="text_6" refType="ctrY" refFor="ch" refForName="accent_6"/>
                <dgm:constr type="l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h" fact="0.0835"/>
                <dgm:constr type="l" for="ch" forName="text_7" refType="ctrX" refFor="ch" refForName="accent_7"/>
                <dgm:constr type="r" for="ch" forName="text_7" refType="w"/>
                <dgm:constr type="w" for="ch" forName="text_7" refType="h" refFor="ch" refForName="text_7" op="gte"/>
                <dgm:constr type="h" for="ch" forName="text_7" refType="h" refFor="ch" refForName="accent_7" fact="0.8"/>
                <dgm:constr type="ctrY" for="ch" forName="text_7" refType="ctrY" refFor="ch" refForName="accent_7"/>
                <dgm:constr type="lMarg" for="ch" forName="text_7" refType="w" refFor="ch" refForName="accent_7" fact="1.8"/>
                <dgm:constr type="primFontSz" for="ch" ptType="node" op="equ" val="65"/>
              </dgm:constrLst>
            </dgm:else>
          </dgm:choose>
        </dgm:if>
        <dgm:else name="Name12">
          <dgm:choose name="Name13">
            <dgm:if name="Name14" axis="ch" ptType="node" func="cnt" op="equ" val="1">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625"/>
                <dgm:constr type="w" for="ch" forName="accent_1" refType="h" refFor="ch" refForName="accent_1" op="equ"/>
                <dgm:constr type="ctrY" for="ch" forName="accent_1" refType="h" fact="0.5"/>
                <dgm:constr type="ctrX" for="ch" forName="accent_1" refType="w"/>
                <dgm:constr type="ctrXOff" for="ch" forName="accent_1" refType="h" fact="-0.225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primFontSz" for="ch" ptType="node" op="equ" val="65"/>
              </dgm:constrLst>
            </dgm:if>
            <dgm:if name="Name15" axis="ch" ptType="node" func="cnt" op="equ" val="2">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3571"/>
                <dgm:constr type="w" for="ch" forName="accent_1" refType="h" refFor="ch" refForName="accent_1" op="equ"/>
                <dgm:constr type="ctrY" for="ch" forName="accent_1" refType="h" fact="0.2857"/>
                <dgm:constr type="ctrX" for="ch" forName="accent_1" refType="w"/>
                <dgm:constr type="ctrXOff" for="ch" forName="accent_1" refType="h" fact="-0.1891"/>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3571"/>
                <dgm:constr type="w" for="ch" forName="accent_2" refType="h" refFor="ch" refForName="accent_2" op="equ"/>
                <dgm:constr type="ctrY" for="ch" forName="accent_2" refType="h" fact="0.7143"/>
                <dgm:constr type="ctrX" for="ch" forName="accent_2" refType="w"/>
                <dgm:constr type="ctrXOff" for="ch" forName="accent_2" refType="h" fact="-0.1891"/>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primFontSz" for="ch" ptType="node" op="equ" val="65"/>
              </dgm:constrLst>
            </dgm:if>
            <dgm:if name="Name16" axis="ch" ptType="node" func="cnt" op="equ" val="3">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25"/>
                <dgm:constr type="w" for="ch" forName="accent_1" refType="h" refFor="ch" refForName="accent_1" op="equ"/>
                <dgm:constr type="ctrY" for="ch" forName="accent_1" refType="h" fact="0.2"/>
                <dgm:constr type="ctrX" for="ch" forName="accent_1" refType="w"/>
                <dgm:constr type="ctrXOff" for="ch" forName="accent_1" refType="h" fact="-0.1526"/>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25"/>
                <dgm:constr type="w" for="ch" forName="accent_2" refType="h" refFor="ch" refForName="accent_2" op="equ"/>
                <dgm:constr type="ctrY" for="ch" forName="accent_2" refType="h" fact="0.5"/>
                <dgm:constr type="ctrX" for="ch" forName="accent_2" refType="w"/>
                <dgm:constr type="ctrXOff" for="ch" forName="accent_2" refType="h" fact="-0.2253"/>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25"/>
                <dgm:constr type="w" for="ch" forName="accent_3" refType="h" refFor="ch" refForName="accent_3" op="equ"/>
                <dgm:constr type="ctrY" for="ch" forName="accent_3" refType="h" fact="0.8"/>
                <dgm:constr type="ctrX" for="ch" forName="accent_3" refType="w"/>
                <dgm:constr type="ctrXOff" for="ch" forName="accent_3" refType="h" fact="-0.1526"/>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primFontSz" for="ch" ptType="node" op="equ" val="65"/>
              </dgm:constrLst>
            </dgm:if>
            <dgm:if name="Name17" axis="ch" ptType="node" func="cnt" op="equ" val="4">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923"/>
                <dgm:constr type="w" for="ch" forName="accent_1" refType="h" refFor="ch" refForName="accent_1" op="equ"/>
                <dgm:constr type="ctrY" for="ch" forName="accent_1" refType="h" fact="0.1538"/>
                <dgm:constr type="ctrX" for="ch" forName="accent_1" refType="w"/>
                <dgm:constr type="ctrXOff" for="ch" forName="accent_1" refType="h" fact="-0.1268"/>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923"/>
                <dgm:constr type="w" for="ch" forName="accent_2" refType="h" refFor="ch" refForName="accent_2" op="equ"/>
                <dgm:constr type="ctrY" for="ch" forName="accent_2" refType="h" fact="0.3846"/>
                <dgm:constr type="ctrX" for="ch" forName="accent_2" refType="w"/>
                <dgm:constr type="ctrXOff" for="ch" forName="accent_2" refType="h" fact="-0.215"/>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923"/>
                <dgm:constr type="w" for="ch" forName="accent_3" refType="h" refFor="ch" refForName="accent_3" op="equ"/>
                <dgm:constr type="ctrY" for="ch" forName="accent_3" refType="h" fact="0.6154"/>
                <dgm:constr type="ctrX" for="ch" forName="accent_3" refType="w"/>
                <dgm:constr type="ctrXOff" for="ch" forName="accent_3" refType="h" fact="-0.21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923"/>
                <dgm:constr type="w" for="ch" forName="accent_4" refType="h" refFor="ch" refForName="accent_4" op="equ"/>
                <dgm:constr type="ctrY" for="ch" forName="accent_4" refType="h" fact="0.8462"/>
                <dgm:constr type="ctrX" for="ch" forName="accent_4" refType="w"/>
                <dgm:constr type="ctrXOff" for="ch" forName="accent_4" refType="h" fact="-0.126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primFontSz" for="ch" ptType="node" op="equ" val="65"/>
              </dgm:constrLst>
            </dgm:if>
            <dgm:if name="Name18" axis="ch" ptType="node" func="cnt" op="equ" val="5">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563"/>
                <dgm:constr type="w" for="ch" forName="accent_1" refType="h" refFor="ch" refForName="accent_1" op="equ"/>
                <dgm:constr type="ctrY" for="ch" forName="accent_1" refType="h" fact="0.125"/>
                <dgm:constr type="ctrX" for="ch" forName="accent_1" refType="w"/>
                <dgm:constr type="ctrXOff" for="ch" forName="accent_1" refType="h" fact="-0.1082"/>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563"/>
                <dgm:constr type="w" for="ch" forName="accent_2" refType="h" refFor="ch" refForName="accent_2" op="equ"/>
                <dgm:constr type="ctrY" for="ch" forName="accent_2" refType="h" fact="0.3125"/>
                <dgm:constr type="ctrX" for="ch" forName="accent_2" refType="w"/>
                <dgm:constr type="ctrXOff" for="ch" forName="accent_2" refType="h" fact="-0.197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563"/>
                <dgm:constr type="w" for="ch" forName="accent_3" refType="h" refFor="ch" refForName="accent_3" op="equ"/>
                <dgm:constr type="ctrY" for="ch" forName="accent_3" refType="h" fact="0.5"/>
                <dgm:constr type="ctrX" for="ch" forName="accent_3" refType="w"/>
                <dgm:constr type="ctrXOff" for="ch" forName="accent_3" refType="h" fact="-0.2253"/>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563"/>
                <dgm:constr type="w" for="ch" forName="accent_4" refType="h" refFor="ch" refForName="accent_4" op="equ"/>
                <dgm:constr type="ctrY" for="ch" forName="accent_4" refType="h" fact="0.6875"/>
                <dgm:constr type="ctrX" for="ch" forName="accent_4" refType="w"/>
                <dgm:constr type="ctrXOff" for="ch" forName="accent_4" refType="h" fact="-0.1978"/>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563"/>
                <dgm:constr type="w" for="ch" forName="accent_5" refType="h" refFor="ch" refForName="accent_5" op="equ"/>
                <dgm:constr type="ctrY" for="ch" forName="accent_5" refType="h" fact="0.875"/>
                <dgm:constr type="ctrX" for="ch" forName="accent_5" refType="w"/>
                <dgm:constr type="ctrXOff" for="ch" forName="accent_5" refType="h" fact="-0.1082"/>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primFontSz" for="ch" ptType="node" op="equ" val="65"/>
              </dgm:constrLst>
            </dgm:if>
            <dgm:if name="Name19" axis="ch" ptType="node" func="cnt" op="equ" val="6">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316"/>
                <dgm:constr type="w" for="ch" forName="accent_1" refType="h" refFor="ch" refForName="accent_1" op="equ"/>
                <dgm:constr type="ctrY" for="ch" forName="accent_1" refType="h" fact="0.1053"/>
                <dgm:constr type="ctrX" for="ch" forName="accent_1" refType="w"/>
                <dgm:constr type="ctrXOff" for="ch" forName="accent_1" refType="h" fact="-0.0943"/>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316"/>
                <dgm:constr type="w" for="ch" forName="accent_2" refType="h" refFor="ch" refForName="accent_2" op="equ"/>
                <dgm:constr type="ctrY" for="ch" forName="accent_2" refType="h" fact="0.2632"/>
                <dgm:constr type="ctrX" for="ch" forName="accent_2" refType="w"/>
                <dgm:constr type="ctrXOff" for="ch" forName="accent_2" refType="h" fact="-0.1809"/>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316"/>
                <dgm:constr type="w" for="ch" forName="accent_3" refType="h" refFor="ch" refForName="accent_3" op="equ"/>
                <dgm:constr type="ctrY" for="ch" forName="accent_3" refType="h" fact="0.4211"/>
                <dgm:constr type="ctrX" for="ch" forName="accent_3" refType="w"/>
                <dgm:constr type="ctrXOff" for="ch" forName="accent_3" refType="h" fact="-0.2205"/>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316"/>
                <dgm:constr type="w" for="ch" forName="accent_4" refType="h" refFor="ch" refForName="accent_4" op="equ"/>
                <dgm:constr type="ctrY" for="ch" forName="accent_4" refType="h" fact="0.5789"/>
                <dgm:constr type="ctrX" for="ch" forName="accent_4" refType="w"/>
                <dgm:constr type="ctrXOff" for="ch" forName="accent_4" refType="h" fact="-0.2205"/>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316"/>
                <dgm:constr type="w" for="ch" forName="accent_5" refType="h" refFor="ch" refForName="accent_5" op="equ"/>
                <dgm:constr type="ctrY" for="ch" forName="accent_5" refType="h" fact="0.7368"/>
                <dgm:constr type="ctrX" for="ch" forName="accent_5" refType="w"/>
                <dgm:constr type="ctrXOff" for="ch" forName="accent_5" refType="h" fact="-0.18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316"/>
                <dgm:constr type="w" for="ch" forName="accent_6" refType="h" refFor="ch" refForName="accent_6" op="equ"/>
                <dgm:constr type="ctrY" for="ch" forName="accent_6" refType="h" fact="0.8947"/>
                <dgm:constr type="ctrX" for="ch" forName="accent_6" refType="w"/>
                <dgm:constr type="ctrXOff" for="ch" forName="accent_6" refType="h" fact="-0.0943"/>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primFontSz" for="ch" ptType="node" op="equ" val="65"/>
              </dgm:constrLst>
            </dgm:if>
            <dgm:else name="Name20">
              <dgm:constrLst>
                <dgm:constr type="h" for="ch" forName="cycle" refType="h"/>
                <dgm:constr type="w" for="ch" forName="cycle" refType="h" refFor="ch" refForName="cycle" fact="0.26"/>
                <dgm:constr type="r" for="ch" forName="cycle" refType="w"/>
                <dgm:constr type="ctrY" for="ch" forName="cycle" refType="h" fact="0.5"/>
                <dgm:constr type="diam" for="ch" forName="cycle" refType="h" fact="1.344"/>
                <dgm:constr type="h" for="ch" forName="accent_1" refType="h" fact="0.1136"/>
                <dgm:constr type="w" for="ch" forName="accent_1" refType="h" refFor="ch" refForName="accent_1" op="equ"/>
                <dgm:constr type="ctrY" for="ch" forName="accent_1" refType="h" fact="0.0909"/>
                <dgm:constr type="ctrX" for="ch" forName="accent_1" refType="w"/>
                <dgm:constr type="ctrXOff" for="ch" forName="accent_1" refType="h" fact="-0.0835"/>
                <dgm:constr type="r" for="ch" forName="text_1" refType="ctrX" refFor="ch" refForName="accent_1"/>
                <dgm:constr type="rOff" for="ch" forName="text_1" refType="ctrXOff" refFor="ch" refForName="accent_1"/>
                <dgm:constr type="l" for="ch" forName="text_1"/>
                <dgm:constr type="w" for="ch" forName="text_1" refType="h" refFor="ch" refForName="text_1" op="gte"/>
                <dgm:constr type="h" for="ch" forName="text_1" refType="h" refFor="ch" refForName="accent_1" fact="0.8"/>
                <dgm:constr type="ctrY" for="ch" forName="text_1" refType="ctrY" refFor="ch" refForName="accent_1"/>
                <dgm:constr type="rMarg" for="ch" forName="text_1" refType="w" refFor="ch" refForName="accent_1" fact="1.8"/>
                <dgm:constr type="h" for="ch" forName="accent_2" refType="h" fact="0.1136"/>
                <dgm:constr type="w" for="ch" forName="accent_2" refType="h" refFor="ch" refForName="accent_2" op="equ"/>
                <dgm:constr type="ctrY" for="ch" forName="accent_2" refType="h" fact="0.2273"/>
                <dgm:constr type="ctrX" for="ch" forName="accent_2" refType="w"/>
                <dgm:constr type="ctrXOff" for="ch" forName="accent_2" refType="h" fact="-0.1658"/>
                <dgm:constr type="r" for="ch" forName="text_2" refType="ctrX" refFor="ch" refForName="accent_2"/>
                <dgm:constr type="rOff" for="ch" forName="text_2" refType="ctrXOff" refFor="ch" refForName="accent_2"/>
                <dgm:constr type="l" for="ch" forName="text_2"/>
                <dgm:constr type="w" for="ch" forName="text_2" refType="h" refFor="ch" refForName="text_2" op="gte"/>
                <dgm:constr type="h" for="ch" forName="text_2" refType="h" refFor="ch" refForName="accent_2" fact="0.8"/>
                <dgm:constr type="ctrY" for="ch" forName="text_2" refType="ctrY" refFor="ch" refForName="accent_2"/>
                <dgm:constr type="rMarg" for="ch" forName="text_2" refType="w" refFor="ch" refForName="accent_2" fact="1.8"/>
                <dgm:constr type="h" for="ch" forName="accent_3" refType="h" fact="0.1136"/>
                <dgm:constr type="w" for="ch" forName="accent_3" refType="h" refFor="ch" refForName="accent_3" op="equ"/>
                <dgm:constr type="ctrY" for="ch" forName="accent_3" refType="h" fact="0.3636"/>
                <dgm:constr type="ctrX" for="ch" forName="accent_3" refType="w"/>
                <dgm:constr type="ctrXOff" for="ch" forName="accent_3" refType="h" fact="-0.2109"/>
                <dgm:constr type="r" for="ch" forName="text_3" refType="ctrX" refFor="ch" refForName="accent_3"/>
                <dgm:constr type="rOff" for="ch" forName="text_3" refType="ctrXOff" refFor="ch" refForName="accent_3"/>
                <dgm:constr type="l" for="ch" forName="text_3"/>
                <dgm:constr type="w" for="ch" forName="text_3" refType="h" refFor="ch" refForName="text_3" op="gte"/>
                <dgm:constr type="h" for="ch" forName="text_3" refType="h" refFor="ch" refForName="accent_3" fact="0.8"/>
                <dgm:constr type="ctrY" for="ch" forName="text_3" refType="ctrY" refFor="ch" refForName="accent_3"/>
                <dgm:constr type="rMarg" for="ch" forName="text_3" refType="w" refFor="ch" refForName="accent_3" fact="1.8"/>
                <dgm:constr type="h" for="ch" forName="accent_4" refType="h" fact="0.1136"/>
                <dgm:constr type="w" for="ch" forName="accent_4" refType="h" refFor="ch" refForName="accent_4" op="equ"/>
                <dgm:constr type="ctrY" for="ch" forName="accent_4" refType="h" fact="0.5"/>
                <dgm:constr type="ctrX" for="ch" forName="accent_4" refType="w"/>
                <dgm:constr type="ctrXOff" for="ch" forName="accent_4" refType="h" fact="-0.2253"/>
                <dgm:constr type="r" for="ch" forName="text_4" refType="ctrX" refFor="ch" refForName="accent_4"/>
                <dgm:constr type="rOff" for="ch" forName="text_4" refType="ctrXOff" refFor="ch" refForName="accent_4"/>
                <dgm:constr type="l" for="ch" forName="text_4"/>
                <dgm:constr type="w" for="ch" forName="text_4" refType="h" refFor="ch" refForName="text_4" op="gte"/>
                <dgm:constr type="h" for="ch" forName="text_4" refType="h" refFor="ch" refForName="accent_4" fact="0.8"/>
                <dgm:constr type="ctrY" for="ch" forName="text_4" refType="ctrY" refFor="ch" refForName="accent_4"/>
                <dgm:constr type="rMarg" for="ch" forName="text_4" refType="w" refFor="ch" refForName="accent_4" fact="1.8"/>
                <dgm:constr type="h" for="ch" forName="accent_5" refType="h" fact="0.1136"/>
                <dgm:constr type="w" for="ch" forName="accent_5" refType="h" refFor="ch" refForName="accent_5" op="equ"/>
                <dgm:constr type="ctrY" for="ch" forName="accent_5" refType="h" fact="0.6364"/>
                <dgm:constr type="ctrX" for="ch" forName="accent_5" refType="w"/>
                <dgm:constr type="ctrXOff" for="ch" forName="accent_5" refType="h" fact="-0.2109"/>
                <dgm:constr type="r" for="ch" forName="text_5" refType="ctrX" refFor="ch" refForName="accent_5"/>
                <dgm:constr type="rOff" for="ch" forName="text_5" refType="ctrXOff" refFor="ch" refForName="accent_5"/>
                <dgm:constr type="l" for="ch" forName="text_5"/>
                <dgm:constr type="w" for="ch" forName="text_5" refType="h" refFor="ch" refForName="text_5" op="gte"/>
                <dgm:constr type="h" for="ch" forName="text_5" refType="h" refFor="ch" refForName="accent_5" fact="0.8"/>
                <dgm:constr type="ctrY" for="ch" forName="text_5" refType="ctrY" refFor="ch" refForName="accent_5"/>
                <dgm:constr type="rMarg" for="ch" forName="text_5" refType="w" refFor="ch" refForName="accent_5" fact="1.8"/>
                <dgm:constr type="h" for="ch" forName="accent_6" refType="h" fact="0.1136"/>
                <dgm:constr type="w" for="ch" forName="accent_6" refType="h" refFor="ch" refForName="accent_6" op="equ"/>
                <dgm:constr type="ctrY" for="ch" forName="accent_6" refType="h" fact="0.7727"/>
                <dgm:constr type="ctrX" for="ch" forName="accent_6" refType="w"/>
                <dgm:constr type="ctrXOff" for="ch" forName="accent_6" refType="h" fact="-0.1658"/>
                <dgm:constr type="r" for="ch" forName="text_6" refType="ctrX" refFor="ch" refForName="accent_6"/>
                <dgm:constr type="rOff" for="ch" forName="text_6" refType="ctrXOff" refFor="ch" refForName="accent_6"/>
                <dgm:constr type="l" for="ch" forName="text_6"/>
                <dgm:constr type="w" for="ch" forName="text_6" refType="h" refFor="ch" refForName="text_6" op="gte"/>
                <dgm:constr type="h" for="ch" forName="text_6" refType="h" refFor="ch" refForName="accent_6" fact="0.8"/>
                <dgm:constr type="ctrY" for="ch" forName="text_6" refType="ctrY" refFor="ch" refForName="accent_6"/>
                <dgm:constr type="rMarg" for="ch" forName="text_6" refType="w" refFor="ch" refForName="accent_6" fact="1.8"/>
                <dgm:constr type="h" for="ch" forName="accent_7" refType="h" fact="0.1136"/>
                <dgm:constr type="w" for="ch" forName="accent_7" refType="h" refFor="ch" refForName="accent_7" op="equ"/>
                <dgm:constr type="ctrY" for="ch" forName="accent_7" refType="h" fact="0.9091"/>
                <dgm:constr type="ctrX" for="ch" forName="accent_7" refType="w"/>
                <dgm:constr type="ctrXOff" for="ch" forName="accent_7" refType="h" fact="-0.0835"/>
                <dgm:constr type="r" for="ch" forName="text_7" refType="ctrX" refFor="ch" refForName="accent_7"/>
                <dgm:constr type="rOff" for="ch" forName="text_7" refType="ctrXOff" refFor="ch" refForName="accent_7"/>
                <dgm:constr type="l" for="ch" forName="text_7"/>
                <dgm:constr type="w" for="ch" forName="text_7" refType="h" refFor="ch" refForName="text_7" op="gte"/>
                <dgm:constr type="h" for="ch" forName="text_7" refType="h" refFor="ch" refForName="accent_7" fact="0.8"/>
                <dgm:constr type="ctrY" for="ch" forName="text_7" refType="ctrY" refFor="ch" refForName="accent_7"/>
                <dgm:constr type="rMarg" for="ch" forName="text_7" refType="w" refFor="ch" refForName="accent_7" fact="1.8"/>
                <dgm:constr type="primFontSz" for="ch" ptType="node" op="equ" val="65"/>
              </dgm:constrLst>
            </dgm:else>
          </dgm:choose>
        </dgm:else>
      </dgm:choose>
      <dgm:layoutNode name="cycle">
        <dgm:choose name="Name21">
          <dgm:if name="Name22" func="var" arg="dir" op="equ" val="norm">
            <dgm:alg type="cycle">
              <dgm:param type="stAng" val="45"/>
              <dgm:param type="spanAng" val="90"/>
            </dgm:alg>
          </dgm:if>
          <dgm:else name="Name23">
            <dgm:alg type="cycle">
              <dgm:param type="stAng" val="225"/>
              <dgm:param type="spanAng" val="90"/>
            </dgm:alg>
          </dgm:else>
        </dgm:choose>
        <dgm:shape xmlns:r="http://schemas.openxmlformats.org/officeDocument/2006/relationships" r:blip="">
          <dgm:adjLst/>
        </dgm:shape>
        <dgm:presOf/>
        <dgm:constrLst>
          <dgm:constr type="w" for="ch" val="1"/>
          <dgm:constr type="h" for="ch" val="1"/>
          <dgm:constr type="diam" for="ch" forName="conn" refType="diam"/>
        </dgm:constrLst>
        <dgm:layoutNode name="srcNode">
          <dgm:alg type="sp"/>
          <dgm:shape xmlns:r="http://schemas.openxmlformats.org/officeDocument/2006/relationships" type="rect" r:blip="" hideGeom="1">
            <dgm:adjLst/>
          </dgm:shape>
          <dgm:presOf/>
        </dgm:layoutNode>
        <dgm:layoutNode name="conn" styleLbl="parChTrans1D2">
          <dgm:alg type="conn">
            <dgm:param type="connRout" val="curve"/>
            <dgm:param type="srcNode" val="srcNode"/>
            <dgm:param type="dstNode" val="dstNode"/>
            <dgm:param type="begPts" val="ctr"/>
            <dgm:param type="endPts" val="ctr"/>
            <dgm:param type="endSty" val="noArr"/>
          </dgm:alg>
          <dgm:shape xmlns:r="http://schemas.openxmlformats.org/officeDocument/2006/relationships" type="conn" r:blip="">
            <dgm:adjLst/>
          </dgm:shape>
          <dgm:presOf axis="desOrSelf" ptType="sibTrans" hideLastTrans="0" st="0" cnt="1"/>
          <dgm:constrLst>
            <dgm:constr type="begPad"/>
            <dgm:constr type="endPad"/>
          </dgm:constrLst>
        </dgm:layoutNode>
        <dgm:layoutNode name="extraNode">
          <dgm:alg type="sp"/>
          <dgm:shape xmlns:r="http://schemas.openxmlformats.org/officeDocument/2006/relationships" type="rect" r:blip="" hideGeom="1">
            <dgm:adjLst/>
          </dgm:shape>
          <dgm:presOf/>
        </dgm:layoutNode>
        <dgm:layoutNode name="dstNode">
          <dgm:alg type="sp"/>
          <dgm:shape xmlns:r="http://schemas.openxmlformats.org/officeDocument/2006/relationships" type="rect" r:blip="" hideGeom="1">
            <dgm:adjLst/>
          </dgm:shape>
          <dgm:presOf/>
        </dgm:layoutNode>
      </dgm:layoutNode>
      <dgm:forEach name="wrapper" axis="self" ptType="parTrans">
        <dgm:forEach name="wrapper2" axis="self" ptType="sibTrans" st="2">
          <dgm:forEach name="accentRepeat" axis="self">
            <dgm:layoutNode name="accentRepeatNode" styleLbl="solidFgAcc1">
              <dgm:alg type="sp"/>
              <dgm:shape xmlns:r="http://schemas.openxmlformats.org/officeDocument/2006/relationships" type="ellipse" r:blip="">
                <dgm:adjLst/>
              </dgm:shape>
              <dgm:presOf/>
            </dgm:layoutNode>
          </dgm:forEach>
        </dgm:forEach>
      </dgm:forEach>
      <dgm:forEach name="Name24" axis="ch" ptType="node" cnt="1">
        <dgm:layoutNode name="text_1" styleLbl="node1">
          <dgm:varLst>
            <dgm:bulletEnabled val="1"/>
          </dgm:varLst>
          <dgm:choose name="Name25">
            <dgm:if name="Name26" func="var" arg="dir" op="equ" val="norm">
              <dgm:alg type="tx">
                <dgm:param type="parTxLTRAlign" val="l"/>
                <dgm:param type="shpTxLTRAlignCh" val="l"/>
                <dgm:param type="parTxRTLAlign" val="l"/>
                <dgm:param type="shpTxRTLAlignCh" val="l"/>
              </dgm:alg>
            </dgm:if>
            <dgm:else name="Name2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1">
          <dgm:alg type="sp"/>
          <dgm:shape xmlns:r="http://schemas.openxmlformats.org/officeDocument/2006/relationships" r:blip="">
            <dgm:adjLst/>
          </dgm:shape>
          <dgm:presOf/>
          <dgm:constrLst/>
          <dgm:forEach name="Name28" ref="accentRepeat"/>
        </dgm:layoutNode>
      </dgm:forEach>
      <dgm:forEach name="Name29" axis="ch" ptType="node" st="2" cnt="1">
        <dgm:layoutNode name="text_2" styleLbl="node1">
          <dgm:varLst>
            <dgm:bulletEnabled val="1"/>
          </dgm:varLst>
          <dgm:choose name="Name30">
            <dgm:if name="Name31" func="var" arg="dir" op="equ" val="norm">
              <dgm:alg type="tx">
                <dgm:param type="parTxLTRAlign" val="l"/>
                <dgm:param type="shpTxLTRAlignCh" val="l"/>
                <dgm:param type="parTxRTLAlign" val="l"/>
                <dgm:param type="shpTxRTLAlignCh" val="l"/>
              </dgm:alg>
            </dgm:if>
            <dgm:else name="Name3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2">
          <dgm:alg type="sp"/>
          <dgm:shape xmlns:r="http://schemas.openxmlformats.org/officeDocument/2006/relationships" r:blip="">
            <dgm:adjLst/>
          </dgm:shape>
          <dgm:presOf/>
          <dgm:constrLst/>
          <dgm:forEach name="Name33" ref="accentRepeat"/>
        </dgm:layoutNode>
      </dgm:forEach>
      <dgm:forEach name="Name34" axis="ch" ptType="node" st="3" cnt="1">
        <dgm:layoutNode name="text_3" styleLbl="node1">
          <dgm:varLst>
            <dgm:bulletEnabled val="1"/>
          </dgm:varLst>
          <dgm:choose name="Name35">
            <dgm:if name="Name36" func="var" arg="dir" op="equ" val="norm">
              <dgm:alg type="tx">
                <dgm:param type="parTxLTRAlign" val="l"/>
                <dgm:param type="shpTxLTRAlignCh" val="l"/>
                <dgm:param type="parTxRTLAlign" val="l"/>
                <dgm:param type="shpTxRTLAlignCh" val="l"/>
              </dgm:alg>
            </dgm:if>
            <dgm:else name="Name3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3">
          <dgm:alg type="sp"/>
          <dgm:shape xmlns:r="http://schemas.openxmlformats.org/officeDocument/2006/relationships" r:blip="">
            <dgm:adjLst/>
          </dgm:shape>
          <dgm:presOf/>
          <dgm:constrLst/>
          <dgm:forEach name="Name38" ref="accentRepeat"/>
        </dgm:layoutNode>
      </dgm:forEach>
      <dgm:forEach name="Name39" axis="ch" ptType="node" st="4" cnt="1">
        <dgm:layoutNode name="text_4" styleLbl="node1">
          <dgm:varLst>
            <dgm:bulletEnabled val="1"/>
          </dgm:varLst>
          <dgm:choose name="Name40">
            <dgm:if name="Name41" func="var" arg="dir" op="equ" val="norm">
              <dgm:alg type="tx">
                <dgm:param type="parTxLTRAlign" val="l"/>
                <dgm:param type="shpTxLTRAlignCh" val="l"/>
                <dgm:param type="parTxRTLAlign" val="l"/>
                <dgm:param type="shpTxRTLAlignCh" val="l"/>
              </dgm:alg>
            </dgm:if>
            <dgm:else name="Name4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4">
          <dgm:alg type="sp"/>
          <dgm:shape xmlns:r="http://schemas.openxmlformats.org/officeDocument/2006/relationships" r:blip="">
            <dgm:adjLst/>
          </dgm:shape>
          <dgm:presOf/>
          <dgm:constrLst/>
          <dgm:forEach name="Name43" ref="accentRepeat"/>
        </dgm:layoutNode>
      </dgm:forEach>
      <dgm:forEach name="Name44" axis="ch" ptType="node" st="5" cnt="1">
        <dgm:layoutNode name="text_5" styleLbl="node1">
          <dgm:varLst>
            <dgm:bulletEnabled val="1"/>
          </dgm:varLst>
          <dgm:choose name="Name45">
            <dgm:if name="Name46" func="var" arg="dir" op="equ" val="norm">
              <dgm:alg type="tx">
                <dgm:param type="parTxLTRAlign" val="l"/>
                <dgm:param type="shpTxLTRAlignCh" val="l"/>
                <dgm:param type="parTxRTLAlign" val="l"/>
                <dgm:param type="shpTxRTLAlignCh" val="l"/>
              </dgm:alg>
            </dgm:if>
            <dgm:else name="Name4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5">
          <dgm:alg type="sp"/>
          <dgm:shape xmlns:r="http://schemas.openxmlformats.org/officeDocument/2006/relationships" r:blip="">
            <dgm:adjLst/>
          </dgm:shape>
          <dgm:presOf/>
          <dgm:constrLst/>
          <dgm:forEach name="Name48" ref="accentRepeat"/>
        </dgm:layoutNode>
      </dgm:forEach>
      <dgm:forEach name="Name49" axis="ch" ptType="node" st="6" cnt="1">
        <dgm:layoutNode name="text_6" styleLbl="node1">
          <dgm:varLst>
            <dgm:bulletEnabled val="1"/>
          </dgm:varLst>
          <dgm:choose name="Name50">
            <dgm:if name="Name51" func="var" arg="dir" op="equ" val="norm">
              <dgm:alg type="tx">
                <dgm:param type="parTxLTRAlign" val="l"/>
                <dgm:param type="shpTxLTRAlignCh" val="l"/>
                <dgm:param type="parTxRTLAlign" val="l"/>
                <dgm:param type="shpTxRTLAlignCh" val="l"/>
              </dgm:alg>
            </dgm:if>
            <dgm:else name="Name52">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6">
          <dgm:alg type="sp"/>
          <dgm:shape xmlns:r="http://schemas.openxmlformats.org/officeDocument/2006/relationships" r:blip="">
            <dgm:adjLst/>
          </dgm:shape>
          <dgm:presOf/>
          <dgm:constrLst/>
          <dgm:forEach name="Name53" ref="accentRepeat"/>
        </dgm:layoutNode>
      </dgm:forEach>
      <dgm:forEach name="Name54" axis="ch" ptType="node" st="7" cnt="1">
        <dgm:layoutNode name="text_7" styleLbl="node1">
          <dgm:varLst>
            <dgm:bulletEnabled val="1"/>
          </dgm:varLst>
          <dgm:choose name="Name55">
            <dgm:if name="Name56" func="var" arg="dir" op="equ" val="norm">
              <dgm:alg type="tx">
                <dgm:param type="parTxLTRAlign" val="l"/>
                <dgm:param type="shpTxLTRAlignCh" val="l"/>
                <dgm:param type="parTxRTLAlign" val="l"/>
                <dgm:param type="shpTxRTLAlignCh" val="l"/>
              </dgm:alg>
            </dgm:if>
            <dgm:else name="Name57">
              <dgm:alg type="tx">
                <dgm:param type="parTxLTRAlign" val="r"/>
                <dgm:param type="shpTxLTRAlignCh" val="r"/>
                <dgm:param type="parTxRTLAlign" val="r"/>
                <dgm:param type="shpTxRTLAlignCh" val="r"/>
              </dgm:alg>
            </dgm:else>
          </dgm:choose>
          <dgm:shape xmlns:r="http://schemas.openxmlformats.org/officeDocument/2006/relationships" type="rect" r:blip="">
            <dgm:adjLst/>
          </dgm:shape>
          <dgm:presOf axis="desOrSelf" ptType="node"/>
          <dgm:constrLst>
            <dgm:constr type="primFontSz" val="65"/>
            <dgm:constr type="lMarg" refType="primFontSz" fact="0.2"/>
            <dgm:constr type="rMarg" refType="primFontSz" fact="0.2"/>
            <dgm:constr type="tMarg" refType="primFontSz" fact="0.2"/>
            <dgm:constr type="bMarg" refType="primFontSz" fact="0.2"/>
          </dgm:constrLst>
          <dgm:ruleLst>
            <dgm:rule type="primFontSz" val="5" fact="NaN" max="NaN"/>
          </dgm:ruleLst>
        </dgm:layoutNode>
        <dgm:layoutNode name="accent_7">
          <dgm:alg type="sp"/>
          <dgm:shape xmlns:r="http://schemas.openxmlformats.org/officeDocument/2006/relationships" r:blip="">
            <dgm:adjLst/>
          </dgm:shape>
          <dgm:presOf/>
          <dgm:constrLst/>
          <dgm:forEach name="Name58" ref="accentRepeat"/>
        </dgm:layoutNod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cycle2">
  <dgm:title val=""/>
  <dgm:desc val=""/>
  <dgm:catLst>
    <dgm:cat type="cycle" pri="1000"/>
    <dgm:cat type="convert" pri="10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onstrLst>
      <dgm:constr type="w" for="ch" ptType="node" refType="w"/>
      <dgm:constr type="w" for="ch" ptType="sibTrans" refType="w" refFor="ch" refPtType="node" op="equ" fact="0.25"/>
      <dgm:constr type="sibSp" refType="w" refFor="ch" refPtType="node" fact="0.5"/>
      <dgm:constr type="primFontSz" for="ch" ptType="node" op="equ" val="65"/>
      <dgm:constr type="primFontSz" for="des" forName="connectorText" op="equ" val="55"/>
      <dgm:constr type="primFontSz" for="des" forName="connectorText" refType="primFontSz" refFor="ch" refPtType="node" op="lte" fact="0.8"/>
    </dgm:constrLst>
    <dgm:ruleLst/>
    <dgm:forEach name="nodesForEach" axis="ch" ptType="node">
      <dgm:layoutNode name="node">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lMarg" refType="primFontSz" fact="0.1"/>
          <dgm:constr type="rMarg" refType="primFontSz" fact="0.1"/>
          <dgm:constr type="tMarg" refType="primFontSz" fact="0.1"/>
          <dgm:constr type="bMarg" refType="primFontSz" fact="0.1"/>
        </dgm:constrLst>
        <dgm:ruleLst>
          <dgm:rule type="primFontSz" val="5" fact="NaN" max="NaN"/>
        </dgm:ruleLst>
      </dgm:layoutNode>
      <dgm:choose name="Name9">
        <dgm:if name="Name10" axis="par ch" ptType="doc node" func="cnt" op="gt" val="1">
          <dgm:forEach name="sibTransForEach" axis="followSib" ptType="sibTrans" hideLastTrans="0" cnt="1">
            <dgm:layoutNode name="sibTrans">
              <dgm:choose name="Name11">
                <dgm:if name="Name12" axis="par ch" ptType="doc node" func="cnt" op="lt" val="3">
                  <dgm:alg type="conn">
                    <dgm:param type="begPts" val="radial"/>
                    <dgm:param type="endPts" val="radial"/>
                  </dgm:alg>
                </dgm:if>
                <dgm:else name="Name13">
                  <dgm:alg type="conn">
                    <dgm:param type="begPts" val="auto"/>
                    <dgm:param type="endPts" val="auto"/>
                  </dgm:alg>
                </dgm:else>
              </dgm:choose>
              <dgm:shape xmlns:r="http://schemas.openxmlformats.org/officeDocument/2006/relationships" type="conn" r:blip="">
                <dgm:adjLst/>
              </dgm:shape>
              <dgm:presOf axis="self"/>
              <dgm:constrLst>
                <dgm:constr type="h" refType="w" fact="1.35"/>
                <dgm:constr type="connDist"/>
                <dgm:constr type="w" for="ch" refType="connDist" fact="0.45"/>
                <dgm:constr type="h" for="ch" refType="h"/>
              </dgm:constrLst>
              <dgm:ruleLst/>
              <dgm:layoutNode name="connectorText">
                <dgm:alg type="tx">
                  <dgm:param type="autoTxRot" val="grav"/>
                </dgm:alg>
                <dgm:shape xmlns:r="http://schemas.openxmlformats.org/officeDocument/2006/relationships" type="conn" r:blip="" hideGeom="1">
                  <dgm:adjLst/>
                </dgm:shape>
                <dgm:presOf axis="self"/>
                <dgm:constrLst>
                  <dgm:constr type="lMarg"/>
                  <dgm:constr type="rMarg"/>
                  <dgm:constr type="tMarg"/>
                  <dgm:constr type="bMarg"/>
                </dgm:constrLst>
                <dgm:ruleLst>
                  <dgm:rule type="primFontSz" val="5" fact="NaN" max="NaN"/>
                </dgm:ruleLst>
              </dgm:layoutNode>
            </dgm:layoutNode>
          </dgm:forEach>
        </dgm:if>
        <dgm:else name="Name14"/>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9D6F7BD9-E23D-C24D-8D75-247BC8FF38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105</Pages>
  <Words>24340</Words>
  <Characters>138739</Characters>
  <Application>Microsoft Office Word</Application>
  <DocSecurity>0</DocSecurity>
  <Lines>1156</Lines>
  <Paragraphs>325</Paragraphs>
  <ScaleCrop>false</ScaleCrop>
  <HeadingPairs>
    <vt:vector size="2" baseType="variant">
      <vt:variant>
        <vt:lpstr>Title</vt:lpstr>
      </vt:variant>
      <vt:variant>
        <vt:i4>1</vt:i4>
      </vt:variant>
    </vt:vector>
  </HeadingPairs>
  <TitlesOfParts>
    <vt:vector size="1" baseType="lpstr">
      <vt:lpstr>_</vt:lpstr>
    </vt:vector>
  </TitlesOfParts>
  <Company/>
  <LinksUpToDate>false</LinksUpToDate>
  <CharactersWithSpaces>162754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subject/>
  <dc:creator>Sidra Jawed</dc:creator>
  <dc:description/>
  <cp:lastModifiedBy>Sidra Jawed</cp:lastModifiedBy>
  <cp:revision>4</cp:revision>
  <cp:lastPrinted>2016-04-22T12:38:00Z</cp:lastPrinted>
  <dcterms:created xsi:type="dcterms:W3CDTF">2018-12-30T07:53:00Z</dcterms:created>
  <dcterms:modified xsi:type="dcterms:W3CDTF">2019-01-08T16:26:00Z</dcterms:modified>
  <dc:language>en-CA</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DocSecurity">
    <vt:i4>0</vt:i4>
  </property>
  <property fmtid="{D5CDD505-2E9C-101B-9397-08002B2CF9AE}" pid="4" name="HyperlinksChanged">
    <vt:bool>false</vt:bool>
  </property>
  <property fmtid="{D5CDD505-2E9C-101B-9397-08002B2CF9AE}" pid="5" name="LinksUpToDate">
    <vt:bool>false</vt:bool>
  </property>
  <property fmtid="{D5CDD505-2E9C-101B-9397-08002B2CF9AE}" pid="6" name="RWProductId">
    <vt:lpwstr>WnC</vt:lpwstr>
  </property>
  <property fmtid="{D5CDD505-2E9C-101B-9397-08002B2CF9AE}" pid="7" name="ScaleCrop">
    <vt:bool>false</vt:bool>
  </property>
  <property fmtid="{D5CDD505-2E9C-101B-9397-08002B2CF9AE}" pid="8" name="ShareDoc">
    <vt:bool>false</vt:bool>
  </property>
  <property fmtid="{D5CDD505-2E9C-101B-9397-08002B2CF9AE}" pid="9" name="WnC4Folder">
    <vt:lpwstr>Documents///e Sidra's proposal draft 1 dm (3)(1)</vt:lpwstr>
  </property>
  <property fmtid="{D5CDD505-2E9C-101B-9397-08002B2CF9AE}" pid="10" name="WnCOutputStyleId">
    <vt:lpwstr>1669</vt:lpwstr>
  </property>
  <property fmtid="{D5CDD505-2E9C-101B-9397-08002B2CF9AE}" pid="11" name="WnCSubscriberId">
    <vt:lpwstr>2509</vt:lpwstr>
  </property>
  <property fmtid="{D5CDD505-2E9C-101B-9397-08002B2CF9AE}" pid="12" name="WnCUserId">
    <vt:lpwstr>15314</vt:lpwstr>
  </property>
</Properties>
</file>