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90AEBE" w14:textId="0DB46AEA" w:rsidR="007D341C" w:rsidRPr="007D341C" w:rsidRDefault="007D341C" w:rsidP="00F73F32">
      <w:pPr>
        <w:pStyle w:val="headingAM"/>
        <w:rPr>
          <w:rFonts w:asciiTheme="minorHAnsi" w:hAnsiTheme="minorHAnsi" w:cstheme="minorHAnsi"/>
          <w:b w:val="0"/>
        </w:rPr>
      </w:pPr>
      <w:r w:rsidRPr="007D341C">
        <w:rPr>
          <w:rFonts w:asciiTheme="minorHAnsi" w:hAnsiTheme="minorHAnsi" w:cstheme="minorHAnsi"/>
          <w:b w:val="0"/>
        </w:rPr>
        <w:t>van der Marel AM, López-Darias M, Waterman JM. 2019. Group-enhanced predator detection and quality of vigilance in a social ground squirrel. Animal Behaviour. 151: 43-52.</w:t>
      </w:r>
      <w:r>
        <w:rPr>
          <w:rFonts w:asciiTheme="minorHAnsi" w:hAnsiTheme="minorHAnsi" w:cstheme="minorHAnsi"/>
          <w:b w:val="0"/>
        </w:rPr>
        <w:t xml:space="preserve"> </w:t>
      </w:r>
    </w:p>
    <w:p w14:paraId="1CFE09E8" w14:textId="54C1BD89" w:rsidR="007D341C" w:rsidRDefault="007D341C" w:rsidP="00F73F32">
      <w:pPr>
        <w:pStyle w:val="headingAM"/>
        <w:rPr>
          <w:rFonts w:asciiTheme="minorHAnsi" w:hAnsiTheme="minorHAnsi" w:cstheme="minorHAnsi"/>
          <w:b w:val="0"/>
        </w:rPr>
      </w:pPr>
      <w:hyperlink r:id="rId9" w:history="1">
        <w:r w:rsidRPr="009A6FF3">
          <w:rPr>
            <w:rStyle w:val="Hyperlink"/>
            <w:rFonts w:asciiTheme="minorHAnsi" w:hAnsiTheme="minorHAnsi" w:cstheme="minorHAnsi"/>
            <w:b w:val="0"/>
          </w:rPr>
          <w:t>https://doi.org/10.1016/j.anbehav.2019.02.017</w:t>
        </w:r>
      </w:hyperlink>
    </w:p>
    <w:p w14:paraId="1714CB35" w14:textId="57B9D93B" w:rsidR="007D341C" w:rsidRPr="007D341C" w:rsidRDefault="007D341C" w:rsidP="00F73F32">
      <w:pPr>
        <w:pStyle w:val="headingAM"/>
        <w:rPr>
          <w:rFonts w:asciiTheme="minorHAnsi" w:hAnsiTheme="minorHAnsi" w:cstheme="minorHAnsi"/>
          <w:b w:val="0"/>
        </w:rPr>
      </w:pPr>
      <w:r w:rsidRPr="007D341C">
        <w:rPr>
          <w:rFonts w:asciiTheme="minorHAnsi" w:hAnsiTheme="minorHAnsi" w:cstheme="minorHAnsi"/>
          <w:b w:val="0"/>
        </w:rPr>
        <w:t>© 201</w:t>
      </w:r>
      <w:r>
        <w:rPr>
          <w:rFonts w:asciiTheme="minorHAnsi" w:hAnsiTheme="minorHAnsi" w:cstheme="minorHAnsi"/>
          <w:b w:val="0"/>
        </w:rPr>
        <w:t>9</w:t>
      </w:r>
      <w:r w:rsidRPr="007D341C">
        <w:rPr>
          <w:rFonts w:asciiTheme="minorHAnsi" w:hAnsiTheme="minorHAnsi" w:cstheme="minorHAnsi"/>
          <w:b w:val="0"/>
        </w:rPr>
        <w:t>. This manuscript version is made available under the CC-BY-NC-ND 4.0 license http://creativecommons.org/licenses/by-nc-nd/4.0/</w:t>
      </w:r>
    </w:p>
    <w:p w14:paraId="082791BD" w14:textId="77777777" w:rsidR="007D341C" w:rsidRDefault="007D341C" w:rsidP="00F73F32">
      <w:pPr>
        <w:pStyle w:val="headingAM"/>
        <w:rPr>
          <w:rFonts w:asciiTheme="minorHAnsi" w:hAnsiTheme="minorHAnsi" w:cstheme="minorHAnsi"/>
        </w:rPr>
      </w:pPr>
    </w:p>
    <w:p w14:paraId="3F8D8E09" w14:textId="77777777" w:rsidR="007D341C" w:rsidRDefault="007D341C" w:rsidP="00F73F32">
      <w:pPr>
        <w:pStyle w:val="headingAM"/>
        <w:rPr>
          <w:rFonts w:asciiTheme="minorHAnsi" w:hAnsiTheme="minorHAnsi" w:cstheme="minorHAnsi"/>
        </w:rPr>
      </w:pPr>
    </w:p>
    <w:p w14:paraId="39EA6876" w14:textId="4DE0AE5A" w:rsidR="00212ED8" w:rsidRPr="00F73F32" w:rsidRDefault="009B4DC0" w:rsidP="00F73F32">
      <w:pPr>
        <w:pStyle w:val="headingAM"/>
        <w:rPr>
          <w:rFonts w:cstheme="minorHAnsi"/>
          <w:b w:val="0"/>
        </w:rPr>
      </w:pPr>
      <w:r>
        <w:rPr>
          <w:rFonts w:asciiTheme="minorHAnsi" w:hAnsiTheme="minorHAnsi" w:cstheme="minorHAnsi"/>
        </w:rPr>
        <w:t>Group-e</w:t>
      </w:r>
      <w:r w:rsidR="00212ED8" w:rsidRPr="00F73F32">
        <w:rPr>
          <w:rFonts w:asciiTheme="minorHAnsi" w:hAnsiTheme="minorHAnsi" w:cstheme="minorHAnsi"/>
        </w:rPr>
        <w:t xml:space="preserve">nhanced predator detection </w:t>
      </w:r>
      <w:bookmarkStart w:id="0" w:name="_GoBack"/>
      <w:bookmarkEnd w:id="0"/>
      <w:r w:rsidR="00212ED8" w:rsidRPr="00F73F32">
        <w:rPr>
          <w:rFonts w:asciiTheme="minorHAnsi" w:hAnsiTheme="minorHAnsi" w:cstheme="minorHAnsi"/>
        </w:rPr>
        <w:t xml:space="preserve">and quality of vigilance in a social ground squirrel </w:t>
      </w:r>
    </w:p>
    <w:p w14:paraId="3C861CC4" w14:textId="77777777" w:rsidR="00DC31D5" w:rsidRDefault="00DC31D5" w:rsidP="00DC31D5">
      <w:pPr>
        <w:autoSpaceDE w:val="0"/>
        <w:autoSpaceDN w:val="0"/>
        <w:adjustRightInd w:val="0"/>
        <w:spacing w:after="0" w:line="480" w:lineRule="auto"/>
        <w:rPr>
          <w:rFonts w:ascii="Verdana" w:hAnsi="Verdana" w:cs="Verdana"/>
          <w:sz w:val="20"/>
          <w:szCs w:val="20"/>
        </w:rPr>
      </w:pPr>
    </w:p>
    <w:p w14:paraId="518FDF25" w14:textId="443153F2" w:rsidR="00541FBA" w:rsidRDefault="00541FBA" w:rsidP="00541FBA">
      <w:pPr>
        <w:pStyle w:val="Heading2"/>
        <w:rPr>
          <w:color w:val="auto"/>
          <w:sz w:val="22"/>
          <w:lang w:val="en-GB"/>
        </w:rPr>
      </w:pPr>
      <w:r w:rsidRPr="006F145D">
        <w:rPr>
          <w:color w:val="auto"/>
          <w:sz w:val="22"/>
          <w:lang w:val="en-GB"/>
        </w:rPr>
        <w:t>Highlights</w:t>
      </w:r>
    </w:p>
    <w:p w14:paraId="700DCD12" w14:textId="336E37DE" w:rsidR="007E581F" w:rsidRDefault="007E581F" w:rsidP="007E581F">
      <w:pPr>
        <w:pStyle w:val="ListParagraph"/>
        <w:numPr>
          <w:ilvl w:val="0"/>
          <w:numId w:val="23"/>
        </w:numPr>
        <w:spacing w:line="480" w:lineRule="auto"/>
        <w:rPr>
          <w:lang w:val="en-GB"/>
        </w:rPr>
      </w:pPr>
      <w:r>
        <w:rPr>
          <w:lang w:val="en-GB"/>
        </w:rPr>
        <w:t>Collective high-quality vigilance increased with larger group size</w:t>
      </w:r>
    </w:p>
    <w:p w14:paraId="523A92AF" w14:textId="7CD8787E" w:rsidR="00741F53" w:rsidRDefault="00741F53" w:rsidP="00541FBA">
      <w:pPr>
        <w:pStyle w:val="ListParagraph"/>
        <w:numPr>
          <w:ilvl w:val="0"/>
          <w:numId w:val="23"/>
        </w:numPr>
        <w:spacing w:line="480" w:lineRule="auto"/>
        <w:rPr>
          <w:lang w:val="en-GB"/>
        </w:rPr>
      </w:pPr>
      <w:r>
        <w:rPr>
          <w:lang w:val="en-GB"/>
        </w:rPr>
        <w:t>Individual low- and high-quality vigilance did not decrease a</w:t>
      </w:r>
      <w:r w:rsidR="007E581F">
        <w:rPr>
          <w:lang w:val="en-GB"/>
        </w:rPr>
        <w:t>s group size increased</w:t>
      </w:r>
    </w:p>
    <w:p w14:paraId="17C87381" w14:textId="1BCB5466" w:rsidR="00C95A45" w:rsidRDefault="00541FBA" w:rsidP="00C95A45">
      <w:pPr>
        <w:pStyle w:val="ListParagraph"/>
        <w:numPr>
          <w:ilvl w:val="0"/>
          <w:numId w:val="23"/>
        </w:numPr>
        <w:spacing w:line="480" w:lineRule="auto"/>
        <w:rPr>
          <w:lang w:val="en-GB"/>
        </w:rPr>
      </w:pPr>
      <w:r w:rsidRPr="00C95A45">
        <w:rPr>
          <w:lang w:val="en-GB"/>
        </w:rPr>
        <w:t xml:space="preserve">Repeated alarm calls communicate a terrestrial threat to group members </w:t>
      </w:r>
    </w:p>
    <w:p w14:paraId="114397FB" w14:textId="30C6F484" w:rsidR="00C95A45" w:rsidRPr="00BD2BFC" w:rsidRDefault="00C95A45" w:rsidP="00C95A45">
      <w:pPr>
        <w:pStyle w:val="ListParagraph"/>
        <w:numPr>
          <w:ilvl w:val="0"/>
          <w:numId w:val="23"/>
        </w:numPr>
        <w:spacing w:line="480" w:lineRule="auto"/>
        <w:rPr>
          <w:lang w:val="en-GB"/>
        </w:rPr>
      </w:pPr>
      <w:r w:rsidRPr="00C95A45">
        <w:rPr>
          <w:shd w:val="clear" w:color="auto" w:fill="FFFFFF"/>
        </w:rPr>
        <w:t>Natural selection may favour high-quality vigilance</w:t>
      </w:r>
      <w:r>
        <w:rPr>
          <w:shd w:val="clear" w:color="auto" w:fill="FFFFFF"/>
        </w:rPr>
        <w:t xml:space="preserve"> in the Barbary ground squirrel</w:t>
      </w:r>
    </w:p>
    <w:p w14:paraId="522BCF7C" w14:textId="5B9F26D8" w:rsidR="00BD2BFC" w:rsidRPr="00BD2BFC" w:rsidRDefault="00BD2BFC" w:rsidP="00BD2BFC">
      <w:pPr>
        <w:pStyle w:val="ListParagraph"/>
        <w:numPr>
          <w:ilvl w:val="0"/>
          <w:numId w:val="23"/>
        </w:numPr>
        <w:spacing w:line="480" w:lineRule="auto"/>
        <w:rPr>
          <w:lang w:val="en-GB"/>
        </w:rPr>
      </w:pPr>
      <w:r w:rsidRPr="00BD2BFC">
        <w:rPr>
          <w:lang w:val="en-GB"/>
        </w:rPr>
        <w:t>Grouping is partly explained by collective detection of predators</w:t>
      </w:r>
    </w:p>
    <w:p w14:paraId="050C8FF2" w14:textId="4D65CA32" w:rsidR="00541FBA" w:rsidRDefault="00541FBA" w:rsidP="00DC31D5">
      <w:pPr>
        <w:autoSpaceDE w:val="0"/>
        <w:autoSpaceDN w:val="0"/>
        <w:adjustRightInd w:val="0"/>
        <w:spacing w:after="0" w:line="480" w:lineRule="auto"/>
        <w:rPr>
          <w:rFonts w:ascii="Verdana" w:hAnsi="Verdana" w:cs="Verdana"/>
          <w:sz w:val="20"/>
          <w:szCs w:val="20"/>
        </w:rPr>
      </w:pPr>
    </w:p>
    <w:p w14:paraId="6DA8EA87" w14:textId="249A1671" w:rsidR="00DC31D5" w:rsidRPr="00165279" w:rsidRDefault="009A1CB1" w:rsidP="00DC31D5">
      <w:pPr>
        <w:spacing w:line="480" w:lineRule="auto"/>
        <w:ind w:firstLine="720"/>
        <w:rPr>
          <w:lang w:val="en-GB"/>
        </w:rPr>
      </w:pPr>
      <w:r>
        <w:rPr>
          <w:lang w:val="en-GB"/>
        </w:rPr>
        <w:t>Animals may form groups for different reasons, and one major benefit of grouping</w:t>
      </w:r>
      <w:r w:rsidR="0036231B">
        <w:rPr>
          <w:lang w:val="en-GB"/>
        </w:rPr>
        <w:t xml:space="preserve"> in many species</w:t>
      </w:r>
      <w:r>
        <w:rPr>
          <w:lang w:val="en-GB"/>
        </w:rPr>
        <w:t xml:space="preserve"> is reduced predation risk. </w:t>
      </w:r>
      <w:r w:rsidR="00541FBA">
        <w:rPr>
          <w:rFonts w:cstheme="minorHAnsi"/>
        </w:rPr>
        <w:t xml:space="preserve">In diurnal species, vigilance is used to detect predators, resulting in a trade-off </w:t>
      </w:r>
      <w:r w:rsidR="00541FBA" w:rsidRPr="00DA172A">
        <w:rPr>
          <w:rFonts w:cstheme="minorHAnsi"/>
        </w:rPr>
        <w:t>between feeding activity and predation risk</w:t>
      </w:r>
      <w:r w:rsidR="00541FBA">
        <w:rPr>
          <w:rFonts w:cstheme="minorHAnsi"/>
        </w:rPr>
        <w:t>. Species can reduce the cost of this trade-off with low-quality vigilance</w:t>
      </w:r>
      <w:r w:rsidR="00BD2BFC">
        <w:rPr>
          <w:rFonts w:cstheme="minorHAnsi"/>
        </w:rPr>
        <w:t xml:space="preserve"> – </w:t>
      </w:r>
      <w:r w:rsidR="00541FBA">
        <w:rPr>
          <w:rFonts w:cstheme="minorHAnsi"/>
        </w:rPr>
        <w:t>performing a</w:t>
      </w:r>
      <w:r w:rsidR="00BD2BFC">
        <w:rPr>
          <w:rFonts w:cstheme="minorHAnsi"/>
        </w:rPr>
        <w:t xml:space="preserve">nother behaviour while vigilant – in </w:t>
      </w:r>
      <w:r w:rsidR="00541FBA">
        <w:rPr>
          <w:rFonts w:cstheme="minorHAnsi"/>
        </w:rPr>
        <w:t>comparison to high-quality vigilance, i.e., only being vigilant.</w:t>
      </w:r>
      <w:r w:rsidR="00541FBA" w:rsidRPr="005F51C4">
        <w:rPr>
          <w:lang w:val="en-GB"/>
        </w:rPr>
        <w:t xml:space="preserve"> </w:t>
      </w:r>
      <w:r>
        <w:rPr>
          <w:lang w:val="en-GB"/>
        </w:rPr>
        <w:t>T</w:t>
      </w:r>
      <w:r w:rsidR="00954E8E">
        <w:rPr>
          <w:lang w:val="en-GB"/>
        </w:rPr>
        <w:t>wo</w:t>
      </w:r>
      <w:r w:rsidR="00972AFD">
        <w:rPr>
          <w:lang w:val="en-GB"/>
        </w:rPr>
        <w:t xml:space="preserve"> non-</w:t>
      </w:r>
      <w:r w:rsidR="00C14250">
        <w:rPr>
          <w:lang w:val="en-GB"/>
        </w:rPr>
        <w:t xml:space="preserve">mutually </w:t>
      </w:r>
      <w:r w:rsidR="00972AFD">
        <w:rPr>
          <w:lang w:val="en-GB"/>
        </w:rPr>
        <w:t>exclusive</w:t>
      </w:r>
      <w:r w:rsidR="00954E8E">
        <w:rPr>
          <w:lang w:val="en-GB"/>
        </w:rPr>
        <w:t xml:space="preserve"> hypotheses</w:t>
      </w:r>
      <w:r w:rsidR="00114E66">
        <w:rPr>
          <w:lang w:val="en-GB"/>
        </w:rPr>
        <w:t xml:space="preserve"> explaining</w:t>
      </w:r>
      <w:r w:rsidR="00541FBA">
        <w:rPr>
          <w:lang w:val="en-GB"/>
        </w:rPr>
        <w:t xml:space="preserve"> an inverse relationship </w:t>
      </w:r>
      <w:r w:rsidR="00541FBA">
        <w:t xml:space="preserve">between individual vigilance and group size </w:t>
      </w:r>
      <w:r>
        <w:rPr>
          <w:lang w:val="en-GB"/>
        </w:rPr>
        <w:t>are</w:t>
      </w:r>
      <w:r w:rsidR="00954E8E">
        <w:rPr>
          <w:lang w:val="en-GB"/>
        </w:rPr>
        <w:t xml:space="preserve"> the</w:t>
      </w:r>
      <w:r w:rsidR="00DC31D5">
        <w:rPr>
          <w:lang w:val="en-GB"/>
        </w:rPr>
        <w:t xml:space="preserve"> dilution effect, where </w:t>
      </w:r>
      <w:r w:rsidR="00DC31D5">
        <w:t>predation</w:t>
      </w:r>
      <w:r w:rsidR="00B24BB5">
        <w:t xml:space="preserve"> risk</w:t>
      </w:r>
      <w:r w:rsidR="00DC31D5" w:rsidRPr="00DC2921">
        <w:t xml:space="preserve"> </w:t>
      </w:r>
      <w:r w:rsidR="00DC31D5">
        <w:t>decreases</w:t>
      </w:r>
      <w:r w:rsidR="00DC31D5" w:rsidRPr="00DC2921">
        <w:t xml:space="preserve"> </w:t>
      </w:r>
      <w:r w:rsidR="00B24BB5">
        <w:t>in</w:t>
      </w:r>
      <w:r w:rsidR="00B24BB5" w:rsidRPr="00DC2921">
        <w:t xml:space="preserve"> </w:t>
      </w:r>
      <w:r w:rsidR="00B24BB5">
        <w:t>larger groups</w:t>
      </w:r>
      <w:r w:rsidR="00DC31D5">
        <w:rPr>
          <w:lang w:val="en-GB"/>
        </w:rPr>
        <w:t xml:space="preserve">, </w:t>
      </w:r>
      <w:r w:rsidR="00954E8E">
        <w:rPr>
          <w:lang w:val="en-GB"/>
        </w:rPr>
        <w:t>and</w:t>
      </w:r>
      <w:r w:rsidR="0003666E">
        <w:rPr>
          <w:lang w:val="en-GB"/>
        </w:rPr>
        <w:t xml:space="preserve"> </w:t>
      </w:r>
      <w:r w:rsidR="00DC31D5">
        <w:rPr>
          <w:lang w:val="en-GB"/>
        </w:rPr>
        <w:t xml:space="preserve">collective detection, where larger groups </w:t>
      </w:r>
      <w:r w:rsidR="00DB187F">
        <w:rPr>
          <w:lang w:val="en-GB"/>
        </w:rPr>
        <w:t xml:space="preserve">have </w:t>
      </w:r>
      <w:r w:rsidR="00DB187F" w:rsidRPr="00DB187F">
        <w:rPr>
          <w:lang w:val="en-GB"/>
        </w:rPr>
        <w:t>more individuals that may detect a predator</w:t>
      </w:r>
      <w:r w:rsidR="00DC31D5">
        <w:rPr>
          <w:lang w:val="en-GB"/>
        </w:rPr>
        <w:t xml:space="preserve">. </w:t>
      </w:r>
      <w:r w:rsidR="005F51C4" w:rsidRPr="005F51C4">
        <w:rPr>
          <w:lang w:val="en-GB"/>
        </w:rPr>
        <w:t xml:space="preserve">Two </w:t>
      </w:r>
      <w:r w:rsidR="005F51C4">
        <w:rPr>
          <w:lang w:val="en-GB"/>
        </w:rPr>
        <w:t>prediction</w:t>
      </w:r>
      <w:r w:rsidR="005F51C4" w:rsidRPr="005F51C4">
        <w:rPr>
          <w:lang w:val="en-GB"/>
        </w:rPr>
        <w:t xml:space="preserve">s </w:t>
      </w:r>
      <w:r w:rsidR="005F51C4">
        <w:rPr>
          <w:lang w:val="en-GB"/>
        </w:rPr>
        <w:t>that support</w:t>
      </w:r>
      <w:r w:rsidR="005F51C4" w:rsidRPr="005F51C4">
        <w:rPr>
          <w:lang w:val="en-GB"/>
        </w:rPr>
        <w:t xml:space="preserve"> collective detection but not the dilution effect are that 1) overall </w:t>
      </w:r>
      <w:r w:rsidR="00C40420">
        <w:rPr>
          <w:lang w:val="en-GB"/>
        </w:rPr>
        <w:t xml:space="preserve">group </w:t>
      </w:r>
      <w:r w:rsidR="005F51C4" w:rsidRPr="005F51C4">
        <w:rPr>
          <w:lang w:val="en-GB"/>
        </w:rPr>
        <w:t>vigilance</w:t>
      </w:r>
      <w:r w:rsidR="00F613F3">
        <w:rPr>
          <w:lang w:val="en-GB"/>
        </w:rPr>
        <w:t xml:space="preserve"> (collective vigilance)</w:t>
      </w:r>
      <w:r w:rsidR="005F51C4" w:rsidRPr="005F51C4">
        <w:rPr>
          <w:lang w:val="en-GB"/>
        </w:rPr>
        <w:t xml:space="preserve"> will increase with increasing group size</w:t>
      </w:r>
      <w:r w:rsidR="00A92FE9">
        <w:rPr>
          <w:lang w:val="en-GB"/>
        </w:rPr>
        <w:t>, even while individual vigilance decreases</w:t>
      </w:r>
      <w:r w:rsidR="005F51C4" w:rsidRPr="005F51C4">
        <w:rPr>
          <w:lang w:val="en-GB"/>
        </w:rPr>
        <w:t xml:space="preserve">, and 2) at least one group member </w:t>
      </w:r>
      <w:r w:rsidR="000E16C5">
        <w:rPr>
          <w:lang w:val="en-GB"/>
        </w:rPr>
        <w:t xml:space="preserve">must be vigilant </w:t>
      </w:r>
      <w:r w:rsidR="005F51C4" w:rsidRPr="005F51C4">
        <w:rPr>
          <w:lang w:val="en-GB"/>
        </w:rPr>
        <w:t xml:space="preserve">to detect potential </w:t>
      </w:r>
      <w:r w:rsidR="005F51C4" w:rsidRPr="005F51C4">
        <w:rPr>
          <w:lang w:val="en-GB"/>
        </w:rPr>
        <w:lastRenderedPageBreak/>
        <w:t xml:space="preserve">danger and </w:t>
      </w:r>
      <w:r w:rsidR="00F613F3">
        <w:rPr>
          <w:lang w:val="en-GB"/>
        </w:rPr>
        <w:t xml:space="preserve">communicate that information to </w:t>
      </w:r>
      <w:r w:rsidR="005F51C4" w:rsidRPr="005F51C4">
        <w:rPr>
          <w:lang w:val="en-GB"/>
        </w:rPr>
        <w:t>group members.</w:t>
      </w:r>
      <w:r w:rsidR="000E16C5">
        <w:rPr>
          <w:lang w:val="en-GB"/>
        </w:rPr>
        <w:t xml:space="preserve"> </w:t>
      </w:r>
      <w:r w:rsidR="00741D4A">
        <w:rPr>
          <w:lang w:val="en-GB"/>
        </w:rPr>
        <w:t xml:space="preserve">To test </w:t>
      </w:r>
      <w:r w:rsidR="00092242">
        <w:rPr>
          <w:lang w:val="en-GB"/>
        </w:rPr>
        <w:t xml:space="preserve">these predictions, </w:t>
      </w:r>
      <w:r w:rsidR="00741D4A">
        <w:rPr>
          <w:lang w:val="en-GB"/>
        </w:rPr>
        <w:t>w</w:t>
      </w:r>
      <w:r w:rsidR="00DC31D5">
        <w:rPr>
          <w:lang w:val="en-GB"/>
        </w:rPr>
        <w:t xml:space="preserve">e </w:t>
      </w:r>
      <w:r w:rsidR="00BE7E5F">
        <w:rPr>
          <w:lang w:val="en-GB"/>
        </w:rPr>
        <w:t xml:space="preserve">recorded </w:t>
      </w:r>
      <w:r w:rsidR="00DC31D5">
        <w:rPr>
          <w:lang w:val="en-GB"/>
        </w:rPr>
        <w:t xml:space="preserve">behavioural data on </w:t>
      </w:r>
      <w:r w:rsidR="000E16C5">
        <w:rPr>
          <w:lang w:val="en-GB"/>
        </w:rPr>
        <w:t xml:space="preserve">low- and high-quality </w:t>
      </w:r>
      <w:r w:rsidR="00DC31D5">
        <w:rPr>
          <w:lang w:val="en-GB"/>
        </w:rPr>
        <w:t>vigilance and alarm calling in the</w:t>
      </w:r>
      <w:r w:rsidR="006070AC">
        <w:rPr>
          <w:lang w:val="en-GB"/>
        </w:rPr>
        <w:t xml:space="preserve"> gregarious</w:t>
      </w:r>
      <w:r w:rsidR="00DC31D5">
        <w:rPr>
          <w:lang w:val="en-GB"/>
        </w:rPr>
        <w:t xml:space="preserve"> Barbary ground squirrel, </w:t>
      </w:r>
      <w:r w:rsidR="00DC31D5">
        <w:rPr>
          <w:i/>
          <w:lang w:val="en-GB"/>
        </w:rPr>
        <w:t>Atlantoxerus getulus</w:t>
      </w:r>
      <w:r w:rsidR="00DC31D5">
        <w:rPr>
          <w:lang w:val="en-GB"/>
        </w:rPr>
        <w:t xml:space="preserve">. </w:t>
      </w:r>
      <w:r w:rsidR="00B20C12">
        <w:rPr>
          <w:lang w:val="en-GB"/>
        </w:rPr>
        <w:t xml:space="preserve">Barbary ground squirrels allocated more time to high-quality vigilance than low-quality vigilance. </w:t>
      </w:r>
      <w:r w:rsidR="00DC31D5">
        <w:rPr>
          <w:lang w:val="en-GB"/>
        </w:rPr>
        <w:t>The collective detection hypothesis was partly supported</w:t>
      </w:r>
      <w:r w:rsidR="009D5C56">
        <w:rPr>
          <w:lang w:val="en-GB"/>
        </w:rPr>
        <w:t>:</w:t>
      </w:r>
      <w:r w:rsidR="00DC31D5">
        <w:rPr>
          <w:lang w:val="en-GB"/>
        </w:rPr>
        <w:t xml:space="preserve"> </w:t>
      </w:r>
      <w:r w:rsidR="00A92FE9">
        <w:rPr>
          <w:lang w:val="en-GB"/>
        </w:rPr>
        <w:t xml:space="preserve">as group size increased, </w:t>
      </w:r>
      <w:r w:rsidR="00DC31D5">
        <w:rPr>
          <w:lang w:val="en-GB"/>
        </w:rPr>
        <w:t xml:space="preserve">individual </w:t>
      </w:r>
      <w:r w:rsidR="000E16C5">
        <w:rPr>
          <w:lang w:val="en-GB"/>
        </w:rPr>
        <w:t xml:space="preserve">low- and high-quality </w:t>
      </w:r>
      <w:r w:rsidR="00DC31D5">
        <w:rPr>
          <w:lang w:val="en-GB"/>
        </w:rPr>
        <w:t xml:space="preserve">vigilance </w:t>
      </w:r>
      <w:r w:rsidR="00DC5382">
        <w:rPr>
          <w:lang w:val="en-GB"/>
        </w:rPr>
        <w:t>did not decrease</w:t>
      </w:r>
      <w:r w:rsidR="00DC31D5">
        <w:rPr>
          <w:lang w:val="en-GB"/>
        </w:rPr>
        <w:t>,</w:t>
      </w:r>
      <w:r w:rsidR="00DC5382">
        <w:rPr>
          <w:lang w:val="en-GB"/>
        </w:rPr>
        <w:t xml:space="preserve"> but </w:t>
      </w:r>
      <w:r w:rsidR="00DC31D5">
        <w:rPr>
          <w:lang w:val="en-GB"/>
        </w:rPr>
        <w:t>collective</w:t>
      </w:r>
      <w:r w:rsidR="00DC5382">
        <w:rPr>
          <w:lang w:val="en-GB"/>
        </w:rPr>
        <w:t xml:space="preserve"> high-quality</w:t>
      </w:r>
      <w:r w:rsidR="00DC31D5">
        <w:rPr>
          <w:lang w:val="en-GB"/>
        </w:rPr>
        <w:t xml:space="preserve"> vigilance </w:t>
      </w:r>
      <w:r w:rsidR="002A1083">
        <w:rPr>
          <w:lang w:val="en-GB"/>
        </w:rPr>
        <w:t xml:space="preserve">did </w:t>
      </w:r>
      <w:r w:rsidR="00DC31D5">
        <w:rPr>
          <w:lang w:val="en-GB"/>
        </w:rPr>
        <w:t>increase</w:t>
      </w:r>
      <w:r w:rsidR="00DC5382">
        <w:rPr>
          <w:lang w:val="en-GB"/>
        </w:rPr>
        <w:t xml:space="preserve">. Furthermore, </w:t>
      </w:r>
      <w:r w:rsidR="00374CF1">
        <w:rPr>
          <w:lang w:val="en-GB"/>
        </w:rPr>
        <w:t xml:space="preserve">we found </w:t>
      </w:r>
      <w:r w:rsidR="00DC31D5">
        <w:rPr>
          <w:lang w:val="en-GB"/>
        </w:rPr>
        <w:t>repetitive alarm calling warn</w:t>
      </w:r>
      <w:r w:rsidR="00374CF1">
        <w:rPr>
          <w:lang w:val="en-GB"/>
        </w:rPr>
        <w:t>ed</w:t>
      </w:r>
      <w:r w:rsidR="00DC31D5">
        <w:rPr>
          <w:lang w:val="en-GB"/>
        </w:rPr>
        <w:t xml:space="preserve"> group members of terrestrial threat</w:t>
      </w:r>
      <w:r w:rsidR="00374CF1">
        <w:rPr>
          <w:lang w:val="en-GB"/>
        </w:rPr>
        <w:t>s</w:t>
      </w:r>
      <w:r w:rsidR="00DC31D5">
        <w:rPr>
          <w:lang w:val="en-GB"/>
        </w:rPr>
        <w:t xml:space="preserve">. Longer call durations </w:t>
      </w:r>
      <w:r w:rsidR="00DC31D5">
        <w:t xml:space="preserve">informed group members of a terrestrial </w:t>
      </w:r>
      <w:r w:rsidR="00DC31D5" w:rsidRPr="00FA710E">
        <w:rPr>
          <w:i/>
        </w:rPr>
        <w:t>versus</w:t>
      </w:r>
      <w:r w:rsidR="00DC31D5">
        <w:t xml:space="preserve"> an aerial or unobserved predator.</w:t>
      </w:r>
      <w:r w:rsidR="00DC31D5">
        <w:rPr>
          <w:lang w:val="en-GB"/>
        </w:rPr>
        <w:t xml:space="preserve"> </w:t>
      </w:r>
      <w:r w:rsidR="00092242" w:rsidRPr="00074A0F">
        <w:rPr>
          <w:rFonts w:cstheme="minorHAnsi"/>
          <w:shd w:val="clear" w:color="auto" w:fill="FFFFFF"/>
        </w:rPr>
        <w:t xml:space="preserve">Our </w:t>
      </w:r>
      <w:r w:rsidR="00741F53">
        <w:rPr>
          <w:rFonts w:cstheme="minorHAnsi"/>
          <w:shd w:val="clear" w:color="auto" w:fill="FFFFFF"/>
        </w:rPr>
        <w:t xml:space="preserve">results showed that this invasive species </w:t>
      </w:r>
      <w:r w:rsidR="00FC4C53">
        <w:rPr>
          <w:rFonts w:cstheme="minorHAnsi"/>
          <w:shd w:val="clear" w:color="auto" w:fill="FFFFFF"/>
        </w:rPr>
        <w:t>displays</w:t>
      </w:r>
      <w:r w:rsidR="00741F53">
        <w:rPr>
          <w:rFonts w:cstheme="minorHAnsi"/>
          <w:shd w:val="clear" w:color="auto" w:fill="FFFFFF"/>
        </w:rPr>
        <w:t xml:space="preserve"> specific</w:t>
      </w:r>
      <w:r w:rsidR="00741F53" w:rsidRPr="007E581F">
        <w:rPr>
          <w:rFonts w:cstheme="minorHAnsi"/>
          <w:shd w:val="clear" w:color="auto" w:fill="FFFFFF"/>
        </w:rPr>
        <w:t xml:space="preserve"> anti-predator be</w:t>
      </w:r>
      <w:r w:rsidR="00741F53">
        <w:rPr>
          <w:rFonts w:cstheme="minorHAnsi"/>
          <w:shd w:val="clear" w:color="auto" w:fill="FFFFFF"/>
        </w:rPr>
        <w:t xml:space="preserve">haviours to </w:t>
      </w:r>
      <w:r w:rsidR="00F4177E">
        <w:rPr>
          <w:rFonts w:cstheme="minorHAnsi"/>
          <w:shd w:val="clear" w:color="auto" w:fill="FFFFFF"/>
        </w:rPr>
        <w:t>different</w:t>
      </w:r>
      <w:r w:rsidR="00741F53">
        <w:rPr>
          <w:rFonts w:cstheme="minorHAnsi"/>
          <w:shd w:val="clear" w:color="auto" w:fill="FFFFFF"/>
        </w:rPr>
        <w:t xml:space="preserve"> aerial and terrestrial predators</w:t>
      </w:r>
      <w:r w:rsidR="00F4177E">
        <w:rPr>
          <w:rFonts w:cstheme="minorHAnsi"/>
          <w:shd w:val="clear" w:color="auto" w:fill="FFFFFF"/>
        </w:rPr>
        <w:t xml:space="preserve"> compared to predators in their native range</w:t>
      </w:r>
      <w:r w:rsidR="00B20C12">
        <w:rPr>
          <w:rFonts w:cstheme="minorHAnsi"/>
          <w:shd w:val="clear" w:color="auto" w:fill="FFFFFF"/>
        </w:rPr>
        <w:t>. The</w:t>
      </w:r>
      <w:r w:rsidR="00B20C12" w:rsidRPr="00B20C12">
        <w:rPr>
          <w:rFonts w:cstheme="minorHAnsi"/>
          <w:shd w:val="clear" w:color="auto" w:fill="FFFFFF"/>
        </w:rPr>
        <w:t xml:space="preserve"> low </w:t>
      </w:r>
      <w:r w:rsidR="00B20C12">
        <w:rPr>
          <w:rFonts w:cstheme="minorHAnsi"/>
          <w:shd w:val="clear" w:color="auto" w:fill="FFFFFF"/>
        </w:rPr>
        <w:t>level of time allocated to low-quality</w:t>
      </w:r>
      <w:r w:rsidR="00B20C12" w:rsidRPr="00B20C12">
        <w:rPr>
          <w:rFonts w:cstheme="minorHAnsi"/>
          <w:shd w:val="clear" w:color="auto" w:fill="FFFFFF"/>
        </w:rPr>
        <w:t xml:space="preserve"> vigilance indicates that natural selection strongly favo</w:t>
      </w:r>
      <w:r w:rsidR="00B20C12">
        <w:rPr>
          <w:rFonts w:cstheme="minorHAnsi"/>
          <w:shd w:val="clear" w:color="auto" w:fill="FFFFFF"/>
        </w:rPr>
        <w:t>u</w:t>
      </w:r>
      <w:r w:rsidR="00B20C12" w:rsidRPr="00B20C12">
        <w:rPr>
          <w:rFonts w:cstheme="minorHAnsi"/>
          <w:shd w:val="clear" w:color="auto" w:fill="FFFFFF"/>
        </w:rPr>
        <w:t>rs high-quality vigilance in this species despite the trade-off with foraging.</w:t>
      </w:r>
      <w:r w:rsidR="00B20C12">
        <w:rPr>
          <w:rFonts w:cstheme="minorHAnsi"/>
          <w:shd w:val="clear" w:color="auto" w:fill="FFFFFF"/>
        </w:rPr>
        <w:t xml:space="preserve"> </w:t>
      </w:r>
      <w:r w:rsidR="00741F53">
        <w:rPr>
          <w:rFonts w:cstheme="minorHAnsi"/>
          <w:shd w:val="clear" w:color="auto" w:fill="FFFFFF"/>
        </w:rPr>
        <w:t xml:space="preserve">Our study </w:t>
      </w:r>
      <w:r w:rsidR="00B20C12">
        <w:rPr>
          <w:rFonts w:cstheme="minorHAnsi"/>
          <w:shd w:val="clear" w:color="auto" w:fill="FFFFFF"/>
        </w:rPr>
        <w:t xml:space="preserve">broadens our understanding of anti-predator and risk-sensitive behaviour. </w:t>
      </w:r>
    </w:p>
    <w:p w14:paraId="043A2CFE" w14:textId="564E722A" w:rsidR="00DC31D5" w:rsidRDefault="00DC31D5" w:rsidP="00DC31D5">
      <w:pPr>
        <w:spacing w:line="480" w:lineRule="auto"/>
        <w:rPr>
          <w:lang w:val="en-GB"/>
        </w:rPr>
      </w:pPr>
      <w:r w:rsidRPr="00333F6D">
        <w:rPr>
          <w:lang w:val="en-GB"/>
        </w:rPr>
        <w:t>Keywords</w:t>
      </w:r>
      <w:r>
        <w:rPr>
          <w:lang w:val="en-GB"/>
        </w:rPr>
        <w:t>: Alarm calling, Barbary ground squirrel, collective detection, dilution effect,</w:t>
      </w:r>
      <w:r w:rsidR="00665CE8">
        <w:rPr>
          <w:lang w:val="en-GB"/>
        </w:rPr>
        <w:t xml:space="preserve"> group size,</w:t>
      </w:r>
      <w:r>
        <w:rPr>
          <w:lang w:val="en-GB"/>
        </w:rPr>
        <w:t xml:space="preserve"> quantile regression, vigilance.</w:t>
      </w:r>
    </w:p>
    <w:p w14:paraId="46DCBEB3" w14:textId="297A0616" w:rsidR="00DC31D5" w:rsidRDefault="00DC31D5" w:rsidP="00DC31D5">
      <w:pPr>
        <w:pStyle w:val="NoSpacing"/>
        <w:spacing w:line="480" w:lineRule="auto"/>
        <w:rPr>
          <w:lang w:val="en-GB"/>
        </w:rPr>
      </w:pPr>
    </w:p>
    <w:p w14:paraId="41F8DED1" w14:textId="796F2DE4" w:rsidR="00E909C6" w:rsidRDefault="003D1963" w:rsidP="003D1963">
      <w:pPr>
        <w:pStyle w:val="NoSpacing"/>
        <w:spacing w:line="480" w:lineRule="auto"/>
        <w:ind w:firstLine="720"/>
      </w:pPr>
      <w:r>
        <w:t>A</w:t>
      </w:r>
      <w:r w:rsidRPr="00947DF8">
        <w:t xml:space="preserve"> major benefit that can select for group living is predator avoidance</w:t>
      </w:r>
      <w:r>
        <w:t xml:space="preserve"> through, for example, the use of group members as cover, enhanced information transfer among group members, cooperation among group members to deter predators</w:t>
      </w:r>
      <w:r w:rsidR="009B4DC0">
        <w:t>,</w:t>
      </w:r>
      <w:r w:rsidR="00E909C6">
        <w:t xml:space="preserve"> dilution of predation risk,</w:t>
      </w:r>
      <w:r w:rsidR="009B4DC0">
        <w:t xml:space="preserve"> or increased predator detection </w:t>
      </w:r>
      <w:r w:rsidR="009B4DC0">
        <w:fldChar w:fldCharType="begin" w:fldLock="1"/>
      </w:r>
      <w:r w:rsidR="00204099">
        <w:instrText>ADDIN CSL_CITATION {"citationItems":[{"id":"ITEM-1","itemData":{"DOI":"10.1016/0022-5193(71)90189-5","ISSN":"00225193","author":[{"dropping-particle":"","family":"Hamilton","given":"W.D.","non-dropping-particle":"","parse-names":false,"suffix":""}],"container-title":"Journal of Theoretical Biology","id":"ITEM-1","issue":"2","issued":{"date-parts":[["1971","5"]]},"page":"295-311","title":"Geometry for the selfish herd","type":"article-journal","volume":"31"},"uris":["http://www.mendeley.com/documents/?uuid=295b5990-2132-4d2f-852f-b77d5b1d3a6f"]},{"id":"ITEM-2","itemData":{"author":[{"dropping-particle":"","family":"Pulliam","given":"H.R.","non-dropping-particle":"","parse-names":false,"suffix":""}],"container-title":"Journal of theoretical biology","id":"ITEM-2","issued":{"date-parts":[["1973"]]},"page":"419-422","title":"On the advantages of flocking","type":"article-journal","volume":"38"},"uris":["http://www.mendeley.com/documents/?uuid=8304e89d-7a17-48b8-9a5e-572a210d32dd"]},{"id":"ITEM-3","itemData":{"author":[{"dropping-particle":"","family":"Bertram","given":"Brian C.R.","non-dropping-particle":"","parse-names":false,"suffix":""}],"container-title":"Behavioural ecology: An evolutionary approach","editor":[{"dropping-particle":"","family":"Krebs","given":"J. R.","non-dropping-particle":"","parse-names":false,"suffix":""},{"dropping-particle":"","family":"Davies","given":"N. B.","non-dropping-particle":"","parse-names":false,"suffix":""}],"id":"ITEM-3","issued":{"date-parts":[["1978"]]},"page":"64-96","publisher":"Oxford: Blackwell Scientific Publications","title":"Living in groups: predators and prey","type":"chapter"},"uris":["http://www.mendeley.com/documents/?uuid=e7c8e246-4137-43f8-9d8b-bb42cfbb09aa"]},{"id":"ITEM-4","itemData":{"DOI":"10.1098/rspb.2009.0276","ISBN":"0962-8452","ISSN":"14712970","PMID":"19493900","abstract":"In risky environments, where threats are unpredictable and the quality of information about threats is variable, all individuals face two fundamental challenges: balancing vigilance against other activities, and determining when to respond to warning signals. The solution to both is to obtain continuous estimates of background risk, enabling vigilance to be concentrated during the riskiest periods and informing about the likely cost of ignoring warnings. Human surveillance organizations routinely produce such estimates, frequently derived from indirect cues. Here we show that vigilant individuals in an animal society (the pied babbler, Turdoides bicolor) perform a similar role. We ask (i) whether, in the absence of direct predator threats, pied babbler sentinels react to indirect information associated with increased risk and whether they communicate this information to group mates; (ii) whether group mates use this information to adjust their own vigilance, and whether this influences foraging success; and (iii) whether information provided by sentinels reduces the likelihood of inappropriate responses to alarm calls. Using playback experiments, we show that: (i) sentinels reacted to indirect predator cues (in the form of heterospecific alarm calls) by giving graded surveillance calls; (ii) foragers adjusted their vigilance in reaction to changes in surveillance calls, with substantial effects on foraging success; and (iii) foragers reduced their probability of responding to alarm calls when surveillance calls indicated lowered risk. These results demonstrate that identifying attacks as they occur is only part of vigilance: equally important is continuous surveillance providing information necessary for individuals to make decisions about their own vigilance and evasive action. Moreover, they suggest that a major benefit of group living is not only the increased likelihood of detecting threats, but a marked improvement in the quality of information available to each individual.","author":[{"dropping-particle":"","family":"Bell","given":"M. B.V.","non-dropping-particle":"","parse-names":false,"suffix":""},{"dropping-particle":"","family":"Radford","given":"A. N.","non-dropping-particle":"","parse-names":false,"suffix":""},{"dropping-particle":"","family":"Rose","given":"R.","non-dropping-particle":"","parse-names":false,"suffix":""},{"dropping-particle":"","family":"Wade","given":"H. M.","non-dropping-particle":"","parse-names":false,"suffix":""},{"dropping-particle":"","family":"Ridley","given":"A. R.","non-dropping-particle":"","parse-names":false,"suffix":""}],"container-title":"Proceedings of the Royal Society B: Biological Sciences","id":"ITEM-4","issue":"1669","issued":{"date-parts":[["2009"]]},"page":"2997-3005","title":"The value of constant surveillance in a risky environment","type":"article-journal","volume":"276"},"uris":["http://www.mendeley.com/documents/?uuid=e4fe875d-1b61-4026-9ccf-3655f39e6826"]},{"id":"ITEM-5","itemData":{"author":[{"dropping-particle":"","family":"Owings","given":"Donald H","non-dropping-particle":"","parse-names":false,"suffix":""},{"dropping-particle":"","family":"Coss","given":"Richard G","non-dropping-particle":"","parse-names":false,"suffix":""}],"container-title":"Behaviour","id":"ITEM-5","issue":"1","issued":{"date-parts":[["1977"]]},"page":"50-69","title":"Snake mobbing by Califoria ground squirrels: adaptive variation and ontogeny","type":"article-journal","volume":"62"},"uris":["http://www.mendeley.com/documents/?uuid=12334ac0-c468-45cf-b223-9682a894c2f4"]},{"id":"ITEM-6","itemData":{"author":[{"dropping-particle":"","family":"Waterman","given":"Jane M","non-dropping-particle":"","parse-names":false,"suffix":""}],"container-title":"Animal Behaviour","id":"ITEM-6","issued":{"date-parts":[["1997"]]},"note":"From Duplicate 1 ( \n\n\nWhy do male Cape ground squirrels live in groups ?\n\n\n- Waterman, Jane M )\n\n","page":"809-817","title":"Why do male Cape ground squirrels live in groups?","type":"article-journal","volume":"53"},"uris":["http://www.mendeley.com/documents/?uuid=62ee8a04-a3ef-4226-b17c-849cd94e214f"]},{"id":"ITEM-7","itemData":{"author":[{"dropping-particle":"","family":"Sherman","given":"Paul W","non-dropping-particle":"","parse-names":false,"suffix":""}],"container-title":"Science","id":"ITEM-7","issue":"4310","issued":{"date-parts":[["1977"]]},"page":"1246-1253","title":"Nepotism and the evolution of alarm calls","type":"article-journal","volume":"197"},"uris":["http://www.mendeley.com/documents/?uuid=81066cab-50ce-41c5-9c5d-e156825d8923"]},{"id":"ITEM-8","itemData":{"author":[{"dropping-particle":"","family":"Alexander","given":"Richard D","non-dropping-particle":"","parse-names":false,"suffix":""}],"container-title":"Annual Review of Systematic Ecology","id":"ITEM-8","issued":{"date-parts":[["1974"]]},"page":"325-383","title":"The evolution of social behavior","type":"article-journal","volume":"5"},"uris":["http://www.mendeley.com/documents/?uuid=f1514455-e488-4375-8e39-ce5563a9f7f0"]}],"mendeley":{"formattedCitation":"(Alexander, 1974; Bell, Radford, Rose, Wade, &amp; Ridley, 2009; Bertram, 1978; Hamilton, 1971; Owings &amp; Coss, 1977; Pulliam, 1973; Sherman, 1977; Waterman, 1997)","plainTextFormattedCitation":"(Alexander, 1974; Bell, Radford, Rose, Wade, &amp; Ridley, 2009; Bertram, 1978; Hamilton, 1971; Owings &amp; Coss, 1977; Pulliam, 1973; Sherman, 1977; Waterman, 1997)","previouslyFormattedCitation":"(Alexander, 1974; Bell, Radford, Rose, Wade, &amp; Ridley, 2009; Bertram, 1978; Hamilton, 1971; Owings &amp; Coss, 1977; Pulliam, 1973; Sherman, 1977; Waterman, 1997)"},"properties":{"noteIndex":0},"schema":"https://github.com/citation-style-language/schema/raw/master/csl-citation.json"}</w:instrText>
      </w:r>
      <w:r w:rsidR="009B4DC0">
        <w:fldChar w:fldCharType="separate"/>
      </w:r>
      <w:r w:rsidR="007C7EDC" w:rsidRPr="007C7EDC">
        <w:rPr>
          <w:noProof/>
        </w:rPr>
        <w:t>(Alexander, 1974; Bell, Radford, Rose, Wade, &amp; Ridley, 2009; Bertram, 1978; Hamilton, 1971; Owings &amp; Coss, 1977; Pulliam, 1973; Sherman, 1977; Waterman, 1997)</w:t>
      </w:r>
      <w:r w:rsidR="009B4DC0">
        <w:fldChar w:fldCharType="end"/>
      </w:r>
      <w:r w:rsidRPr="00C513F2">
        <w:t>.</w:t>
      </w:r>
      <w:r>
        <w:t xml:space="preserve"> </w:t>
      </w:r>
      <w:r w:rsidR="00665CE8">
        <w:t>Animals can use different cues</w:t>
      </w:r>
      <w:r w:rsidR="004D0420">
        <w:t xml:space="preserve"> – olfactory</w:t>
      </w:r>
      <w:r w:rsidR="00665CE8">
        <w:t>, auditory, and visual</w:t>
      </w:r>
      <w:r w:rsidR="004D0420">
        <w:t xml:space="preserve"> – to </w:t>
      </w:r>
      <w:r w:rsidR="00665CE8">
        <w:t>detect predators</w:t>
      </w:r>
      <w:r w:rsidR="00665CE8" w:rsidRPr="00665CE8">
        <w:t xml:space="preserve"> </w:t>
      </w:r>
      <w:r w:rsidR="00665CE8">
        <w:fldChar w:fldCharType="begin" w:fldLock="1"/>
      </w:r>
      <w:r w:rsidR="007C7EDC">
        <w:instrText>ADDIN CSL_CITATION {"citationItems":[{"id":"ITEM-1","itemData":{"DOI":"10.1111/j.1439-0310.2008.01563.x","ISSN":"01791613","author":[{"dropping-particle":"","family":"Blumstein","given":"Daniel T.","non-dropping-particle":"","parse-names":false,"suffix":""},{"dropping-particle":"","family":"Barrow","given":"Lisa","non-dropping-particle":"","parse-names":false,"suffix":""},{"dropping-particle":"","family":"Luterra","given":"Markael","non-dropping-particle":"","parse-names":false,"suffix":""}],"container-title":"Ethology","id":"ITEM-1","issue":"11","issued":{"date-parts":[["2008","11"]]},"page":"1135-1143","title":"Olfactory predator discrimination in Yellow-Bellied marmots","type":"article-journal","volume":"114"},"uris":["http://www.mendeley.com/documents/?uuid=940baa2c-0b42-4f1a-85a5-742ce983bb65"]},{"id":"ITEM-2","itemData":{"DOI":"10.1111/eth.12059","ISSN":"01791613","author":[{"dropping-particle":"","family":"Phillips","given":"Molly A.","non-dropping-particle":"","parse-names":false,"suffix":""},{"dropping-particle":"","family":"Waterman","given":"Jane M.","non-dropping-particle":"","parse-names":false,"suffix":""}],"container-title":"Ethology","editor":[{"dropping-particle":"","family":"Ebensperger","given":"L.","non-dropping-particle":"","parse-names":false,"suffix":""}],"id":"ITEM-2","issue":"4","issued":{"date-parts":[["2013","4","1"]]},"page":"278-285","title":"Olfactory snake-predator discrimination in the Cape ground squirrel","type":"article-journal","volume":"119"},"uris":["http://www.mendeley.com/documents/?uuid=350a513b-e3e3-4749-95bc-98c9a3bcabde"]},{"id":"ITEM-3","itemData":{"author":[{"dropping-particle":"","family":"Klump","given":"G.M.","non-dropping-particle":"","parse-names":false,"suffix":""},{"dropping-particle":"","family":"Shalter","given":"M D","non-dropping-particle":"","parse-names":false,"suffix":""}],"container-title":"Z Tierpsychol","id":"ITEM-3","issued":{"date-parts":[["1984"]]},"page":"189-226","title":"Acoustic behaviour of birds and mammals in the predator context I. Factors affecting the structure of alarm Signals II. The functional significance and evolution of alarm signals","type":"article-journal","volume":"66"},"uris":["http://www.mendeley.com/documents/?uuid=24e6f312-7d20-4867-a68f-e9bfe6b8916c"]},{"id":"ITEM-4","itemData":{"author":[{"dropping-particle":"","family":"McNamara","given":"John M.","non-dropping-particle":"","parse-names":false,"suffix":""},{"dropping-particle":"","family":"Houston","given":"Alasdair I.","non-dropping-particle":"","parse-names":false,"suffix":""}],"container-title":"Animal Behaviour","id":"ITEM-4","issued":{"date-parts":[["1992"]]},"page":"641-658","title":"Evolutionary stable levels of vigilance as a function of group size","type":"article-journal","volume":"43"},"uris":["http://www.mendeley.com/documents/?uuid=c728caf8-bdfa-4912-b55a-1ab5a4912dab"]}],"mendeley":{"formattedCitation":"(Blumstein, Barrow, &amp; Luterra, 2008; Klump &amp; Shalter, 1984; McNamara &amp; Houston, 1992; Phillips &amp; Waterman, 2013)","plainTextFormattedCitation":"(Blumstein, Barrow, &amp; Luterra, 2008; Klump &amp; Shalter, 1984; McNamara &amp; Houston, 1992; Phillips &amp; Waterman, 2013)","previouslyFormattedCitation":"(Blumstein, Barrow, &amp; Luterra, 2008; Klump &amp; Shalter, 1984; McNamara &amp; Houston, 1992; Phillips &amp; Waterman, 2013)"},"properties":{"noteIndex":0},"schema":"https://github.com/citation-style-language/schema/raw/master/csl-citation.json"}</w:instrText>
      </w:r>
      <w:r w:rsidR="00665CE8">
        <w:fldChar w:fldCharType="separate"/>
      </w:r>
      <w:r w:rsidR="00665CE8" w:rsidRPr="00665CE8">
        <w:rPr>
          <w:noProof/>
        </w:rPr>
        <w:t>(Blumstein, Barrow, &amp; Luterra, 2008; Klump &amp; Shalter, 1984; McNamara &amp; Houston, 1992; Phillips &amp; Waterman, 2013)</w:t>
      </w:r>
      <w:r w:rsidR="00665CE8">
        <w:fldChar w:fldCharType="end"/>
      </w:r>
      <w:r w:rsidR="00665CE8">
        <w:t>.</w:t>
      </w:r>
      <w:r w:rsidR="00665CE8" w:rsidRPr="00665CE8">
        <w:t xml:space="preserve"> V</w:t>
      </w:r>
      <w:r w:rsidR="004D0420">
        <w:t>igilance is a way to detect v</w:t>
      </w:r>
      <w:r w:rsidR="00665CE8" w:rsidRPr="00665CE8">
        <w:t xml:space="preserve">isual </w:t>
      </w:r>
      <w:r w:rsidR="004D0420">
        <w:t xml:space="preserve">cues associated with predators, especially </w:t>
      </w:r>
      <w:r w:rsidR="00665CE8" w:rsidRPr="00665CE8">
        <w:t xml:space="preserve">in diurnal species </w:t>
      </w:r>
      <w:r w:rsidR="00665CE8">
        <w:fldChar w:fldCharType="begin" w:fldLock="1"/>
      </w:r>
      <w:r w:rsidR="007C7EDC">
        <w:instrText>ADDIN CSL_CITATION {"citationItems":[{"id":"ITEM-1","itemData":{"author":[{"dropping-particle":"","family":"Ylönen","given":"Hannu","non-dropping-particle":"","parse-names":false,"suffix":""},{"dropping-particle":"","family":"Brown","given":"Joel S.","non-dropping-particle":"","parse-names":false,"suffix":""}],"chapter-number":"28","container-title":"Rodent societies: An ecological &amp; evolutionary perspective","editor":[{"dropping-particle":"","family":"Wolff","given":"Jerry O.","non-dropping-particle":"","parse-names":false,"suffix":""},{"dropping-particle":"","family":"Sherman","given":"Paul W.","non-dropping-particle":"","parse-names":false,"suffix":""}],"id":"ITEM-1","issued":{"date-parts":[["2007"]]},"page":"328-341","publisher":"The university of Chicago Press","publisher-place":"Chicago","title":"Fear and the foraging, breeding and sociality of rodents","type":"chapter"},"uris":["http://www.mendeley.com/documents/?uuid=13d58a04-5b76-4af9-ba67-a81862138d77"]}],"mendeley":{"formattedCitation":"(Ylönen &amp; Brown, 2007)","plainTextFormattedCitation":"(Ylönen &amp; Brown, 2007)","previouslyFormattedCitation":"(Ylönen &amp; Brown, 2007)"},"properties":{"noteIndex":0},"schema":"https://github.com/citation-style-language/schema/raw/master/csl-citation.json"}</w:instrText>
      </w:r>
      <w:r w:rsidR="00665CE8">
        <w:fldChar w:fldCharType="separate"/>
      </w:r>
      <w:r w:rsidR="00665CE8" w:rsidRPr="00665CE8">
        <w:rPr>
          <w:noProof/>
        </w:rPr>
        <w:t>(Ylönen &amp; Brown, 2007)</w:t>
      </w:r>
      <w:r w:rsidR="00665CE8">
        <w:fldChar w:fldCharType="end"/>
      </w:r>
      <w:r w:rsidR="00665CE8" w:rsidRPr="00665CE8">
        <w:t>.</w:t>
      </w:r>
    </w:p>
    <w:p w14:paraId="0EDFEEBA" w14:textId="1396A5BD" w:rsidR="00E27379" w:rsidRDefault="00E909C6" w:rsidP="00E27379">
      <w:pPr>
        <w:pStyle w:val="NoSpacing"/>
        <w:spacing w:line="480" w:lineRule="auto"/>
        <w:ind w:firstLine="720"/>
      </w:pPr>
      <w:r>
        <w:lastRenderedPageBreak/>
        <w:t xml:space="preserve">The time spent vigilant is considered a cost of the </w:t>
      </w:r>
      <w:r w:rsidRPr="00C513F2">
        <w:t xml:space="preserve">trade-off between feeding activity and predation risk </w:t>
      </w:r>
      <w:r>
        <w:fldChar w:fldCharType="begin" w:fldLock="1"/>
      </w:r>
      <w:r w:rsidR="007C7EDC">
        <w:instrText>ADDIN CSL_CITATION {"citationItems":[{"id":"ITEM-1","itemData":{"DOI":"10.1098/rspb.1998.0535","ISSN":"0962-8452","author":[{"dropping-particle":"","family":"Bednekoff","given":"Peter A.","non-dropping-particle":"","parse-names":false,"suffix":""},{"dropping-particle":"","family":"Lima","given":"S. L.","non-dropping-particle":"","parse-names":false,"suffix":""}],"container-title":"Proceedings of the Royal Society B: Biological Sciences","id":"ITEM-1","issue":"1409","issued":{"date-parts":[["1998","10","22"]]},"page":"2021-2026","title":"Re-examining safety in numbers: interactions between risk dilution and collective detection depend upon predator targeting behaviour","type":"article-journal","volume":"265"},"uris":["http://www.mendeley.com/documents/?uuid=dab0c2a4-d29f-483a-acbe-33bbbd81f885"]}],"mendeley":{"formattedCitation":"(Bednekoff &amp; Lima, 1998)","plainTextFormattedCitation":"(Bednekoff &amp; Lima, 1998)","previouslyFormattedCitation":"(Bednekoff &amp; Lima, 1998)"},"properties":{"noteIndex":0},"schema":"https://github.com/citation-style-language/schema/raw/master/csl-citation.json"}</w:instrText>
      </w:r>
      <w:r>
        <w:fldChar w:fldCharType="separate"/>
      </w:r>
      <w:r w:rsidRPr="00FB2B64">
        <w:rPr>
          <w:noProof/>
        </w:rPr>
        <w:t>(Bednekoff &amp; Lima, 1998)</w:t>
      </w:r>
      <w:r>
        <w:fldChar w:fldCharType="end"/>
      </w:r>
      <w:r>
        <w:t xml:space="preserve">, because </w:t>
      </w:r>
      <w:r w:rsidR="003D1963">
        <w:t>f</w:t>
      </w:r>
      <w:r w:rsidR="00CE55DD">
        <w:t>oraging</w:t>
      </w:r>
      <w:r w:rsidR="003D1963">
        <w:t xml:space="preserve"> and vigilance are </w:t>
      </w:r>
      <w:r>
        <w:t xml:space="preserve">assumed to be </w:t>
      </w:r>
      <w:r w:rsidR="003D1963">
        <w:t xml:space="preserve">exclusive </w:t>
      </w:r>
      <w:r w:rsidR="003D1963">
        <w:fldChar w:fldCharType="begin" w:fldLock="1"/>
      </w:r>
      <w:r w:rsidR="007C7EDC">
        <w:instrText>ADDIN CSL_CITATION {"citationItems":[{"id":"ITEM-1","itemData":{"author":[{"dropping-particle":"","family":"Pulliam","given":"H.R.","non-dropping-particle":"","parse-names":false,"suffix":""}],"container-title":"Journal of theoretical biology","id":"ITEM-1","issued":{"date-parts":[["1973"]]},"page":"419-422","title":"On the advantages of flocking","type":"article-journal","volume":"38"},"uris":["http://www.mendeley.com/documents/?uuid=8304e89d-7a17-48b8-9a5e-572a210d32dd","http://www.mendeley.com/documents/?uuid=900ed635-b613-4a69-b2ba-33b0920f9a33"]},{"id":"ITEM-2","itemData":{"author":[{"dropping-particle":"","family":"McNamara","given":"John M.","non-dropping-particle":"","parse-names":false,"suffix":""},{"dropping-particle":"","family":"Houston","given":"Alasdair I.","non-dropping-particle":"","parse-names":false,"suffix":""}],"container-title":"Animal Behaviour","id":"ITEM-2","issued":{"date-parts":[["1992"]]},"page":"641-658","title":"Evolutionary stable levels of vigilance as a function of group size","type":"article-journal","volume":"43"},"uris":["http://www.mendeley.com/documents/?uuid=c728caf8-bdfa-4912-b55a-1ab5a4912dab","http://www.mendeley.com/documents/?uuid=b7649ee3-0181-4ff9-9aa9-40325e2fbe9b"]},{"id":"ITEM-3","itemData":{"DOI":"10.1006/anbe.1999.1182","ISBN":"0003-3472","ISSN":"00033472","PMID":"10479369","abstract":"Many birds and mammals respond to a heightened risk of predation, especially that associated with smaller group sizes, with an increase in vigilance. All interpretations of the way in which vigilance responds to changes in predation risk assume that animals feeding with their heads down (i.e. animals in a nonvigilant state) cannot detect approaching predators. We provide the first explicit test of this assumption by 'flying' a mounted hawk down a 15-m chute towards actively feeding, free-living, dark-eyed juncos, Junco hyemalis. Juncos were targeted individually for simulated attack when they had either a 'head-down' view up the chute, or a completely unobstructed view; a junco with a head-down view could see up the chute only when it lowered its head to feed. Juncos with an unobstructed view almost always detected the hawk at the maximum distance of 15 m. Juncos with a head-down view usually detected the attack at a distance of 10-15 m against a grey background, but detection distances were shorter when attacks occurred against a camouflaged background. The results demonstrate that these birds have a considerable ability to detect approaching predators even when not overtly vigilant, although their detection ability is greater when they raise their heads. Vigilance sequences, therefore, probably consist of bouts of low-quality detection (active feeding) interspersed with bouts of higher-quality detection (overt vigilance) that can only be accomplished at the expense of feeding. This realization has major implications for current interpretations of the vigilance group size effect and antipredator vigilance in general.","author":[{"dropping-particle":"","family":"Lima","given":"Steven L.","non-dropping-particle":"","parse-names":false,"suffix":""},{"dropping-particle":"","family":"Bednekoff","given":"Peter A.","non-dropping-particle":"","parse-names":false,"suffix":""}],"container-title":"Animal Behaviour","id":"ITEM-3","issue":"3","issued":{"date-parts":[["1999"]]},"page":"537-543","title":"Back to the basics of antipredatory vigilance: Can nonvigilant animals detect attack?","type":"article-journal","volume":"58"},"uris":["http://www.mendeley.com/documents/?uuid=aa42072a-0483-4da6-b582-f3b012dee604","http://www.mendeley.com/documents/?uuid=2526aaae-af84-4e2c-a6bf-3783ccba21b2"]}],"mendeley":{"formattedCitation":"(Lima &amp; Bednekoff, 1999; McNamara &amp; Houston, 1992; Pulliam, 1973)","manualFormatting":"(Pulliam 1973, McNamara and Houston, 1992, but see Lima and Bednekoff, 1999)","plainTextFormattedCitation":"(Lima &amp; Bednekoff, 1999; McNamara &amp; Houston, 1992; Pulliam, 1973)","previouslyFormattedCitation":"(Lima &amp; Bednekoff, 1999; McNamara &amp; Houston, 1992; Pulliam, 1973)"},"properties":{"noteIndex":0},"schema":"https://github.com/citation-style-language/schema/raw/master/csl-citation.json"}</w:instrText>
      </w:r>
      <w:r w:rsidR="003D1963">
        <w:fldChar w:fldCharType="separate"/>
      </w:r>
      <w:r w:rsidR="003D1963" w:rsidRPr="00F2737F">
        <w:rPr>
          <w:noProof/>
        </w:rPr>
        <w:t>(Pulliam 1973, McNamara and Houston</w:t>
      </w:r>
      <w:r w:rsidR="003E6512">
        <w:rPr>
          <w:noProof/>
        </w:rPr>
        <w:t>,</w:t>
      </w:r>
      <w:r w:rsidR="003D1963" w:rsidRPr="00F2737F">
        <w:rPr>
          <w:noProof/>
        </w:rPr>
        <w:t xml:space="preserve"> 1992,</w:t>
      </w:r>
      <w:r w:rsidR="003D1963">
        <w:rPr>
          <w:noProof/>
        </w:rPr>
        <w:t xml:space="preserve"> but see</w:t>
      </w:r>
      <w:r w:rsidR="003D1963" w:rsidRPr="00F2737F">
        <w:rPr>
          <w:noProof/>
        </w:rPr>
        <w:t xml:space="preserve"> Lima and Bednekoff</w:t>
      </w:r>
      <w:r w:rsidR="003E6512">
        <w:rPr>
          <w:noProof/>
        </w:rPr>
        <w:t>,</w:t>
      </w:r>
      <w:r w:rsidR="003D1963" w:rsidRPr="00F2737F">
        <w:rPr>
          <w:noProof/>
        </w:rPr>
        <w:t xml:space="preserve"> 1999)</w:t>
      </w:r>
      <w:r w:rsidR="003D1963">
        <w:fldChar w:fldCharType="end"/>
      </w:r>
      <w:r w:rsidR="003D1963">
        <w:t>.</w:t>
      </w:r>
      <w:r w:rsidR="003D1963">
        <w:rPr>
          <w:lang w:val="en-US"/>
        </w:rPr>
        <w:t xml:space="preserve"> This </w:t>
      </w:r>
      <w:r w:rsidR="003D1963" w:rsidRPr="00AD7705">
        <w:rPr>
          <w:lang w:val="en-US"/>
        </w:rPr>
        <w:t xml:space="preserve">trade-off </w:t>
      </w:r>
      <w:r w:rsidR="003D1963">
        <w:rPr>
          <w:lang w:val="en-US"/>
        </w:rPr>
        <w:t xml:space="preserve">may result in a difference in the quality of </w:t>
      </w:r>
      <w:r w:rsidR="003D1963" w:rsidRPr="00AD7705">
        <w:rPr>
          <w:lang w:val="en-US"/>
        </w:rPr>
        <w:t>vigilance</w:t>
      </w:r>
      <w:r w:rsidR="00374CF1">
        <w:rPr>
          <w:lang w:val="en-US"/>
        </w:rPr>
        <w:t>:</w:t>
      </w:r>
      <w:r w:rsidR="00374CF1" w:rsidRPr="00374CF1">
        <w:rPr>
          <w:lang w:val="en-US"/>
        </w:rPr>
        <w:t xml:space="preserve"> </w:t>
      </w:r>
      <w:r w:rsidR="00374CF1" w:rsidRPr="00AD7705">
        <w:rPr>
          <w:lang w:val="en-US"/>
        </w:rPr>
        <w:t xml:space="preserve">individuals are </w:t>
      </w:r>
      <w:r w:rsidR="00374CF1">
        <w:rPr>
          <w:lang w:val="en-US"/>
        </w:rPr>
        <w:t xml:space="preserve">either </w:t>
      </w:r>
      <w:r w:rsidR="00374CF1" w:rsidRPr="00AD7705">
        <w:rPr>
          <w:lang w:val="en-US"/>
        </w:rPr>
        <w:t xml:space="preserve">vigilant while performing another </w:t>
      </w:r>
      <w:r w:rsidR="00374CF1" w:rsidRPr="00074A0F">
        <w:t>behaviour</w:t>
      </w:r>
      <w:r w:rsidR="00374CF1" w:rsidRPr="00AD7705">
        <w:rPr>
          <w:lang w:val="en-US"/>
        </w:rPr>
        <w:t xml:space="preserve"> (nonexclusive</w:t>
      </w:r>
      <w:r w:rsidR="00374CF1">
        <w:rPr>
          <w:lang w:val="en-US"/>
        </w:rPr>
        <w:t>, free</w:t>
      </w:r>
      <w:r w:rsidR="00374CF1" w:rsidRPr="00AD7705">
        <w:rPr>
          <w:lang w:val="en-US"/>
        </w:rPr>
        <w:t xml:space="preserve"> or ‘low-quality’ vigilance</w:t>
      </w:r>
      <w:r w:rsidR="00374CF1">
        <w:rPr>
          <w:lang w:val="en-US"/>
        </w:rPr>
        <w:t>) or are vigilant</w:t>
      </w:r>
      <w:r w:rsidR="00374CF1">
        <w:t xml:space="preserve"> without performing any other behaviour (exclusive, costly or ‘high-quality’ vigilance)</w:t>
      </w:r>
      <w:r w:rsidR="00034C71">
        <w:rPr>
          <w:lang w:val="en-US"/>
        </w:rPr>
        <w:t xml:space="preserve"> </w:t>
      </w:r>
      <w:r w:rsidR="00034C71">
        <w:fldChar w:fldCharType="begin" w:fldLock="1"/>
      </w:r>
      <w:r w:rsidR="007C7EDC">
        <w:instrText>ADDIN CSL_CITATION {"citationItems":[{"id":"ITEM-1","itemData":{"DOI":"10.1111/j.1439-0310.2006.01242.x","ISSN":"01791613","PMID":"1627","abstract":"Individuals of social and partially social species typically reduce their vigilance activity when foraging in groups. As a result, per capita risk of predation decreases and individuals allocate more time to foraging and other fitness rewarding activities. Reduction of per capita risk is hypothesized to occur because there are more individuals to detect potential predators. If so, collective (i.e. total) vigilance is expected to increase with foraging group size. Increased surveillance during group foraging may occur if group members scan independently of one another, or sequentially to avoid the overlapping of their vigilance bouts. Intriguingly, such coordinated vigilance assumes that individuals monitor not only the presence, but the vigilance behaviour of group mates. We used seasonal records on time budget and grouping patterns of individually marked degus (Octodon degus), a social rodent, to examine if (a) individual vigilance decreases and/or foraging increases with group size, (b) collective vigilance increases with group size and (c) foraging degus coordinate their vigilance. When foraging, degus decreased their individual vigilance and increased their foraging time when in larger groups. Despite this, degus in larger groups increased their collective vigilance, supporting the hypothesis that socially foraging degus decrease predation risk through an improved ability to detect and escape potential predators. Additionally, patterns of collective vigilance suggested that degus scan independently of each other and so, they do not coordinate their vigilance to prevent its temporal overlapping. This finding does not support that foraging degus monitor the vigilance activity of group mates.","author":[{"dropping-particle":"","family":"Ebensperger","given":"Luis A.","non-dropping-particle":"","parse-names":false,"suffix":""},{"dropping-particle":"","family":"Hurtado","given":"M. J.","non-dropping-particle":"","parse-names":false,"suffix":""},{"dropping-particle":"","family":"Ramos-Jiliberto","given":"Rodrigo","non-dropping-particle":"","parse-names":false,"suffix":""}],"container-title":"Ethology","id":"ITEM-1","issue":"9","issued":{"date-parts":[["2006"]]},"page":"879-887","title":"Vigilance and collective detection of predators in degus (&lt;i&gt;Octodon degus&lt;/i&gt;)","type":"article-journal","volume":"112"},"uris":["http://www.mendeley.com/documents/?uuid=4ed3d1ca-ba0d-49cb-94e6-8ad2f534211c"]},{"id":"ITEM-2","itemData":{"DOI":"10.1016/j.anbehav.2006.06.007","ISBN":"0003-3472","ISSN":"00033472","abstract":"Vigilance activity is usually considered an adaptive advantage of group living conferring protection against predators. An individual of a prey species is assumed to benefit from an increase in the number of group members by reducing its own investment in vigilance. However, the proximate mechanism generating the decrease in vigilance with increasing group size is unclear. Most models of this relation assume that either individuals coordinate their scans in nonoverlapping bouts of vigilance or animals scan independently of one another. We studied the relation between vigilance and group size in the eastern grey kangaroo, Macropus giganteus, analysing vigilance at two structural levels, individual vigilance and collective vigilance of the group. We tested both assumptions, coordination and independence of scanning. The time that an individual spent vigilant decreased with group size. However, the time during which at least one individual in the group scanned the environment (collective vigilance) increased up to a group size of seven individuals but decreased thereafter. Analyses revealed that individuals neither coordinated their scanning in an asynchronous way nor scanned independently of one another. On the contrary, both the onset and the end of individuals' scanning bouts were synchronized between group members, producing waves of collective vigilance. Bouts of vigilance and nonvigilance activity tended to be synchronized. Our results appear to support a hypothesis of allelomimetic vigilance. © 2007 The Association for the Study of Animal Behaviour.","author":[{"dropping-particle":"","family":"Pays","given":"Olivier","non-dropping-particle":"","parse-names":false,"suffix":""},{"dropping-particle":"","family":"Jarman","given":"Peter J.","non-dropping-particle":"","parse-names":false,"suffix":""},{"dropping-particle":"","family":"Loisel","given":"Patrice","non-dropping-particle":"","parse-names":false,"suffix":""},{"dropping-particle":"","family":"Gerard","given":"Jean Francois","non-dropping-particle":"","parse-names":false,"suffix":""}],"container-title":"Animal Behaviour","id":"ITEM-2","issued":{"date-parts":[["2007"]]},"note":"useful for chapter on perch behaviour (ch. 5):sentinel or synchronization?","page":"595-604","title":"Coordination, independence or synchronization of individual vigilance in the eastern grey kangaroo?","type":"article-journal","volume":"73"},"uris":["http://www.mendeley.com/documents/?uuid=d617b196-fc51-4de2-880c-54ccf277cd43"]},{"id":"ITEM-3","itemData":{"DOI":"10.1093/beheco/6.4.353","ISSN":"1045-2249","author":[{"dropping-particle":"","family":"Kildaw","given":"S. Dean","non-dropping-particle":"","parse-names":false,"suffix":""}],"container-title":"Behavioral Ecology","id":"ITEM-3","issue":"4","issued":{"date-parts":[["1995"]]},"page":"353-358","title":"The effect of group size manipulations on the foraging behavior of black-tailed prairie dogs","type":"article-journal","volume":"6"},"uris":["http://www.mendeley.com/documents/?uuid=19ad5ba3-8ddb-4146-997a-cbda690ada9f"]},{"id":"ITEM-4","itemData":{"DOI":"10.1016/j.anbehav.2006.07.002","ISSN":"00033472","author":[{"dropping-particle":"","family":"Fairbanks","given":"B","non-dropping-particle":"","parse-names":false,"suffix":""},{"dropping-particle":"","family":"Dobson","given":"F Stephen","non-dropping-particle":"","parse-names":false,"suffix":""}],"container-title":"Animal Behaviour","id":"ITEM-4","issue":"1","issued":{"date-parts":[["2007","1"]]},"page":"115-123","title":"Mechanisms of the group-size effect on vigilance in Columbian ground squirrels: dilution versus detection","type":"article-journal","volume":"73"},"uris":["http://www.mendeley.com/documents/?uuid=4f50f911-0c1f-4d49-afa3-97e877520c03"]},{"id":"ITEM-5","itemData":{"DOI":"10.1016/j.anbehav.2009.05.028","ISSN":"00033472","author":[{"dropping-particle":"","family":"Unck","given":"C.E.","non-dropping-particle":"","parse-names":false,"suffix":""},{"dropping-particle":"","family":"Waterman","given":"J.M.","non-dropping-particle":"","parse-names":false,"suffix":""},{"dropping-particle":"","family":"Verburgt","given":"L.","non-dropping-particle":"","parse-names":false,"suffix":""},{"dropping-particle":"","family":"Bateman","given":"P.W.","non-dropping-particle":"","parse-names":false,"suffix":""}],"container-title":"Animal Behaviour","id":"ITEM-5","issue":"3","issued":{"date-parts":[["2009","9"]]},"page":"625-632","publisher":"Elsevier Ltd","title":"Quantity versus quality: how does level of predation threat affect Cape ground squirrel vigilance?","type":"article-journal","volume":"78"},"uris":["http://www.mendeley.com/documents/?uuid=8bcb7620-9681-4e8d-8aac-f3bf5141508e"]},{"id":"ITEM-6","itemData":{"DOI":"10.1890/03-0485","ISBN":"0012-9658","ISSN":"00129658","abstract":"Mammalian herbivores can carry out multiple tasks without interrupting food processing, but this possibility is not considered in existing foraging models. We develop a mechanistic functional response to account for herbivores' ability to search for their next food bite and walk away from competitors while chewing vegetation. We demonstrate how the possibility of multi-tasking can buffer intake rate from competition and vigilance. The functional response of herbivores can be density independent until a threshold of competitors is reached in the food patch, and only then does it become density dependent. Herbivores also should be capable of maintaining food intake rate, despite important resource depletion in the foraging patch. The possibility of animal movements during food processing offers herbivores opportunities for cost-free vigilance. When individuals find their next bite before they have finished chewing the current bite, the remaining chewing time becomes \"spare time\" that could be spent in vigilance without reducing food intake rate. Modeling of optimal vigilance demonstrates that such cost-free vigilance might importantly alter expected patterns of scanning by mammalian herbivores. Assuming that interference increases with competitor density, spare time available for scanning should decrease as the number of herbivores in a food patch increases. Foraging constraints on food intake thus can provide a mechanistic explanation for the commonly observed decline in herbivore vigilance with increasing group size.","author":[{"dropping-particle":"","family":"Fortin","given":"Daniel","non-dropping-particle":"","parse-names":false,"suffix":""},{"dropping-particle":"","family":"Boyce","given":"Mark S.","non-dropping-particle":"","parse-names":false,"suffix":""},{"dropping-particle":"","family":"Merrill","given":"Evelyn H.","non-dropping-particle":"","parse-names":false,"suffix":""}],"container-title":"Ecology","id":"ITEM-6","issue":"8","issued":{"date-parts":[["2004"]]},"page":"2312-2322","title":"Multi-tasking by mammalian herbivores: Overlapping processes during foraging","type":"article-journal","volume":"85"},"uris":["http://www.mendeley.com/documents/?uuid=6e59cb95-3081-46a4-91d7-7877346d9c4d"]},{"id":"ITEM-7","itemData":{"DOI":"10.1016/j.anbehav.2014.11.001","ISBN":"00033472","ISSN":"00033472","abstract":"Vigilance in prey species can serve many purposes, including predator detection and monitoring other group members, and is generally thought to impose a cost due to reduced food intake. However, previous studies have shown that herbivores are able to reduce the foraging cost of vigilance by chewing their food during vigilance bouts ('vigilance with chewing', as compared to 'vigilance without chewing'). How predation risk, food availability and competition affect both the functions and the foraging costs of vigilance remains an open question. We studied female eastern grey kangaroos, Macropus giganteus, during winter and summer, when available food supplies were poor and rich, respectively, to investigate how group size, distance to cover, proximity between foragers and food patch quality affected decisions of foraging female kangaroos to exhibit antipredator or social vigilance, distinguishing vigilance with and without chewing. The use of antipredator vigilance was mainly driven by the perception of predation risk, and antipredator vigilance without chewing decreased with increased group size whereas antipredator vigilance with chewing increased nonlinearly with group size in winter. Distance to cover affected both forms of antipredator vigilance in summer only but there was no effect of nearest-neighbour distance. Social vigilance was affected positively by group size, and distance between foragers affected social vigilance without chewing positively, particularly in winter, and social vigilance with chewing negatively. Finally, patch quality increased the use of social vigilance with chewing in both seasons and decreased the use of antipredator vigilance with chewing in winter. This study provides new information on how animals make decisions about the functions and foraging costs of vigilance and allows a better understanding of how social foragers respond to an ever-changing environment.","author":[{"dropping-particle":"","family":"Favreau","given":"François-René","non-dropping-particle":"","parse-names":false,"suffix":""},{"dropping-particle":"","family":"Pays","given":"Olivier","non-dropping-particle":"","parse-names":false,"suffix":""},{"dropping-particle":"","family":"Fritz","given":"Hervé","non-dropping-particle":"","parse-names":false,"suffix":""},{"dropping-particle":"","family":"Goulard","given":"Michel","non-dropping-particle":"","parse-names":false,"suffix":""},{"dropping-particle":"","family":"Best","given":"Emily C.","non-dropping-particle":"","parse-names":false,"suffix":""},{"dropping-particle":"","family":"Goldizen","given":"Anne W.","non-dropping-particle":"","parse-names":false,"suffix":""}],"container-title":"Animal Behaviour","id":"ITEM-7","issued":{"date-parts":[["2015"]]},"page":"109-121","title":"Predators, food and social context shape the types of vigilance exhibited by kangaroos","type":"article-journal","volume":"99"},"uris":["http://www.mendeley.com/documents/?uuid=7eb2fe81-3f91-4cc8-a7a6-61cb4438d4ca"]}],"mendeley":{"formattedCitation":"(Ebensperger, Hurtado, &amp; Ramos-Jiliberto, 2006; Fairbanks &amp; Dobson, 2007; Favreau et al., 2015; Fortin, Boyce, &amp; Merrill, 2004; Kildaw, 1995; Pays, Jarman, Loisel, &amp; Gerard, 2007; Unck, Waterman, Verburgt, &amp; Bateman, 2009)","plainTextFormattedCitation":"(Ebensperger, Hurtado, &amp; Ramos-Jiliberto, 2006; Fairbanks &amp; Dobson, 2007; Favreau et al., 2015; Fortin, Boyce, &amp; Merrill, 2004; Kildaw, 1995; Pays, Jarman, Loisel, &amp; Gerard, 2007; Unck, Waterman, Verburgt, &amp; Bateman, 2009)","previouslyFormattedCitation":"(Ebensperger, Hurtado, &amp; Ramos-Jiliberto, 2006; Fairbanks &amp; Dobson, 2007; Favreau et al., 2015; Fortin, Boyce, &amp; Merrill, 2004; Kildaw, 1995; Pays, Jarman, Loisel, &amp; Gerard, 2007; Unck, Waterman, Verburgt, &amp; Bateman, 2009)"},"properties":{"noteIndex":0},"schema":"https://github.com/citation-style-language/schema/raw/master/csl-citation.json"}</w:instrText>
      </w:r>
      <w:r w:rsidR="00034C71">
        <w:fldChar w:fldCharType="separate"/>
      </w:r>
      <w:r w:rsidR="00276ABE" w:rsidRPr="00276ABE">
        <w:rPr>
          <w:noProof/>
        </w:rPr>
        <w:t>(Ebensperger, Hurtado, &amp; Ramos-Jiliberto, 2006; Fairbanks &amp; Dobson, 2007; Favreau et al., 2015; Fortin, Boyce, &amp; Merrill, 2004; Kildaw, 1995; Pays, Jarman, Loisel, &amp; Gerard, 2007; Unck, Waterman, Verburgt, &amp; Bateman, 2009)</w:t>
      </w:r>
      <w:r w:rsidR="00034C71">
        <w:fldChar w:fldCharType="end"/>
      </w:r>
      <w:r w:rsidR="00374CF1">
        <w:t>.</w:t>
      </w:r>
      <w:r w:rsidR="009F155C">
        <w:t xml:space="preserve"> </w:t>
      </w:r>
      <w:r w:rsidR="00E27379">
        <w:t xml:space="preserve">Conversely, the trade-off </w:t>
      </w:r>
      <w:r w:rsidR="00374CF1">
        <w:t xml:space="preserve">between feeding activity and predation risk </w:t>
      </w:r>
      <w:r w:rsidR="00E27379">
        <w:t xml:space="preserve">may also </w:t>
      </w:r>
      <w:r w:rsidR="000F6117">
        <w:t xml:space="preserve">affect </w:t>
      </w:r>
      <w:r w:rsidR="00E27379">
        <w:t>the quality of foraging. Individuals</w:t>
      </w:r>
      <w:r w:rsidR="0036231B">
        <w:t xml:space="preserve"> may</w:t>
      </w:r>
      <w:r w:rsidR="00E27379">
        <w:t xml:space="preserve"> have some awareness of predators while performing other behaviours </w:t>
      </w:r>
      <w:r w:rsidR="009F155C">
        <w:t xml:space="preserve">– ‘apprehension’ </w:t>
      </w:r>
      <w:r w:rsidR="00E27379">
        <w:fldChar w:fldCharType="begin" w:fldLock="1"/>
      </w:r>
      <w:r w:rsidR="007C7EDC">
        <w:instrText>ADDIN CSL_CITATION {"citationItems":[{"id":"ITEM-1","itemData":{"author":[{"dropping-particle":"","family":"Brown","given":"JS","non-dropping-particle":"","parse-names":false,"suffix":""},{"dropping-particle":"","family":"Laundre","given":"W","non-dropping-particle":"","parse-names":false,"suffix":""},{"dropping-particle":"","family":"Gurung","given":"M","non-dropping-particle":"","parse-names":false,"suffix":""}],"container-title":"Journal of Mammalogy","id":"ITEM-1","issue":"2","issued":{"date-parts":[["1999"]]},"note":"level of apprehension depends on group size, foraging succes, and predator characteristics, and determines predator's foraging success.","page":"385-399","title":"The ecology of fear: optimal foraging, game theory, and trophic interactions","type":"article-journal","volume":"80"},"uris":["http://www.mendeley.com/documents/?uuid=44fd3a9c-352e-47de-aa02-b4c3767bdcc2"]}],"mendeley":{"formattedCitation":"(Brown, Laundre, &amp; Gurung, 1999)","plainTextFormattedCitation":"(Brown, Laundre, &amp; Gurung, 1999)","previouslyFormattedCitation":"(Brown, Laundre, &amp; Gurung, 1999)"},"properties":{"noteIndex":0},"schema":"https://github.com/citation-style-language/schema/raw/master/csl-citation.json"}</w:instrText>
      </w:r>
      <w:r w:rsidR="00E27379">
        <w:fldChar w:fldCharType="separate"/>
      </w:r>
      <w:r w:rsidR="00E27379" w:rsidRPr="00CC171F">
        <w:rPr>
          <w:noProof/>
        </w:rPr>
        <w:t>(Brown, Laundre, &amp; Gurung, 1999)</w:t>
      </w:r>
      <w:r w:rsidR="00E27379">
        <w:fldChar w:fldCharType="end"/>
      </w:r>
      <w:r w:rsidR="00E27379">
        <w:t>. This awareness can lead to a reduction in the quality of foraging</w:t>
      </w:r>
      <w:r w:rsidR="009F155C">
        <w:t xml:space="preserve">. Yet, </w:t>
      </w:r>
      <w:r w:rsidR="00E27379">
        <w:t xml:space="preserve">these animals </w:t>
      </w:r>
      <w:r w:rsidR="009F155C">
        <w:t xml:space="preserve">are safer than when they are focused solely on foraging, because they </w:t>
      </w:r>
      <w:r w:rsidR="00E27379">
        <w:t xml:space="preserve">are aware of their surroundings </w:t>
      </w:r>
      <w:r w:rsidR="009F155C">
        <w:t xml:space="preserve">through </w:t>
      </w:r>
      <w:r w:rsidR="00E27379">
        <w:t>low-quality vigilance</w:t>
      </w:r>
      <w:r w:rsidR="00074A0F">
        <w:t xml:space="preserve"> </w:t>
      </w:r>
      <w:r w:rsidR="00E27379">
        <w:fldChar w:fldCharType="begin" w:fldLock="1"/>
      </w:r>
      <w:r w:rsidR="007C7EDC">
        <w:instrText>ADDIN CSL_CITATION {"citationItems":[{"id":"ITEM-1","itemData":{"author":[{"dropping-particle":"","family":"Kotler","given":"Burt P","non-dropping-particle":"","parse-names":false,"suffix":""},{"dropping-particle":"","family":"Brown","given":"Joel S","non-dropping-particle":"","parse-names":false,"suffix":""},{"dropping-particle":"","family":"Dall","given":"Sasha R X","non-dropping-particle":"","parse-names":false,"suffix":""},{"dropping-particle":"","family":"Gresser","given":"Shaan","non-dropping-particle":"","parse-names":false,"suffix":""},{"dropping-particle":"","family":"Ganey","given":"David","non-dropping-particle":"","parse-names":false,"suffix":""},{"dropping-particle":"","family":"Bouskila","given":"Amos","non-dropping-particle":"","parse-names":false,"suffix":""}],"container-title":"Evolutionary Ecology Research","id":"ITEM-1","issued":{"date-parts":[["2002"]]},"page":"495-518","title":"Foraging games between gerbils and their predators: temporal dynamics of resource depletion and apprehension in gerbils","type":"article-journal","volume":"4"},"uris":["http://www.mendeley.com/documents/?uuid=12978676-10c6-4554-80dc-bdcfb214e0bc"]}],"mendeley":{"formattedCitation":"(Kotler et al., 2002)","plainTextFormattedCitation":"(Kotler et al., 2002)","previouslyFormattedCitation":"(Kotler et al., 2002)"},"properties":{"noteIndex":0},"schema":"https://github.com/citation-style-language/schema/raw/master/csl-citation.json"}</w:instrText>
      </w:r>
      <w:r w:rsidR="00E27379">
        <w:fldChar w:fldCharType="separate"/>
      </w:r>
      <w:r w:rsidR="00E27379" w:rsidRPr="00CC171F">
        <w:rPr>
          <w:noProof/>
        </w:rPr>
        <w:t>(Kotler et al., 2002)</w:t>
      </w:r>
      <w:r w:rsidR="00E27379">
        <w:fldChar w:fldCharType="end"/>
      </w:r>
      <w:r w:rsidR="00E27379">
        <w:t xml:space="preserve">. In comparison, when individuals focus on vigilance (high-quality vigilance), they are much safer from predation than individuals performing low-quality vigilance, </w:t>
      </w:r>
      <w:r w:rsidR="000F6117">
        <w:t xml:space="preserve">although they </w:t>
      </w:r>
      <w:r w:rsidR="00E27379">
        <w:t xml:space="preserve">lose foraging opportunities </w:t>
      </w:r>
      <w:r w:rsidR="00E27379">
        <w:fldChar w:fldCharType="begin" w:fldLock="1"/>
      </w:r>
      <w:r w:rsidR="007C7EDC">
        <w:instrText>ADDIN CSL_CITATION {"citationItems":[{"id":"ITEM-1","itemData":{"author":[{"dropping-particle":"","family":"Dall","given":"Sasha R X","non-dropping-particle":"","parse-names":false,"suffix":""},{"dropping-particle":"","family":"Kotler","given":"Burt P","non-dropping-particle":"","parse-names":false,"suffix":""},{"dropping-particle":"","family":"Bouskila","given":"Amos","non-dropping-particle":"","parse-names":false,"suffix":""}],"container-title":"Ann. Zool. Fennici","id":"ITEM-1","issued":{"date-parts":[["2001"]]},"page":"15-23","title":"Attention, ‘apprehension’ and gerbils searching in patches","type":"article-journal","volume":"38"},"uris":["http://www.mendeley.com/documents/?uuid=a9e47cdd-3fed-40f8-8588-41ea77d869e8"]}],"mendeley":{"formattedCitation":"(Dall, Kotler, &amp; Bouskila, 2001)","plainTextFormattedCitation":"(Dall, Kotler, &amp; Bouskila, 2001)","previouslyFormattedCitation":"(Dall, Kotler, &amp; Bouskila, 2001)"},"properties":{"noteIndex":0},"schema":"https://github.com/citation-style-language/schema/raw/master/csl-citation.json"}</w:instrText>
      </w:r>
      <w:r w:rsidR="00E27379">
        <w:fldChar w:fldCharType="separate"/>
      </w:r>
      <w:r w:rsidR="00E27379" w:rsidRPr="00CC171F">
        <w:rPr>
          <w:noProof/>
        </w:rPr>
        <w:t>(Dall, Kotler, &amp; Bouskila, 2001)</w:t>
      </w:r>
      <w:r w:rsidR="00E27379">
        <w:fldChar w:fldCharType="end"/>
      </w:r>
      <w:r w:rsidR="00E27379">
        <w:t>.</w:t>
      </w:r>
    </w:p>
    <w:p w14:paraId="01A9959C" w14:textId="5CA668C2" w:rsidR="00DF5A92" w:rsidRDefault="00FB2EBE" w:rsidP="00DC31D5">
      <w:pPr>
        <w:pStyle w:val="NoSpacing"/>
        <w:spacing w:line="480" w:lineRule="auto"/>
        <w:ind w:firstLine="720"/>
      </w:pPr>
      <w:r>
        <w:t xml:space="preserve">Not only can </w:t>
      </w:r>
      <w:r w:rsidR="00070CD1">
        <w:t xml:space="preserve">the trade-off between foraging and vigilance </w:t>
      </w:r>
      <w:r>
        <w:t>influence predator detection,</w:t>
      </w:r>
      <w:r w:rsidR="009C02F9">
        <w:t xml:space="preserve"> but</w:t>
      </w:r>
      <w:r>
        <w:t xml:space="preserve"> so can group size. For example, s</w:t>
      </w:r>
      <w:r w:rsidR="00DC31D5">
        <w:t xml:space="preserve">ocial species may show </w:t>
      </w:r>
      <w:r w:rsidR="00FA0874">
        <w:t>an inverse</w:t>
      </w:r>
      <w:r w:rsidR="00DC31D5">
        <w:t xml:space="preserve"> relationship between individual vigilance and group size </w:t>
      </w:r>
      <w:r w:rsidR="00DC31D5">
        <w:fldChar w:fldCharType="begin" w:fldLock="1"/>
      </w:r>
      <w:r w:rsidR="007C7EDC">
        <w:instrText>ADDIN CSL_CITATION {"citationItems":[{"id":"ITEM-1","itemData":{"DOI":"10.1111/j.1469-185X.1989.tb00636.x","ISBN":"1464-7931","ISSN":"1464-7931","PMID":"2655726","abstract":"One commonly cited benefit to animals that forage in groups is an increase in the probability of detecting a predator, and a decrease in the time spent in predator detection. A mathematical model (Pulliam 1973) predicts a negative relationship between group size and vigilance rates. Over fifty studies of birds and mammals report that the relationship at least partly explains why individuals forage in groups. This review evaluates the strength of these conclusions based on their evidence. Those variables that may confound the relationship between vigilance and group size are outlined, and their control is assessed for each study. The variables I consider to be important include the density and type of food; competition between individuals; the proximity to both a safe place and the observer; the presence of predators; the visibility within the habitat; the composition of the group; the ambient temperature and the time of day. Based on these assessments, most of the studies fail to adequately demonstrate an unambiguous relationship between vigilance behavior and group size. Nevertheless, many studies reveal interesting features of the relationship between vigilance and group size that should provide fruitful avenues for future research.","author":[{"dropping-particle":"","family":"Elgar","given":"Mark","non-dropping-particle":"","parse-names":false,"suffix":""}],"container-title":"Biological Reviews","id":"ITEM-1","issue":"1","issued":{"date-parts":[["1989"]]},"page":"13-33","title":"Predator vigilance and group size in mammals and birds: a critical review of the empirical evidence","type":"article-journal","volume":"64"},"uris":["http://www.mendeley.com/documents/?uuid=d2a75b2a-df02-4ff5-b3b7-67364dcb00f2"]}],"mendeley":{"formattedCitation":"(Elgar, 1989)","plainTextFormattedCitation":"(Elgar, 1989)","previouslyFormattedCitation":"(Elgar, 1989)"},"properties":{"noteIndex":0},"schema":"https://github.com/citation-style-language/schema/raw/master/csl-citation.json"}</w:instrText>
      </w:r>
      <w:r w:rsidR="00DC31D5">
        <w:fldChar w:fldCharType="separate"/>
      </w:r>
      <w:r w:rsidR="00FB2B64" w:rsidRPr="00FB2B64">
        <w:rPr>
          <w:noProof/>
        </w:rPr>
        <w:t>(Elgar, 1989)</w:t>
      </w:r>
      <w:r w:rsidR="00DC31D5">
        <w:fldChar w:fldCharType="end"/>
      </w:r>
      <w:r w:rsidR="00DC31D5">
        <w:t xml:space="preserve">. The hypotheses </w:t>
      </w:r>
      <w:r w:rsidR="00B60721" w:rsidRPr="00B60721">
        <w:t>most often used to explain</w:t>
      </w:r>
      <w:r w:rsidR="00DF5A92">
        <w:t xml:space="preserve"> </w:t>
      </w:r>
      <w:r w:rsidR="00DC31D5">
        <w:t xml:space="preserve">this relationship are the collective detection and dilution effect. </w:t>
      </w:r>
      <w:r w:rsidR="002F3AF6">
        <w:t>The risk of predation</w:t>
      </w:r>
      <w:r w:rsidR="002F3AF6" w:rsidRPr="00DC2921">
        <w:t xml:space="preserve"> </w:t>
      </w:r>
      <w:r w:rsidR="002F3AF6">
        <w:t>decreases as the number of individuals increases in a group</w:t>
      </w:r>
      <w:r w:rsidR="003931F9">
        <w:t xml:space="preserve"> in the dilution effect hypothesis</w:t>
      </w:r>
      <w:r w:rsidR="00204099">
        <w:t>. T</w:t>
      </w:r>
      <w:r w:rsidR="003931F9">
        <w:t xml:space="preserve">his hypothesis </w:t>
      </w:r>
      <w:r w:rsidR="002F3AF6">
        <w:t xml:space="preserve">predicts a negative relationship between individual vigilance and group size </w:t>
      </w:r>
      <w:r w:rsidR="002F3AF6">
        <w:fldChar w:fldCharType="begin" w:fldLock="1"/>
      </w:r>
      <w:r w:rsidR="002F3AF6">
        <w:instrText>ADDIN CSL_CITATION {"citationItems":[{"id":"ITEM-1","itemData":{"author":[{"dropping-particle":"","family":"Bertram","given":"Brian C.R.","non-dropping-particle":"","parse-names":false,"suffix":""}],"container-title":"Behavioural ecology: An evolutionary approach","editor":[{"dropping-particle":"","family":"Krebs","given":"J. R.","non-dropping-particle":"","parse-names":false,"suffix":""},{"dropping-particle":"","family":"Davies","given":"N. B.","non-dropping-particle":"","parse-names":false,"suffix":""}],"id":"ITEM-1","issued":{"date-parts":[["1978"]]},"page":"64-96","publisher":"Oxford: Blackwell Scientific Publications","title":"Living in groups: predators and prey","type":"chapter"},"uris":["http://www.mendeley.com/documents/?uuid=e7c8e246-4137-43f8-9d8b-bb42cfbb09aa"]},{"id":"ITEM-2","itemData":{"author":[{"dropping-particle":"","family":"Roberts","given":"Gilbert","non-dropping-particle":"","parse-names":false,"suffix":""}],"container-title":"Animal Behaviour","id":"ITEM-2","issued":{"date-parts":[["1996"]]},"page":"1077-1086","title":"Why individual vigilance declines as group size increases","type":"article-journal","volume":"51"},"uris":["http://www.mendeley.com/documents/?uuid=dd1b39b7-e66e-40f8-8693-b584413c3df1"]}],"mendeley":{"formattedCitation":"(Bertram, 1978; Roberts, 1996)","manualFormatting":"(Bertram, 1978; Roberts, 1996)","plainTextFormattedCitation":"(Bertram, 1978; Roberts, 1996)","previouslyFormattedCitation":"(Bertram, 1978; Roberts, 1996)"},"properties":{"noteIndex":0},"schema":"https://github.com/citation-style-language/schema/raw/master/csl-citation.json"}</w:instrText>
      </w:r>
      <w:r w:rsidR="002F3AF6">
        <w:fldChar w:fldCharType="separate"/>
      </w:r>
      <w:r w:rsidR="002F3AF6">
        <w:rPr>
          <w:noProof/>
        </w:rPr>
        <w:t>(</w:t>
      </w:r>
      <w:r w:rsidR="002F3AF6" w:rsidRPr="007A6C8E">
        <w:rPr>
          <w:noProof/>
        </w:rPr>
        <w:t>Bertram, 1978; Roberts, 1996)</w:t>
      </w:r>
      <w:r w:rsidR="002F3AF6">
        <w:fldChar w:fldCharType="end"/>
      </w:r>
      <w:r w:rsidR="002F3AF6">
        <w:t xml:space="preserve">. Collective detection of predators is explained by a greater probability of detecting a predator with increasing group size – ‘many-eyes’ available for scanning </w:t>
      </w:r>
      <w:r w:rsidR="002F3AF6" w:rsidRPr="001C58A8">
        <w:rPr>
          <w:noProof/>
        </w:rPr>
        <w:t>(Pulliam 1973, Lima and Dill 1990, Lima 1995)</w:t>
      </w:r>
      <w:r w:rsidR="002F3AF6">
        <w:rPr>
          <w:noProof/>
        </w:rPr>
        <w:t xml:space="preserve">. </w:t>
      </w:r>
      <w:r w:rsidR="00DC31D5">
        <w:t xml:space="preserve">The </w:t>
      </w:r>
      <w:r w:rsidR="00DC31D5" w:rsidRPr="00715A6D">
        <w:t>prediction</w:t>
      </w:r>
      <w:r w:rsidR="00DC31D5">
        <w:t>s</w:t>
      </w:r>
      <w:r w:rsidR="00DC31D5" w:rsidRPr="00715A6D">
        <w:t xml:space="preserve"> </w:t>
      </w:r>
      <w:r w:rsidR="00DC31D5">
        <w:t>for the collective detection hypothesis</w:t>
      </w:r>
      <w:r w:rsidR="009C02F9">
        <w:t xml:space="preserve"> </w:t>
      </w:r>
      <w:r w:rsidR="00DC31D5">
        <w:t>are</w:t>
      </w:r>
      <w:r w:rsidR="00DC31D5" w:rsidRPr="00715A6D">
        <w:t xml:space="preserve"> that</w:t>
      </w:r>
      <w:r w:rsidR="009C02F9">
        <w:t>, as group size increases,</w:t>
      </w:r>
      <w:r w:rsidR="00DC31D5" w:rsidRPr="00715A6D">
        <w:t xml:space="preserve"> individ</w:t>
      </w:r>
      <w:r w:rsidR="00DC31D5">
        <w:t>ual vigilance decrease</w:t>
      </w:r>
      <w:r w:rsidR="009C02F9">
        <w:t>s</w:t>
      </w:r>
      <w:r w:rsidR="00DC31D5">
        <w:t>,</w:t>
      </w:r>
      <w:r w:rsidR="00DC31D5" w:rsidRPr="00715A6D">
        <w:t xml:space="preserve"> </w:t>
      </w:r>
      <w:r w:rsidR="009C02F9">
        <w:t>and yet</w:t>
      </w:r>
      <w:r w:rsidR="00DC31D5" w:rsidRPr="00715A6D">
        <w:t xml:space="preserve"> </w:t>
      </w:r>
      <w:r w:rsidR="00DC31D5" w:rsidRPr="00715A6D">
        <w:lastRenderedPageBreak/>
        <w:t>overall group vigilance</w:t>
      </w:r>
      <w:r w:rsidR="009C02F9">
        <w:t xml:space="preserve"> and detection ability</w:t>
      </w:r>
      <w:r w:rsidR="00DC31D5" w:rsidRPr="00715A6D">
        <w:t xml:space="preserve"> increase</w:t>
      </w:r>
      <w:r w:rsidR="009C02F9">
        <w:t>s</w:t>
      </w:r>
      <w:r w:rsidR="00DC31D5">
        <w:fldChar w:fldCharType="begin" w:fldLock="1"/>
      </w:r>
      <w:r w:rsidR="007C7EDC">
        <w:instrText>ADDIN CSL_CITATION {"citationItems":[{"id":"ITEM-1","itemData":{"author":[{"dropping-particle":"","family":"Pulliam","given":"H.R.","non-dropping-particle":"","parse-names":false,"suffix":""}],"container-title":"Journal of theoretical biology","id":"ITEM-1","issued":{"date-parts":[["1973"]]},"page":"419-422","title":"On the advantages of flocking","type":"article-journal","volume":"38"},"uris":["http://www.mendeley.com/documents/?uuid=8304e89d-7a17-48b8-9a5e-572a210d32dd"]},{"id":"ITEM-2","itemData":{"author":[{"dropping-particle":"","family":"Lima","given":"Steven L.","non-dropping-particle":"","parse-names":false,"suffix":""},{"dropping-particle":"","family":"Dill","given":"Lawrence M.","non-dropping-particle":"","parse-names":false,"suffix":""}],"container-title":"Canadian Journal of Zoology","id":"ITEM-2","issued":{"date-parts":[["1990"]]},"page":"619-640","title":"Behavioral decisions made under the risk of predation: a review and prospectus","type":"article-journal","volume":"68"},"uris":["http://www.mendeley.com/documents/?uuid=aafc9884-c4f5-4b99-93ea-c95d2157d3b3"]},{"id":"ITEM-3","itemData":{"DOI":"10.1016/0003-3472(95)80149-9","ISSN":"00033472","author":[{"dropping-particle":"","family":"Lima","given":"Steven L.","non-dropping-particle":"","parse-names":false,"suffix":""}],"container-title":"Animal Behaviour","id":"ITEM-3","issue":"1","issued":{"date-parts":[["1995","1"]]},"page":"11-20","title":"Back to the basics of anti-predatory vigilance: the group-size effect","type":"article-journal","volume":"49"},"uris":["http://www.mendeley.com/documents/?uuid=2baa96b9-6db3-4f67-8ae0-7149d0b4230f"]}],"mendeley":{"formattedCitation":"(Lima, 1995; Lima &amp; Dill, 1990; Pulliam, 1973)","manualFormatting":" (Pulliam 1973, Lima and Dill 1990, Lima 1995)","plainTextFormattedCitation":"(Lima, 1995; Lima &amp; Dill, 1990; Pulliam, 1973)","previouslyFormattedCitation":"(Lima, 1995; Lima &amp; Dill, 1990; Pulliam, 1973)"},"properties":{"noteIndex":0},"schema":"https://github.com/citation-style-language/schema/raw/master/csl-citation.json"}</w:instrText>
      </w:r>
      <w:r w:rsidR="00DC31D5">
        <w:fldChar w:fldCharType="separate"/>
      </w:r>
      <w:r w:rsidR="00DC31D5">
        <w:rPr>
          <w:noProof/>
        </w:rPr>
        <w:t xml:space="preserve"> </w:t>
      </w:r>
      <w:r w:rsidR="00DC31D5" w:rsidRPr="001C58A8">
        <w:rPr>
          <w:noProof/>
        </w:rPr>
        <w:t>(Pulliam 1973, Lima and Dill 1990, Lima 1995)</w:t>
      </w:r>
      <w:r w:rsidR="00DC31D5">
        <w:fldChar w:fldCharType="end"/>
      </w:r>
      <w:r w:rsidR="00DC31D5">
        <w:t xml:space="preserve">. </w:t>
      </w:r>
      <w:r w:rsidR="000326F7">
        <w:t>For the collective detection of predators to function</w:t>
      </w:r>
      <w:r w:rsidR="009C02F9">
        <w:t>,</w:t>
      </w:r>
      <w:r w:rsidR="00DC31D5">
        <w:t xml:space="preserve"> it </w:t>
      </w:r>
      <w:r w:rsidR="00813F6D">
        <w:t>is</w:t>
      </w:r>
      <w:r w:rsidR="00DC31D5">
        <w:t xml:space="preserve"> important that at least one individual is vigilant and detects a threat, upon which the alert individual </w:t>
      </w:r>
      <w:r w:rsidR="002B3E21">
        <w:t xml:space="preserve">transfers information </w:t>
      </w:r>
      <w:r w:rsidR="00702528">
        <w:t>o</w:t>
      </w:r>
      <w:r w:rsidR="00E9477A">
        <w:t>f</w:t>
      </w:r>
      <w:r w:rsidR="00702528">
        <w:t xml:space="preserve"> potential danger </w:t>
      </w:r>
      <w:r w:rsidR="002B3E21">
        <w:t xml:space="preserve">to </w:t>
      </w:r>
      <w:r w:rsidR="00E9477A">
        <w:t xml:space="preserve">its </w:t>
      </w:r>
      <w:r w:rsidR="00702528">
        <w:t>group members</w:t>
      </w:r>
      <w:r w:rsidR="002F3AF6">
        <w:t>. Information transfer can occur, for example, when a</w:t>
      </w:r>
      <w:r w:rsidR="00E9477A">
        <w:t xml:space="preserve"> vigilant individual alert</w:t>
      </w:r>
      <w:r w:rsidR="003931F9">
        <w:t>s</w:t>
      </w:r>
      <w:r w:rsidR="00E9477A">
        <w:t xml:space="preserve"> others </w:t>
      </w:r>
      <w:r w:rsidR="00823DEF">
        <w:t>by seeking cover</w:t>
      </w:r>
      <w:r w:rsidR="002F3AF6">
        <w:t xml:space="preserve"> assuming </w:t>
      </w:r>
      <w:r w:rsidR="00823DEF">
        <w:t xml:space="preserve">that group members monitor conspecifics </w:t>
      </w:r>
      <w:r w:rsidR="00823DEF">
        <w:fldChar w:fldCharType="begin" w:fldLock="1"/>
      </w:r>
      <w:r w:rsidR="007C7EDC">
        <w:instrText>ADDIN CSL_CITATION {"citationItems":[{"id":"ITEM-1","itemData":{"DOI":"10.1098/rspb.2009.2337","ISBN":"1471-2954 (Electronic)\\r0962-8452 (Linking)","ISSN":"0962-8452","PMID":"20219737","abstract":"Group size is known to affect both the amount of time that prey animals spend in vigilance and the degree to which the vigilance of group members is synchronized. However, the variation in group-size effects reported in the literature is not yet understood. Prey animals exhibit vigilance both to protect themselves against predators and to monitor other group members, and both forms of vigilance presumably influence group-size effects on vigilance. However, our understanding of the patterns of individual investment underlying the time sharing between anti-predator and social vigilance is still limited. We studied patterns of variation in individual vigilance and the synchronization of vigilance with group size in a wild population of eastern grey kangaroos (Macropus giganteus) subject to predation, in particular focusing on peripheral females because we expected that they would exhibit both social and anti-predator vigilance. There was no global effect of group size on individual vigilance. The lack of group-size effect was the result of two compensating effects. The proportion of time individuals spent looking at other group members increased, whereas the proportion of time they spent scanning the environment decreased with group size; as a result, overall vigilance levels did not change with group size. Moreover, a degree of synchrony of vigilance occurred within groups and that degree increased with the proportion of vigilance time peripheral females spent in anti-predator vigilance. Our results highlight the crucial roles of both social and anti-predator components of vigilance in the understanding of the relationship between group size and vigilance, as well as in the synchronization of vigilance among group members.","author":[{"dropping-particle":"","family":"Favreau","given":"François-René","non-dropping-particle":"","parse-names":false,"suffix":""},{"dropping-particle":"","family":"Goldizen","given":"Anne W.","non-dropping-particle":"","parse-names":false,"suffix":""},{"dropping-particle":"","family":"Pays","given":"Olivier","non-dropping-particle":"","parse-names":false,"suffix":""}],"container-title":"Proceedings of the Royal Society B: Biological Sciences","id":"ITEM-1","issue":"1690","issued":{"date-parts":[["2010"]]},"page":"2089-2095","title":"Interactions among social monitoring, anti-predator vigilance and group size in eastern grey kangaroos","type":"article-journal","volume":"277"},"uris":["http://www.mendeley.com/documents/?uuid=7656b815-f4c9-406a-9e49-13b38dc08f2f"]}],"mendeley":{"formattedCitation":"(Favreau, Goldizen, &amp; Pays, 2010)","manualFormatting":"(Favreau, Goldizen, &amp; Pays, 2010)","plainTextFormattedCitation":"(Favreau, Goldizen, &amp; Pays, 2010)","previouslyFormattedCitation":"(Favreau, Goldizen, &amp; Pays, 2010)"},"properties":{"noteIndex":0},"schema":"https://github.com/citation-style-language/schema/raw/master/csl-citation.json"}</w:instrText>
      </w:r>
      <w:r w:rsidR="00823DEF">
        <w:fldChar w:fldCharType="separate"/>
      </w:r>
      <w:r w:rsidR="00315A71">
        <w:rPr>
          <w:noProof/>
        </w:rPr>
        <w:t>(</w:t>
      </w:r>
      <w:r w:rsidR="00FB2B64" w:rsidRPr="00FB2B64">
        <w:rPr>
          <w:noProof/>
        </w:rPr>
        <w:t>Favreau, Goldizen, &amp; Pays, 2010)</w:t>
      </w:r>
      <w:r w:rsidR="00823DEF">
        <w:fldChar w:fldCharType="end"/>
      </w:r>
      <w:r w:rsidR="003E6512">
        <w:t>,</w:t>
      </w:r>
      <w:r w:rsidR="00823DEF">
        <w:t xml:space="preserve"> or </w:t>
      </w:r>
      <w:r w:rsidR="002F3AF6">
        <w:t xml:space="preserve">when an alert individual </w:t>
      </w:r>
      <w:r w:rsidR="00823DEF">
        <w:t>alarm signal</w:t>
      </w:r>
      <w:r w:rsidR="002F3AF6">
        <w:t>s</w:t>
      </w:r>
      <w:r w:rsidR="00823DEF">
        <w:t xml:space="preserve"> to inform group members of potential danger </w:t>
      </w:r>
      <w:r w:rsidR="00823DEF">
        <w:fldChar w:fldCharType="begin" w:fldLock="1"/>
      </w:r>
      <w:r w:rsidR="007C7EDC">
        <w:instrText>ADDIN CSL_CITATION {"citationItems":[{"id":"ITEM-1","itemData":{"DOI":"10.1016/j.anbehav.2006.07.002","ISSN":"00033472","author":[{"dropping-particle":"","family":"Fairbanks","given":"B","non-dropping-particle":"","parse-names":false,"suffix":""},{"dropping-particle":"","family":"Dobson","given":"F Stephen","non-dropping-particle":"","parse-names":false,"suffix":""}],"container-title":"Animal Behaviour","id":"ITEM-1","issue":"1","issued":{"date-parts":[["2007","1"]]},"page":"115-123","title":"Mechanisms of the group-size effect on vigilance in Columbian ground squirrels: dilution versus detection","type":"article-journal","volume":"73"},"uris":["http://www.mendeley.com/documents/?uuid=4f50f911-0c1f-4d49-afa3-97e877520c03"]}],"mendeley":{"formattedCitation":"(Fairbanks &amp; Dobson, 2007)","plainTextFormattedCitation":"(Fairbanks &amp; Dobson, 2007)","previouslyFormattedCitation":"(Fairbanks &amp; Dobson, 2007)"},"properties":{"noteIndex":0},"schema":"https://github.com/citation-style-language/schema/raw/master/csl-citation.json"}</w:instrText>
      </w:r>
      <w:r w:rsidR="00823DEF">
        <w:fldChar w:fldCharType="separate"/>
      </w:r>
      <w:r w:rsidR="00FB2B64" w:rsidRPr="00FB2B64">
        <w:rPr>
          <w:noProof/>
        </w:rPr>
        <w:t>(Fairbanks &amp; Dobson, 2007)</w:t>
      </w:r>
      <w:r w:rsidR="00823DEF">
        <w:fldChar w:fldCharType="end"/>
      </w:r>
      <w:r w:rsidR="00823DEF">
        <w:t xml:space="preserve">. </w:t>
      </w:r>
      <w:r w:rsidR="003F7552">
        <w:t>A</w:t>
      </w:r>
      <w:r w:rsidR="00823DEF">
        <w:t xml:space="preserve">larm signals (e.g., alarm calls) </w:t>
      </w:r>
      <w:r w:rsidR="003F7552">
        <w:t xml:space="preserve">not only inform </w:t>
      </w:r>
      <w:r w:rsidR="00823DEF">
        <w:t>group members of potential risk, the</w:t>
      </w:r>
      <w:r w:rsidR="003F7552">
        <w:t>se alarm signals</w:t>
      </w:r>
      <w:r w:rsidR="00823DEF">
        <w:t xml:space="preserve"> can also </w:t>
      </w:r>
      <w:r w:rsidR="00823DEF" w:rsidRPr="00AF2E91">
        <w:rPr>
          <w:rFonts w:eastAsia="Times New Roman" w:cs="Times New Roman"/>
        </w:rPr>
        <w:t>cause</w:t>
      </w:r>
      <w:r w:rsidR="00823DEF">
        <w:rPr>
          <w:rFonts w:eastAsia="Times New Roman" w:cs="Times New Roman"/>
        </w:rPr>
        <w:t xml:space="preserve"> chaos, discourage an attack, </w:t>
      </w:r>
      <w:r w:rsidR="00823DEF" w:rsidRPr="00AF2E91">
        <w:rPr>
          <w:shd w:val="clear" w:color="auto" w:fill="FFFFFF"/>
        </w:rPr>
        <w:t xml:space="preserve">attract other predators </w:t>
      </w:r>
      <w:r w:rsidR="00823DEF">
        <w:rPr>
          <w:shd w:val="clear" w:color="auto" w:fill="FFFFFF"/>
        </w:rPr>
        <w:t xml:space="preserve">to aid in evading predation </w:t>
      </w:r>
      <w:r w:rsidR="00823DEF">
        <w:fldChar w:fldCharType="begin" w:fldLock="1"/>
      </w:r>
      <w:r w:rsidR="007C7EDC">
        <w:instrText>ADDIN CSL_CITATION {"citationItems":[{"id":"ITEM-1","itemData":{"author":[{"dropping-particle":"","family":"Klump","given":"G.M.","non-dropping-particle":"","parse-names":false,"suffix":""},{"dropping-particle":"","family":"Shalter","given":"M D","non-dropping-particle":"","parse-names":false,"suffix":""}],"container-title":"Z Tierpsychol","id":"ITEM-1","issued":{"date-parts":[["1984"]]},"page":"189-226","title":"Acoustic behaviour of birds and mammals in the predator context I. Factors affecting the structure of alarm Signals II. The functional significance and evolution of alarm signals","type":"article-journal","volume":"66"},"uris":["http://www.mendeley.com/documents/?uuid=24e6f312-7d20-4867-a68f-e9bfe6b8916c"]}],"mendeley":{"formattedCitation":"(Klump &amp; Shalter, 1984)","plainTextFormattedCitation":"(Klump &amp; Shalter, 1984)","previouslyFormattedCitation":"(Klump &amp; Shalter, 1984)"},"properties":{"noteIndex":0},"schema":"https://github.com/citation-style-language/schema/raw/master/csl-citation.json"}</w:instrText>
      </w:r>
      <w:r w:rsidR="00823DEF">
        <w:fldChar w:fldCharType="separate"/>
      </w:r>
      <w:r w:rsidR="00FB2B64" w:rsidRPr="00FB2B64">
        <w:rPr>
          <w:noProof/>
        </w:rPr>
        <w:t>(Klump &amp; Shalter, 1984)</w:t>
      </w:r>
      <w:r w:rsidR="00823DEF">
        <w:fldChar w:fldCharType="end"/>
      </w:r>
      <w:r w:rsidR="00823DEF">
        <w:rPr>
          <w:shd w:val="clear" w:color="auto" w:fill="FFFFFF"/>
        </w:rPr>
        <w:t xml:space="preserve">, or reduce the patch quality for the predator </w:t>
      </w:r>
      <w:r w:rsidR="00BD2BFC">
        <w:rPr>
          <w:shd w:val="clear" w:color="auto" w:fill="FFFFFF"/>
        </w:rPr>
        <w:t>as</w:t>
      </w:r>
      <w:r w:rsidR="00823DEF">
        <w:rPr>
          <w:shd w:val="clear" w:color="auto" w:fill="FFFFFF"/>
        </w:rPr>
        <w:t xml:space="preserve"> all group members are aware of the predator</w:t>
      </w:r>
      <w:r w:rsidR="00823DEF">
        <w:t xml:space="preserve"> </w:t>
      </w:r>
      <w:r w:rsidR="00823DEF">
        <w:fldChar w:fldCharType="begin" w:fldLock="1"/>
      </w:r>
      <w:r w:rsidR="00057220">
        <w:instrText>ADDIN CSL_CITATION {"citationItems":[{"id":"ITEM-1","itemData":{"author":[{"dropping-particle":"","family":"Blumstein","given":"Daniel T.","non-dropping-particle":"","parse-names":false,"suffix":""}],"chapter-number":"27","container-title":"Rodent societies: An ecological &amp; evolutionary perspective","editor":[{"dropping-particle":"","family":"Wolff","given":"Jerry O.","non-dropping-particle":"","parse-names":false,"suffix":""},{"dropping-particle":"","family":"Sherman","given":"Paul W.","non-dropping-particle":"","parse-names":false,"suffix":""}],"id":"ITEM-1","issue":"Marler 1955","issued":{"date-parts":[["2007"]]},"page":"317-327","publisher":"The university of Chicago Press","publisher-place":"Chicago","title":"The evolution of alarm communication in rodents: Structure, function, and the puzzle of apparently altruistic calling","type":"chapter"},"uris":["http://www.mendeley.com/documents/?uuid=094c7607-81da-4122-8094-4c3844a52c9b"]}],"mendeley":{"formattedCitation":"(Blumstein, 2007)","plainTextFormattedCitation":"(Blumstein, 2007)","previouslyFormattedCitation":"(Blumstein, 2007)"},"properties":{"noteIndex":0},"schema":"https://github.com/citation-style-language/schema/raw/master/csl-citation.json"}</w:instrText>
      </w:r>
      <w:r w:rsidR="00823DEF">
        <w:fldChar w:fldCharType="separate"/>
      </w:r>
      <w:r w:rsidR="00FB2B64" w:rsidRPr="00FB2B64">
        <w:rPr>
          <w:noProof/>
        </w:rPr>
        <w:t>(Blumstein, 2007)</w:t>
      </w:r>
      <w:r w:rsidR="00823DEF">
        <w:fldChar w:fldCharType="end"/>
      </w:r>
      <w:r w:rsidR="00823DEF">
        <w:t>.</w:t>
      </w:r>
      <w:r w:rsidR="00FC323C">
        <w:t xml:space="preserve"> </w:t>
      </w:r>
      <w:r w:rsidR="00C87D7A">
        <w:t xml:space="preserve">Different predators can affect the behaviour of bird and mammalian prey species differently, </w:t>
      </w:r>
      <w:r w:rsidR="000039D4">
        <w:t xml:space="preserve">therefore alarm calls can also be informative about the predator type, e.g., aerial or terrestrial </w:t>
      </w:r>
      <w:r w:rsidR="000039D4">
        <w:fldChar w:fldCharType="begin" w:fldLock="1"/>
      </w:r>
      <w:r w:rsidR="000039D4">
        <w:instrText>ADDIN CSL_CITATION {"citationItems":[{"id":"ITEM-1","itemData":{"DOI":"10.1093/beheco/aru151","author":[{"dropping-particle":"","family":"Ducheminsky","given":"Nicholas","non-dropping-particle":"","parse-names":false,"suffix":""},{"dropping-particle":"","family":"Henzi","given":"S Peter","non-dropping-particle":"","parse-names":false,"suffix":""},{"dropping-particle":"","family":"Barrett","given":"Louise","non-dropping-particle":"","parse-names":false,"suffix":""}],"container-title":"Behavioral Ecology","id":"ITEM-1","issued":{"date-parts":[["2014"]]},"page":"1474-1484","title":"Responses of vervet monkeys in large troops to terrestrial and aerial predator alarm calls","type":"article-journal","volume":"25"},"uris":["http://www.mendeley.com/documents/?uuid=127b1b61-cf6f-47a7-a7ca-a4fe52c893c4"]},{"id":"ITEM-2","itemData":{"ISSN":"0179-1613","author":[{"dropping-particle":"","family":"Macedonia","given":"J M","non-dropping-particle":"","parse-names":false,"suffix":""}],"container-title":"Ethology","id":"ITEM-2","issue":"3","issued":{"date-parts":[["1990"]]},"page":"177-190","title":"What is communicated in the antipredator calls of lemurs: Evidence from playback experiments with ringtailed and ruffed lemurs","type":"article-journal","volume":"86"},"uris":["http://www.mendeley.com/documents/?uuid=4b538743-d5c5-4128-9f46-68b16ab40e54"]},{"id":"ITEM-3","itemData":{"DOI":"10.1093/beheco/arq086","author":[{"dropping-particle":"","family":"Courter","given":"Jason R","non-dropping-particle":"","parse-names":false,"suffix":""},{"dropping-particle":"","family":"Ritchison","given":"Gary","non-dropping-particle":"","parse-names":false,"suffix":""}],"container-title":"Behavioral Ecology","id":"ITEM-3","issued":{"date-parts":[["2010"]]},"page":"936-942","title":"Alarm calls of tufted titmice convey information about predator size and threat","type":"article-journal","volume":"21"},"uris":["http://www.mendeley.com/documents/?uuid=b6a3a9ab-9560-4699-b1a3-f1cdce55bd5f"]},{"id":"ITEM-4","itemData":{"author":[{"dropping-particle":"","family":"Macedonia","given":"J.M.","non-dropping-particle":"","parse-names":false,"suffix":""},{"dropping-particle":"","family":"Evans","given":"C.S.","non-dropping-particle":"","parse-names":false,"suffix":""}],"container-title":"Ethology","id":"ITEM-4","issued":{"date-parts":[["1993"]]},"page":"177-197","title":"Variation among mammalian alarm call systems and the problem of meaning in animal signals","type":"article-journal","volume":"93"},"uris":["http://www.mendeley.com/documents/?uuid=6209b047-abe7-4c10-9ee1-a2d371c8f258"]}],"mendeley":{"formattedCitation":"(Courter &amp; Ritchison, 2010; Ducheminsky, Henzi, &amp; Barrett, 2014; Macedonia, 1990; Macedonia &amp; Evans, 1993)","plainTextFormattedCitation":"(Courter &amp; Ritchison, 2010; Ducheminsky, Henzi, &amp; Barrett, 2014; Macedonia, 1990; Macedonia &amp; Evans, 1993)","previouslyFormattedCitation":"(Courter &amp; Ritchison, 2010; Ducheminsky, Henzi, &amp; Barrett, 2014; Macedonia, 1990; Macedonia &amp; Evans, 1993)"},"properties":{"noteIndex":0},"schema":"https://github.com/citation-style-language/schema/raw/master/csl-citation.json"}</w:instrText>
      </w:r>
      <w:r w:rsidR="000039D4">
        <w:fldChar w:fldCharType="separate"/>
      </w:r>
      <w:r w:rsidR="000039D4" w:rsidRPr="002456A0">
        <w:rPr>
          <w:noProof/>
        </w:rPr>
        <w:t>(Courter &amp; Ritchison, 2010; Ducheminsky, Henzi, &amp; Barrett, 2014; Macedonia, 1990; Macedonia &amp; Evans, 1993)</w:t>
      </w:r>
      <w:r w:rsidR="000039D4">
        <w:fldChar w:fldCharType="end"/>
      </w:r>
      <w:r w:rsidR="000039D4">
        <w:t>.</w:t>
      </w:r>
      <w:r w:rsidR="007F26EC">
        <w:t xml:space="preserve"> Other information about the threat can be transferred through, for example, differences in call bout duration or the number of callers</w:t>
      </w:r>
      <w:r w:rsidR="00276ABE">
        <w:t xml:space="preserve"> </w:t>
      </w:r>
      <w:r w:rsidR="00276ABE">
        <w:fldChar w:fldCharType="begin" w:fldLock="1"/>
      </w:r>
      <w:r w:rsidR="00057220">
        <w:instrText>ADDIN CSL_CITATION {"citationItems":[{"id":"ITEM-1","itemData":{"author":[{"dropping-particle":"","family":"Blumstein","given":"Daniel T.","non-dropping-particle":"","parse-names":false,"suffix":""}],"chapter-number":"27","container-title":"Rodent societies: An ecological &amp; evolutionary perspective","editor":[{"dropping-particle":"","family":"Wolff","given":"Jerry O.","non-dropping-particle":"","parse-names":false,"suffix":""},{"dropping-particle":"","family":"Sherman","given":"Paul W.","non-dropping-particle":"","parse-names":false,"suffix":""}],"id":"ITEM-1","issue":"Marler 1955","issued":{"date-parts":[["2007"]]},"page":"317-327","publisher":"The university of Chicago Press","publisher-place":"Chicago","title":"The evolution of alarm communication in rodents: Structure, function, and the puzzle of apparently altruistic calling","type":"chapter"},"uris":["http://www.mendeley.com/documents/?uuid=094c7607-81da-4122-8094-4c3844a52c9b"]},{"id":"ITEM-2","itemData":{"DOI":"10.1098/rspb.2004.2808","ISSN":"0962-8452","PMID":"15315902","abstract":"Unlike individually distinctive contact calls, or calls that aid in the recognition of young by their parents, the function or functions of individually distinctive alarm calls is less obvious. We conducted three experiments to study the importance of caller reliability in explaining individual-discriminative abilities in the alarm calls of yellow-bellied marmots (Marmota flaviventris). In our first two experiments, we found that calls from less reliable individuals and calls from individuals calling from a greater simulated distance were more evocative than calls from reliable individuals or nearby callers. These results are consistent with the hypothesis that marmots assess the reliability of callers to help them decide how much time to allocate to independent vigilance. The third experiment demonstrated that the number of callers influenced responsiveness, probably because situations where more than a single caller calls, are those when there is certain to be a predator present. Taken together, the results from all three experiments demonstrate the importance of reliability in explaining individual discrimination abilities in yellow-bellied marmots. Marmots' assessment of reliability acts by influencing the time allocated to individual assessment and thus the time not allocated to other activities.","author":[{"dropping-particle":"","family":"Blumstein","given":"Daniel T.","non-dropping-particle":"","parse-names":false,"suffix":""},{"dropping-particle":"","family":"Verneyre","given":"Laure","non-dropping-particle":"","parse-names":false,"suffix":""},{"dropping-particle":"","family":"Daniel","given":"Janice C","non-dropping-particle":"","parse-names":false,"suffix":""}],"container-title":"Proceedings. Biological sciences / The Royal Society","id":"ITEM-2","issue":"1550","issued":{"date-parts":[["2004","9","7"]]},"page":"1851-7","title":"Reliability and the adaptive utility of discrimination among alarm callers.","type":"article-journal","volume":"271"},"uris":["http://www.mendeley.com/documents/?uuid=9ccf4e2f-a196-4177-b72e-f6f6d1a3bb62"]},{"id":"ITEM-3","itemData":{"DOI":"10.1111/j.1439-0310.2003.00955.x","ISSN":"01791613","abstract":"The repetition of elements within an alarm signal is commonly thought to ensure that receivers have detected that signal, or to promote residual vigilance in light of the dangerous circumstances prompting the signal's initial production (tonic communication). Beyond alerting others and maintaining that state of alertness, however, repetitive signal elements may be parsed so as to encode information about the nature of potential threats. To determine how call length and variation in intersyllable latency might prove informative in the repetitive alarm vocalizations of Richardson's ground squirrels (Spermophilus richardsonii), we conducted a field-based playback experiment quantifying antipredator responses to manipulated alarm calls. Free-living juvenile squirrels were exposed to playbacks of 12 syllable (long) and six syllable (short) calls with a constant (monotonous) or changing (variable) call rate. The length of calls had no significant effect on the behaviour of call recipients during and immediately after call production; however, call recipients showed greater vigilance after the playback of monotonous calls than after variable calls. The absence of a call length effect is not consistent with tonic communication in the strict sense; rather, enhanced responsiveness to monotonous relative to variable calls suggests that multiple syllables, and the emergent patterns of intersyllable latency, communicate information about response urgency or the distance to a predatory threat. Only monotonous calls convey those aspects with any certainty on the part of the signaller and hence are selectively attended to by receivers.","author":[{"dropping-particle":"","family":"Sloan","given":"Jennifer L.","non-dropping-particle":"","parse-names":false,"suffix":""},{"dropping-particle":"","family":"Hare","given":"James F.","non-dropping-particle":"","parse-names":false,"suffix":""}],"container-title":"Ethology","id":"ITEM-3","issue":"2","issued":{"date-parts":[["2004"]]},"page":"147-156","title":"Monotony and the information content of Richardson's ground squirrel (&lt;i&gt;Spermophilus richardsonii&lt;/i&gt;) repeated calls: Tonic communication or signal certainty?","type":"article-journal","volume":"110"},"uris":["http://www.mendeley.com/documents/?uuid=9d592a38-59c3-400f-bf6a-2fb62a204693"]},{"id":"ITEM-4","itemData":{"DOI":"10.1111/j.1439-0310.2008.01479.x","ISBN":"0179-1613","ISSN":"01791613","abstract":"Richardson's ground squirrels (RGS) produce alarm calls that warn conspecifics of potential predators. We presented free-living adult and juvenile RGS with playbacks of repetitive alarm calls from one vs. two juvenile callers broadcast sequentially through two spatially separated loudspeakers. Adult RGS spent a greater proportion of time vigilant in response to two vs. one calling squirrel, whereas juvenile RGS did not respond differentially to two vs. one caller. Apparently then, the relative inexperience of juvenile RGS with alarm calls and the context in which such calls are emitted precludes their enumeration of alarm callers. Taken together with our earlier finding that adult but not juvenile RGS ignore information regarding response urgency encoded in the rate of juvenile produced repetitive calls, our present results suggest a developmental shift in response-urgency perception. Adult RGS selectively extract information regarding response urgency via discrimination of the number of callers, ignoring less reliable information encoded in the rate of repetitive calls issued by inexperienced juvenile signallers.","author":[{"dropping-particle":"","family":"Sloan","given":"Jennifer L.","non-dropping-particle":"","parse-names":false,"suffix":""},{"dropping-particle":"","family":"Hare","given":"James F.","non-dropping-particle":"","parse-names":false,"suffix":""}],"container-title":"Ethology","id":"ITEM-4","issue":"5","issued":{"date-parts":[["2008"]]},"page":"436-443","title":"The more the scarier: Adult Richardson's ground squirrels (&lt;i&gt;Spermophilus richardsonii&lt;/i&gt;) assess response urgency via the number of alarm signallers","type":"article-journal","volume":"114"},"uris":["http://www.mendeley.com/documents/?uuid=b1c16196-ca65-44b4-904d-2f9f4e665127"]}],"mendeley":{"formattedCitation":"(Blumstein, 2007; Blumstein, Verneyre, &amp; Daniel, 2004; Sloan &amp; Hare, 2004, 2008)","plainTextFormattedCitation":"(Blumstein, 2007; Blumstein, Verneyre, &amp; Daniel, 2004; Sloan &amp; Hare, 2004, 2008)","previouslyFormattedCitation":"(Blumstein, 2007; Blumstein, Verneyre, &amp; Daniel, 2004; Sloan &amp; Hare, 2004, 2008)"},"properties":{"noteIndex":0},"schema":"https://github.com/citation-style-language/schema/raw/master/csl-citation.json"}</w:instrText>
      </w:r>
      <w:r w:rsidR="00276ABE">
        <w:fldChar w:fldCharType="separate"/>
      </w:r>
      <w:r w:rsidR="00276ABE" w:rsidRPr="00FB2B64">
        <w:rPr>
          <w:noProof/>
        </w:rPr>
        <w:t>(Blumstein, 2007; Blumstein, Verneyre, &amp; Daniel, 2004; Sloan &amp; Hare, 2004, 2008)</w:t>
      </w:r>
      <w:r w:rsidR="00276ABE">
        <w:fldChar w:fldCharType="end"/>
      </w:r>
      <w:r w:rsidR="00276ABE">
        <w:t>.</w:t>
      </w:r>
    </w:p>
    <w:p w14:paraId="0B5E9784" w14:textId="2AC040A5" w:rsidR="00DC31D5" w:rsidRDefault="008F01BB" w:rsidP="00204099">
      <w:pPr>
        <w:pStyle w:val="NoSpacing"/>
        <w:spacing w:line="480" w:lineRule="auto"/>
        <w:ind w:firstLine="720"/>
      </w:pPr>
      <w:r>
        <w:t xml:space="preserve">Even though it is difficult to </w:t>
      </w:r>
      <w:r w:rsidR="002B5207">
        <w:t>‘</w:t>
      </w:r>
      <w:r>
        <w:t>disentangle</w:t>
      </w:r>
      <w:r w:rsidR="002B5207">
        <w:t>’</w:t>
      </w:r>
      <w:r>
        <w:t xml:space="preserve"> the </w:t>
      </w:r>
      <w:r w:rsidR="004634DA">
        <w:t>detection and dilution</w:t>
      </w:r>
      <w:r>
        <w:t xml:space="preserve"> hypotheses,</w:t>
      </w:r>
      <w:r w:rsidR="00986FE2">
        <w:t xml:space="preserve"> since both hypotheses </w:t>
      </w:r>
      <w:r w:rsidR="002E2A20">
        <w:t xml:space="preserve">are </w:t>
      </w:r>
      <w:r w:rsidR="00986FE2">
        <w:t xml:space="preserve">not mutually exclusive and could both explain grouping </w:t>
      </w:r>
      <w:r w:rsidR="00986FE2">
        <w:fldChar w:fldCharType="begin" w:fldLock="1"/>
      </w:r>
      <w:r w:rsidR="007C7EDC">
        <w:instrText>ADDIN CSL_CITATION {"citationItems":[{"id":"ITEM-1","itemData":{"DOI":"10.1016/j.beproc.2017.01.014","ISSN":"18728308","abstract":"Foraging in groups is widespread in animals. In birds and mammals, reduced predation risk represents one of the main benefits of group foraging. In a group, more eyes and ears can monitor the surroundings for signs of danger, and the presence of alternative targets for a predator dilutes individual risk. Enhanced detection and risk dilution provide extra safety; this allows foragers to reduce their own investment in antipredator vigilance in a group at no increased risk to themselves. The prediction that vigilance decreases with group size has been tested in hundreds of studies, but disentangling the relative contribution of detection and dilution to this decline has proved difficult. Using models, I determined how vigilance is expected to decline with group size assuming that detection or dilution acted alone or in combination. I tested the fit of these predictions using 53 published relationships between vigilance and group size in birds and mammals. I found statistical evidence in support of detection or dilution acting alone or in combination in 24 of these cases with no obvious differences between birds and mammals. Detection and dilution acted together more often in species that form larger groups. This more quantitative approach holds much promise to understand the contribution of various mechanisms to the group-size effect on vigilance in group-foraging species.","author":[{"dropping-particle":"","family":"Beauchamp","given":"Guy","non-dropping-particle":"","parse-names":false,"suffix":""}],"container-title":"Behavioural Processes","id":"ITEM-1","issued":{"date-parts":[["2017"]]},"page":"59-63","publisher":"Elsevier B.V.","title":"Disentangling the various mechanisms that account for the decline in vigilance with group size","type":"article-journal","volume":"136"},"uris":["http://www.mendeley.com/documents/?uuid=895d413e-d702-4a63-a3b6-e9e01ee8185b"]}],"mendeley":{"formattedCitation":"(Beauchamp, 2017)","plainTextFormattedCitation":"(Beauchamp, 2017)","previouslyFormattedCitation":"(Beauchamp, 2017)"},"properties":{"noteIndex":0},"schema":"https://github.com/citation-style-language/schema/raw/master/csl-citation.json"}</w:instrText>
      </w:r>
      <w:r w:rsidR="00986FE2">
        <w:fldChar w:fldCharType="separate"/>
      </w:r>
      <w:r w:rsidR="00986FE2" w:rsidRPr="00FB2B64">
        <w:rPr>
          <w:noProof/>
        </w:rPr>
        <w:t>(Beauchamp, 2017)</w:t>
      </w:r>
      <w:r w:rsidR="00986FE2">
        <w:fldChar w:fldCharType="end"/>
      </w:r>
      <w:r w:rsidR="00986FE2">
        <w:t>, o</w:t>
      </w:r>
      <w:r>
        <w:t>verall group vigilance is not predicted to increase with larger groups</w:t>
      </w:r>
      <w:r w:rsidR="006963D5">
        <w:t>,</w:t>
      </w:r>
      <w:r>
        <w:t xml:space="preserve"> nor do alarm </w:t>
      </w:r>
      <w:r w:rsidR="00860779">
        <w:t xml:space="preserve">calls </w:t>
      </w:r>
      <w:r>
        <w:t xml:space="preserve">play a role in the dilution effect hypothesis </w:t>
      </w:r>
      <w:r>
        <w:fldChar w:fldCharType="begin" w:fldLock="1"/>
      </w:r>
      <w:r w:rsidR="007C7EDC">
        <w:instrText>ADDIN CSL_CITATION {"citationItems":[{"id":"ITEM-1","itemData":{"DOI":"10.1016/0022-5193(71)90189-5","ISSN":"00225193","author":[{"dropping-particle":"","family":"Hamilton","given":"W.D.","non-dropping-particle":"","parse-names":false,"suffix":""}],"container-title":"Journal of Theoretical Biology","id":"ITEM-1","issue":"2","issued":{"date-parts":[["1971","5"]]},"page":"295-311","title":"Geometry for the selfish herd","type":"article-journal","volume":"31"},"uris":["http://www.mendeley.com/documents/?uuid=295b5990-2132-4d2f-852f-b77d5b1d3a6f"]},{"id":"ITEM-2","itemData":{"DOI":"10.1016/0003-3472(95)80149-9","ISSN":"00033472","author":[{"dropping-particle":"","family":"Lima","given":"Steven L.","non-dropping-particle":"","parse-names":false,"suffix":""}],"container-title":"Animal Behaviour","id":"ITEM-2","issue":"1","issued":{"date-parts":[["1995","1"]]},"page":"11-20","title":"Back to the basics of anti-predatory vigilance: the group-size effect","type":"article-journal","volume":"49"},"uris":["http://www.mendeley.com/documents/?uuid=2baa96b9-6db3-4f67-8ae0-7149d0b4230f"]}],"mendeley":{"formattedCitation":"(Hamilton, 1971; Lima, 1995)","plainTextFormattedCitation":"(Hamilton, 1971; Lima, 1995)","previouslyFormattedCitation":"(Hamilton, 1971; Lima, 1995)"},"properties":{"noteIndex":0},"schema":"https://github.com/citation-style-language/schema/raw/master/csl-citation.json"}</w:instrText>
      </w:r>
      <w:r>
        <w:fldChar w:fldCharType="separate"/>
      </w:r>
      <w:r w:rsidR="00FB2B64" w:rsidRPr="00FB2B64">
        <w:rPr>
          <w:noProof/>
        </w:rPr>
        <w:t>(Hamilton, 1971; Lima, 1995)</w:t>
      </w:r>
      <w:r>
        <w:fldChar w:fldCharType="end"/>
      </w:r>
      <w:r>
        <w:t xml:space="preserve">. </w:t>
      </w:r>
      <w:r w:rsidR="00A63715">
        <w:t xml:space="preserve">Our research tests the </w:t>
      </w:r>
      <w:r w:rsidR="003931F9">
        <w:t xml:space="preserve">predictions </w:t>
      </w:r>
      <w:r w:rsidR="00A63715">
        <w:t>of the collective detection and dilution</w:t>
      </w:r>
      <w:r>
        <w:t xml:space="preserve"> hypotheses</w:t>
      </w:r>
      <w:r w:rsidR="00C87D7A">
        <w:t xml:space="preserve"> for low- and high-quality vigilance using quantile regression</w:t>
      </w:r>
      <w:r>
        <w:t xml:space="preserve"> </w:t>
      </w:r>
      <w:r w:rsidR="007358AC">
        <w:t>in the Barbary ground squirrel</w:t>
      </w:r>
      <w:r w:rsidR="00EF312C">
        <w:t>, using the invasive</w:t>
      </w:r>
      <w:r w:rsidR="007C4335">
        <w:t xml:space="preserve"> island</w:t>
      </w:r>
      <w:r w:rsidR="00EF312C">
        <w:t xml:space="preserve"> population o</w:t>
      </w:r>
      <w:r w:rsidR="00A63715">
        <w:t>n</w:t>
      </w:r>
      <w:r w:rsidR="00EF312C">
        <w:t xml:space="preserve"> Fuerteventura</w:t>
      </w:r>
      <w:r w:rsidR="007C4335">
        <w:t>, Spain</w:t>
      </w:r>
      <w:r w:rsidR="00B23DB1">
        <w:t>.</w:t>
      </w:r>
      <w:r w:rsidR="007D3ABD">
        <w:t xml:space="preserve"> </w:t>
      </w:r>
      <w:r w:rsidR="007D3ABD">
        <w:rPr>
          <w:color w:val="222222"/>
        </w:rPr>
        <w:t>T</w:t>
      </w:r>
      <w:r w:rsidR="007D3ABD">
        <w:rPr>
          <w:rFonts w:cs="Times New Roman"/>
        </w:rPr>
        <w:t xml:space="preserve">he small amount of information published on their social organisation </w:t>
      </w:r>
      <w:r w:rsidR="00860779">
        <w:rPr>
          <w:rFonts w:cs="Times New Roman"/>
        </w:rPr>
        <w:t xml:space="preserve">indicates </w:t>
      </w:r>
      <w:r w:rsidR="007D3ABD">
        <w:rPr>
          <w:rFonts w:cs="Times New Roman"/>
        </w:rPr>
        <w:t xml:space="preserve">that group composition varies </w:t>
      </w:r>
      <w:r w:rsidR="00860779">
        <w:rPr>
          <w:rFonts w:cs="Times New Roman"/>
        </w:rPr>
        <w:t xml:space="preserve">throughout the </w:t>
      </w:r>
      <w:r w:rsidR="007D3ABD">
        <w:rPr>
          <w:rFonts w:cs="Times New Roman"/>
        </w:rPr>
        <w:t xml:space="preserve">year </w:t>
      </w:r>
      <w:r w:rsidR="007D3ABD">
        <w:rPr>
          <w:rFonts w:cs="Times New Roman"/>
        </w:rPr>
        <w:fldChar w:fldCharType="begin" w:fldLock="1"/>
      </w:r>
      <w:r w:rsidR="007C7EDC">
        <w:rPr>
          <w:rFonts w:cs="Times New Roman"/>
        </w:rPr>
        <w:instrText>ADDIN CSL_CITATION {"citationItems":[{"id":"ITEM-1","itemData":{"ISBN":"2-7099-1470-0","author":[{"dropping-particle":"","family":"Gouat","given":"Patrick","non-dropping-particle":"","parse-names":false,"suffix":""},{"dropping-particle":"","family":"Yahyaoui","given":"Issam-Eddine","non-dropping-particle":"","parse-names":false,"suffix":""}],"container-title":"African Small Mammals","editor":[{"dropping-particle":"","family":"Denys","given":"C.","non-dropping-particle":"","parse-names":false,"suffix":""},{"dropping-particle":"","family":"Granjon","given":"L.","non-dropping-particle":"","parse-names":false,"suffix":""},{"dropping-particle":"","family":"Poulet","given":"A.","non-dropping-particle":"","parse-names":false,"suffix":""}],"id":"ITEM-1","issued":{"date-parts":[["2001"]]},"page":"343-352","title":"Reproductive period and group structure variety in the Barbary ground squirrel Atlantoxerus getulus: Preliminary results","type":"chapter"},"uris":["http://www.mendeley.com/documents/?uuid=a52cc5ee-0853-4a13-b47d-3d6198ce785b"]}],"mendeley":{"formattedCitation":"(Gouat &amp; Yahyaoui, 2001)","plainTextFormattedCitation":"(Gouat &amp; Yahyaoui, 2001)","previouslyFormattedCitation":"(Gouat &amp; Yahyaoui, 2001)"},"properties":{"noteIndex":0},"schema":"https://github.com/citation-style-language/schema/raw/master/csl-citation.json"}</w:instrText>
      </w:r>
      <w:r w:rsidR="007D3ABD">
        <w:rPr>
          <w:rFonts w:cs="Times New Roman"/>
        </w:rPr>
        <w:fldChar w:fldCharType="separate"/>
      </w:r>
      <w:r w:rsidR="00FB2B64" w:rsidRPr="00FB2B64">
        <w:rPr>
          <w:rFonts w:cs="Times New Roman"/>
          <w:noProof/>
        </w:rPr>
        <w:t>(Gouat &amp; Yahyaoui, 2001)</w:t>
      </w:r>
      <w:r w:rsidR="007D3ABD">
        <w:rPr>
          <w:rFonts w:cs="Times New Roman"/>
        </w:rPr>
        <w:fldChar w:fldCharType="end"/>
      </w:r>
      <w:r w:rsidR="007D3ABD">
        <w:rPr>
          <w:rFonts w:cs="Times New Roman"/>
        </w:rPr>
        <w:t xml:space="preserve">, but </w:t>
      </w:r>
      <w:r w:rsidR="005E2AAA">
        <w:rPr>
          <w:rFonts w:cs="Times New Roman"/>
        </w:rPr>
        <w:t xml:space="preserve">that </w:t>
      </w:r>
      <w:r w:rsidR="007D3ABD">
        <w:rPr>
          <w:rFonts w:cs="Times New Roman"/>
        </w:rPr>
        <w:t xml:space="preserve">they mainly live gregariously </w:t>
      </w:r>
      <w:r w:rsidR="007D3ABD">
        <w:rPr>
          <w:rFonts w:cs="Times New Roman"/>
        </w:rPr>
        <w:fldChar w:fldCharType="begin" w:fldLock="1"/>
      </w:r>
      <w:r w:rsidR="007C7EDC">
        <w:rPr>
          <w:rFonts w:cs="Times New Roman"/>
        </w:rPr>
        <w:instrText>ADDIN CSL_CITATION {"citationItems":[{"id":"ITEM-1","itemData":{"author":[{"dropping-particle":"","family":"Machado","given":"Antonio","non-dropping-particle":"","parse-names":false,"suffix":""},{"dropping-particle":"","family":"Domínguez","given":"Fernando.","non-dropping-particle":"","parse-names":false,"suffix":""}],"id":"ITEM-1","issued":{"date-parts":[["1982"]]},"note":"La ardilla moruna es gregaria, viviendo en colonias aunque sin estructura social.","number-of-pages":"1-248","publisher":"Santa Cruz de Tenerife, Spain: Ministerio de Agricultura, Pesca y Alimentación. Instituto Nacional para la Conservación de la Naturaleza.","title":"Estudio sobre la presencia de la Ardilla Moruna (&lt;i&gt;Atlantoxerus getulus L.&lt;/i&gt;) en la isla de Fuerteventura; su introducción, su biología y su impacto en el medio. Santa","type":"thesis"},"uris":["http://www.mendeley.com/documents/?uuid=16e5ce68-e6af-4e11-9082-d14dbcd6bbdb"]}],"mendeley":{"formattedCitation":"(Machado &amp; Domínguez, 1982)","plainTextFormattedCitation":"(Machado &amp; Domínguez, 1982)","previouslyFormattedCitation":"(Machado &amp; Domínguez, 1982)"},"properties":{"noteIndex":0},"schema":"https://github.com/citation-style-language/schema/raw/master/csl-citation.json"}</w:instrText>
      </w:r>
      <w:r w:rsidR="007D3ABD">
        <w:rPr>
          <w:rFonts w:cs="Times New Roman"/>
        </w:rPr>
        <w:fldChar w:fldCharType="separate"/>
      </w:r>
      <w:r w:rsidR="00FB2B64" w:rsidRPr="00FB2B64">
        <w:rPr>
          <w:rFonts w:cs="Times New Roman"/>
          <w:noProof/>
        </w:rPr>
        <w:t>(Machado &amp; Domínguez, 1982)</w:t>
      </w:r>
      <w:r w:rsidR="007D3ABD">
        <w:rPr>
          <w:rFonts w:cs="Times New Roman"/>
        </w:rPr>
        <w:fldChar w:fldCharType="end"/>
      </w:r>
      <w:r w:rsidR="007D3ABD">
        <w:rPr>
          <w:rFonts w:cs="Times New Roman"/>
        </w:rPr>
        <w:t xml:space="preserve">. </w:t>
      </w:r>
      <w:r>
        <w:t>Th</w:t>
      </w:r>
      <w:r w:rsidR="007358AC">
        <w:t>is</w:t>
      </w:r>
      <w:r>
        <w:t xml:space="preserve"> species </w:t>
      </w:r>
      <w:r w:rsidR="007E4BE2">
        <w:t xml:space="preserve">is diurnal </w:t>
      </w:r>
      <w:r w:rsidR="007E4BE2">
        <w:rPr>
          <w:rFonts w:cs="Times New Roman"/>
        </w:rPr>
        <w:fldChar w:fldCharType="begin" w:fldLock="1"/>
      </w:r>
      <w:r w:rsidR="007C7EDC">
        <w:rPr>
          <w:rFonts w:cs="Times New Roman"/>
        </w:rPr>
        <w:instrText>ADDIN CSL_CITATION {"citationItems":[{"id":"ITEM-1","itemData":{"author":[{"dropping-particle":"","family":"Machado","given":"Antonio","non-dropping-particle":"","parse-names":false,"suffix":""},{"dropping-particle":"","family":"Domínguez","given":"Fernando.","non-dropping-particle":"","parse-names":false,"suffix":""}],"id":"ITEM-1","issued":{"date-parts":[["1982"]]},"note":"La ardilla moruna es gregaria, viviendo en colonias aunque sin estructura social.","number-of-pages":"1-248","publisher":"Santa Cruz de Tenerife, Spain: Ministerio de Agricultura, Pesca y Alimentación. Instituto Nacional para la Conservación de la Naturaleza.","title":"Estudio sobre la presencia de la Ardilla Moruna (&lt;i&gt;Atlantoxerus getulus L.&lt;/i&gt;) en la isla de Fuerteventura; su introducción, su biología y su impacto en el medio. Santa","type":"thesis"},"uris":["http://www.mendeley.com/documents/?uuid=16e5ce68-e6af-4e11-9082-d14dbcd6bbdb"]}],"mendeley":{"formattedCitation":"(Machado &amp; Domínguez, 1982)","plainTextFormattedCitation":"(Machado &amp; Domínguez, 1982)","previouslyFormattedCitation":"(Machado &amp; Domínguez, 1982)"},"properties":{"noteIndex":0},"schema":"https://github.com/citation-style-language/schema/raw/master/csl-citation.json"}</w:instrText>
      </w:r>
      <w:r w:rsidR="007E4BE2">
        <w:rPr>
          <w:rFonts w:cs="Times New Roman"/>
        </w:rPr>
        <w:fldChar w:fldCharType="separate"/>
      </w:r>
      <w:r w:rsidR="007E4BE2" w:rsidRPr="00FB2B64">
        <w:rPr>
          <w:rFonts w:cs="Times New Roman"/>
          <w:noProof/>
        </w:rPr>
        <w:t>(Machado &amp; Domínguez, 1982)</w:t>
      </w:r>
      <w:r w:rsidR="007E4BE2">
        <w:rPr>
          <w:rFonts w:cs="Times New Roman"/>
        </w:rPr>
        <w:fldChar w:fldCharType="end"/>
      </w:r>
      <w:r w:rsidR="00EF6BFF">
        <w:rPr>
          <w:rFonts w:cs="Times New Roman"/>
        </w:rPr>
        <w:t>, therefore</w:t>
      </w:r>
      <w:r w:rsidR="007E4BE2">
        <w:rPr>
          <w:rFonts w:cs="Times New Roman"/>
        </w:rPr>
        <w:t xml:space="preserve"> </w:t>
      </w:r>
      <w:r w:rsidR="007E4BE2">
        <w:t xml:space="preserve">vigilance is one of </w:t>
      </w:r>
      <w:r w:rsidR="007E4BE2">
        <w:lastRenderedPageBreak/>
        <w:t xml:space="preserve">their main means to detect predators </w:t>
      </w:r>
      <w:r w:rsidR="007E4BE2">
        <w:fldChar w:fldCharType="begin" w:fldLock="1"/>
      </w:r>
      <w:r w:rsidR="007C7EDC">
        <w:instrText>ADDIN CSL_CITATION {"citationItems":[{"id":"ITEM-1","itemData":{"author":[{"dropping-particle":"","family":"Ylönen","given":"Hannu","non-dropping-particle":"","parse-names":false,"suffix":""},{"dropping-particle":"","family":"Brown","given":"Joel S.","non-dropping-particle":"","parse-names":false,"suffix":""}],"chapter-number":"28","container-title":"Rodent societies: An ecological &amp; evolutionary perspective","editor":[{"dropping-particle":"","family":"Wolff","given":"Jerry O.","non-dropping-particle":"","parse-names":false,"suffix":""},{"dropping-particle":"","family":"Sherman","given":"Paul W.","non-dropping-particle":"","parse-names":false,"suffix":""}],"id":"ITEM-1","issued":{"date-parts":[["2007"]]},"page":"328-341","publisher":"The university of Chicago Press","publisher-place":"Chicago","title":"Fear and the foraging, breeding and sociality of rodents","type":"chapter"},"uris":["http://www.mendeley.com/documents/?uuid=13d58a04-5b76-4af9-ba67-a81862138d77"]}],"mendeley":{"formattedCitation":"(Ylönen &amp; Brown, 2007)","plainTextFormattedCitation":"(Ylönen &amp; Brown, 2007)","previouslyFormattedCitation":"(Ylönen &amp; Brown, 2007)"},"properties":{"noteIndex":0},"schema":"https://github.com/citation-style-language/schema/raw/master/csl-citation.json"}</w:instrText>
      </w:r>
      <w:r w:rsidR="007E4BE2">
        <w:fldChar w:fldCharType="separate"/>
      </w:r>
      <w:r w:rsidR="007E4BE2" w:rsidRPr="00665CE8">
        <w:rPr>
          <w:noProof/>
        </w:rPr>
        <w:t>(Ylönen &amp; Brown, 2007)</w:t>
      </w:r>
      <w:r w:rsidR="007E4BE2">
        <w:fldChar w:fldCharType="end"/>
      </w:r>
      <w:r w:rsidR="007E4BE2">
        <w:t xml:space="preserve">. </w:t>
      </w:r>
      <w:r w:rsidR="00976C66">
        <w:t>In their invasive range, t</w:t>
      </w:r>
      <w:r w:rsidR="00070CD1">
        <w:t>he only terrestrial predator</w:t>
      </w:r>
      <w:r w:rsidR="00A63715">
        <w:t>s</w:t>
      </w:r>
      <w:r w:rsidR="00EF312C">
        <w:t xml:space="preserve"> </w:t>
      </w:r>
      <w:r w:rsidR="00070CD1">
        <w:t>are</w:t>
      </w:r>
      <w:r w:rsidR="005A4B04">
        <w:t xml:space="preserve"> domestic cats (</w:t>
      </w:r>
      <w:r w:rsidR="005A4B04">
        <w:rPr>
          <w:i/>
        </w:rPr>
        <w:t>Felis catus</w:t>
      </w:r>
      <w:r w:rsidR="005A4B04">
        <w:t xml:space="preserve">) </w:t>
      </w:r>
      <w:r w:rsidR="005A4B04">
        <w:fldChar w:fldCharType="begin" w:fldLock="1"/>
      </w:r>
      <w:r w:rsidR="007C7EDC">
        <w:instrText>ADDIN CSL_CITATION {"citationItems":[{"id":"ITEM-1","itemData":{"DOI":"10.1071/WR07108","ISBN":"10353712","ISSN":"10353712","abstract":"In this study, we present the first data on diet and impacts of feral cats on a semiarid island (Fuerteventura, Canary Islands). A total of 614 prey was identified in the 209 scats analysed. Introduced mammals, especially rabbits and mice, were the most consumed vertebrate prey and constituted more than 90% of biomass. Barbary ground squirrels, Algerian hedgehogs, and rats were preyed upon less even though they were abundant on the island. Invertebrates, mainly Orthoptera, Coleoptera, Hymenoptera and Odonata, were the second most important prey items (in terms of actual numbers) but they contributed only minimally with respect to biomass (&lt;1.1%). The presence of terrestrial molluscs in the diet was interesting because they are a rare prey in an insular context. Birds and reptiles occurred at a low frequency. A total of 677 seeds was counted, mainly belonging to Lycium intricatum (Solanaceae) and two unidentified plant species. Levin's niche breadth was narrow due to the high consumption of mammals. Morisita's index showed a similar trophic overlap in diet with respect to the other xeric habitats of the Canarian archipelago. Considering that more than 90% of biomass corresponded to introduced mammals, we conclude that feral cats are not having a large direct impact on the native prey species. (c) CSIRO 2008.","author":[{"dropping-particle":"","family":"Medina","given":"Félix M.","non-dropping-particle":"","parse-names":false,"suffix":""},{"dropping-particle":"","family":"López-Darias","given":"Marta","non-dropping-particle":"","parse-names":false,"suffix":""},{"dropping-particle":"","family":"Nogales","given":"Manuel","non-dropping-particle":"","parse-names":false,"suffix":""},{"dropping-particle":"","family":"García","given":"Rafael","non-dropping-particle":"","parse-names":false,"suffix":""}],"container-title":"Wildlife Research","id":"ITEM-1","issue":"2","issued":{"date-parts":[["2008"]]},"page":"162-169","title":"Food habits of feral cats (&lt;i&gt;Felis silvestris catus L.&lt;/i&gt;) in insular semiarid environments (Fuerteventura, Canary Islands)","type":"article-journal","volume":"35"},"uris":["http://www.mendeley.com/documents/?uuid=ad01b092-a975-4c76-99d2-87a04a082a6b"]}],"mendeley":{"formattedCitation":"(Medina, López-Darias, Nogales, &amp; García, 2008)","plainTextFormattedCitation":"(Medina, López-Darias, Nogales, &amp; García, 2008)","previouslyFormattedCitation":"(Medina, López-Darias, Nogales, &amp; García, 2008)"},"properties":{"noteIndex":0},"schema":"https://github.com/citation-style-language/schema/raw/master/csl-citation.json"}</w:instrText>
      </w:r>
      <w:r w:rsidR="005A4B04">
        <w:fldChar w:fldCharType="separate"/>
      </w:r>
      <w:r w:rsidR="00FB2B64" w:rsidRPr="00FB2B64">
        <w:rPr>
          <w:noProof/>
        </w:rPr>
        <w:t>(Medina, López-Darias, Nogales, &amp; García, 2008)</w:t>
      </w:r>
      <w:r w:rsidR="005A4B04">
        <w:fldChar w:fldCharType="end"/>
      </w:r>
      <w:r w:rsidR="00EF312C">
        <w:t>, while t</w:t>
      </w:r>
      <w:r w:rsidR="00070CD1">
        <w:t>he aerial predators are</w:t>
      </w:r>
      <w:r w:rsidR="005A4B04">
        <w:t xml:space="preserve"> the Eurasian buzzard (</w:t>
      </w:r>
      <w:r w:rsidR="005A4B04">
        <w:rPr>
          <w:i/>
          <w:iCs/>
        </w:rPr>
        <w:t>Buteo buteo insularum</w:t>
      </w:r>
      <w:r w:rsidR="005A4B04">
        <w:t>), the common raven (</w:t>
      </w:r>
      <w:r w:rsidR="005A4B04">
        <w:rPr>
          <w:i/>
        </w:rPr>
        <w:t>Corvus corax canariensis</w:t>
      </w:r>
      <w:r w:rsidR="005A4B04">
        <w:t>), and the common kestrel (</w:t>
      </w:r>
      <w:r w:rsidR="005A4B04">
        <w:rPr>
          <w:i/>
          <w:iCs/>
        </w:rPr>
        <w:t>Falco tinnunculus</w:t>
      </w:r>
      <w:r w:rsidR="00607900">
        <w:rPr>
          <w:i/>
          <w:iCs/>
        </w:rPr>
        <w:t xml:space="preserve"> </w:t>
      </w:r>
      <w:r w:rsidR="00607900">
        <w:rPr>
          <w:rFonts w:cstheme="minorHAnsi"/>
          <w:i/>
        </w:rPr>
        <w:t>dacotiae</w:t>
      </w:r>
      <w:r w:rsidR="005A4B04">
        <w:t xml:space="preserve">) </w:t>
      </w:r>
      <w:r w:rsidR="005A4B04">
        <w:fldChar w:fldCharType="begin" w:fldLock="1"/>
      </w:r>
      <w:r w:rsidR="007C7EDC">
        <w:instrText>ADDIN CSL_CITATION {"citationItems":[{"id":"ITEM-1","itemData":{"author":[{"dropping-particle":"","family":"López-Darias","given":"Marta","non-dropping-particle":"","parse-names":false,"suffix":""},{"dropping-particle":"","family":"Lobo","given":"Jorge M.","non-dropping-particle":"","parse-names":false,"suffix":""}],"container-title":"Zoological Studies","id":"ITEM-1","issue":"3","issued":{"date-parts":[["2008"]]},"page":"268-281","title":"Factors affecting invasive species abundance: the Barbary Ground Squirrel on Fuerteventura Island, Spain","type":"article-journal","volume":"47"},"uris":["http://www.mendeley.com/documents/?uuid=1a40d8fe-9b9f-4a6d-9a03-23677e6b02b5"]}],"mendeley":{"formattedCitation":"(López-Darias &amp; Lobo, 2008)","plainTextFormattedCitation":"(López-Darias &amp; Lobo, 2008)","previouslyFormattedCitation":"(López-Darias &amp; Lobo, 2008)"},"properties":{"noteIndex":0},"schema":"https://github.com/citation-style-language/schema/raw/master/csl-citation.json"}</w:instrText>
      </w:r>
      <w:r w:rsidR="005A4B04">
        <w:fldChar w:fldCharType="separate"/>
      </w:r>
      <w:r w:rsidR="00FB2B64" w:rsidRPr="00FB2B64">
        <w:rPr>
          <w:noProof/>
        </w:rPr>
        <w:t>(López-Darias &amp; Lobo, 2008)</w:t>
      </w:r>
      <w:r w:rsidR="005A4B04">
        <w:fldChar w:fldCharType="end"/>
      </w:r>
      <w:r w:rsidR="005A4B04">
        <w:t>.</w:t>
      </w:r>
      <w:r w:rsidR="00FB412D">
        <w:t xml:space="preserve"> </w:t>
      </w:r>
      <w:r>
        <w:t xml:space="preserve">Barbary ground squirrels </w:t>
      </w:r>
      <w:r w:rsidR="008D1778">
        <w:t xml:space="preserve">have </w:t>
      </w:r>
      <w:r w:rsidR="006A76D5">
        <w:t xml:space="preserve">also </w:t>
      </w:r>
      <w:r w:rsidR="008D1778">
        <w:t>been heard to vocalise</w:t>
      </w:r>
      <w:r>
        <w:t xml:space="preserve"> </w:t>
      </w:r>
      <w:r>
        <w:fldChar w:fldCharType="begin" w:fldLock="1"/>
      </w:r>
      <w:r w:rsidR="007C7EDC">
        <w:instrText>ADDIN CSL_CITATION {"citationItems":[{"id":"ITEM-1","itemData":{"author":[{"dropping-particle":"","family":"Machado","given":"Antonio","non-dropping-particle":"","parse-names":false,"suffix":""}],"container-title":"Egypt. J. Wildlife Nat. Res","id":"ITEM-1","issued":{"date-parts":[["1979"]]},"page":"182-202","title":"The introduction of the Getulian squirrel (&lt;i&gt;Atlantoxerus getulus L.&lt;/i&gt;, 1758) in Fuerteventura, Canary Islands.","type":"article-journal","volume":"2"},"uris":["http://www.mendeley.com/documents/?uuid=05db2029-398c-47c5-98b9-38ab9c4d3e85"]}],"mendeley":{"formattedCitation":"(Machado, 1979)","plainTextFormattedCitation":"(Machado, 1979)","previouslyFormattedCitation":"(Machado, 1979)"},"properties":{"noteIndex":0},"schema":"https://github.com/citation-style-language/schema/raw/master/csl-citation.json"}</w:instrText>
      </w:r>
      <w:r>
        <w:fldChar w:fldCharType="separate"/>
      </w:r>
      <w:r w:rsidR="00FB2B64" w:rsidRPr="00FB2B64">
        <w:rPr>
          <w:noProof/>
        </w:rPr>
        <w:t>(Machado, 1979)</w:t>
      </w:r>
      <w:r>
        <w:fldChar w:fldCharType="end"/>
      </w:r>
      <w:r w:rsidR="008D1778">
        <w:t xml:space="preserve">, but whether these vocalisations are alarm calls </w:t>
      </w:r>
      <w:r w:rsidR="00C87D7A">
        <w:t xml:space="preserve">to warn conspecifics of potential threat – predator presence – and whether their </w:t>
      </w:r>
      <w:r w:rsidR="000039D4">
        <w:t xml:space="preserve">potential </w:t>
      </w:r>
      <w:r w:rsidR="00C87D7A">
        <w:t>alarm calls differ in response to specific predators (aerial or terrestrial</w:t>
      </w:r>
      <w:r w:rsidR="00BD2BFC">
        <w:t xml:space="preserve"> predators</w:t>
      </w:r>
      <w:r w:rsidR="00C87D7A">
        <w:t>) has</w:t>
      </w:r>
      <w:r w:rsidR="008D1778">
        <w:t xml:space="preserve"> not been studied</w:t>
      </w:r>
      <w:r>
        <w:t>.</w:t>
      </w:r>
      <w:r w:rsidR="005A4B04">
        <w:t xml:space="preserve"> </w:t>
      </w:r>
      <w:r w:rsidR="00FB412D">
        <w:t xml:space="preserve">Therefore, this study system is </w:t>
      </w:r>
      <w:r w:rsidR="000326F7">
        <w:t xml:space="preserve">an excellent system </w:t>
      </w:r>
      <w:r w:rsidR="00FB412D">
        <w:t>to</w:t>
      </w:r>
      <w:r w:rsidR="003931F9">
        <w:t xml:space="preserve"> test predictions from the detection and dilution hypotheses. </w:t>
      </w:r>
      <w:r w:rsidR="00C87D7A">
        <w:t>Our predic</w:t>
      </w:r>
      <w:r w:rsidR="00204099">
        <w:t xml:space="preserve">tions are specified in Table 1. </w:t>
      </w:r>
    </w:p>
    <w:p w14:paraId="61B2CA31" w14:textId="77777777" w:rsidR="00C53447" w:rsidRPr="00C53447" w:rsidRDefault="00C53447" w:rsidP="00DC31D5">
      <w:pPr>
        <w:pStyle w:val="NoSpacing"/>
        <w:spacing w:line="480" w:lineRule="auto"/>
        <w:rPr>
          <w:i/>
        </w:rPr>
      </w:pPr>
    </w:p>
    <w:p w14:paraId="3372D111" w14:textId="77777777" w:rsidR="00DC31D5" w:rsidRPr="000D1443" w:rsidRDefault="00DC31D5" w:rsidP="00DC31D5">
      <w:pPr>
        <w:pStyle w:val="Heading2"/>
        <w:spacing w:line="480" w:lineRule="auto"/>
        <w:rPr>
          <w:color w:val="auto"/>
          <w:sz w:val="22"/>
          <w:szCs w:val="22"/>
        </w:rPr>
      </w:pPr>
      <w:r w:rsidRPr="000D1443">
        <w:rPr>
          <w:color w:val="auto"/>
          <w:sz w:val="22"/>
          <w:szCs w:val="22"/>
        </w:rPr>
        <w:t>Methods</w:t>
      </w:r>
    </w:p>
    <w:p w14:paraId="56CB3FD5" w14:textId="77777777" w:rsidR="00DC31D5" w:rsidRDefault="00DC31D5" w:rsidP="00DC31D5">
      <w:pPr>
        <w:pStyle w:val="NoSpacing"/>
        <w:spacing w:line="480" w:lineRule="auto"/>
        <w:rPr>
          <w:i/>
        </w:rPr>
      </w:pPr>
      <w:r>
        <w:rPr>
          <w:i/>
        </w:rPr>
        <w:t>Study site, species, and trapping protocol</w:t>
      </w:r>
    </w:p>
    <w:p w14:paraId="4E5CB33B" w14:textId="67168C98" w:rsidR="00DC31D5" w:rsidRDefault="00DC31D5" w:rsidP="00DC31D5">
      <w:pPr>
        <w:pStyle w:val="NoSpacing"/>
        <w:spacing w:line="480" w:lineRule="auto"/>
        <w:ind w:firstLine="720"/>
      </w:pPr>
      <w:r>
        <w:t>We studied an invasive population of Barbary ground squirrels on the island of Fuerteventura, Canary Islands, Spain</w:t>
      </w:r>
      <w:r w:rsidR="00670550">
        <w:t>,</w:t>
      </w:r>
      <w:r>
        <w:t xml:space="preserve"> </w:t>
      </w:r>
      <w:r w:rsidR="007358AC">
        <w:t xml:space="preserve">from February </w:t>
      </w:r>
      <w:r w:rsidR="00B52084">
        <w:t xml:space="preserve">to </w:t>
      </w:r>
      <w:r w:rsidR="007358AC">
        <w:t xml:space="preserve">July 2014, January </w:t>
      </w:r>
      <w:r w:rsidR="00B52084">
        <w:t xml:space="preserve">to </w:t>
      </w:r>
      <w:r w:rsidR="007358AC">
        <w:t xml:space="preserve">July 2015, and January </w:t>
      </w:r>
      <w:r w:rsidR="00B52084">
        <w:t xml:space="preserve">to </w:t>
      </w:r>
      <w:r w:rsidR="007358AC">
        <w:t>June 2016</w:t>
      </w:r>
      <w:r>
        <w:t xml:space="preserve">. Fuerteventura is a volcanic island with an arid climate and semi-desert habitats </w:t>
      </w:r>
      <w:r>
        <w:fldChar w:fldCharType="begin" w:fldLock="1"/>
      </w:r>
      <w:r w:rsidR="007C7EDC">
        <w:instrText>ADDIN CSL_CITATION {"citationItems":[{"id":"ITEM-1","itemData":{"author":[{"dropping-particle":"","family":"Machado","given":"Antonio","non-dropping-particle":"","parse-names":false,"suffix":""}],"container-title":"Egypt. J. Wildlife Nat. Res","id":"ITEM-1","issued":{"date-parts":[["1979"]]},"page":"182-202","title":"The introduction of the Getulian squirrel (&lt;i&gt;Atlantoxerus getulus L.&lt;/i&gt;, 1758) in Fuerteventura, Canary Islands.","type":"article-journal","volume":"2"},"uris":["http://www.mendeley.com/documents/?uuid=05db2029-398c-47c5-98b9-38ab9c4d3e85"]}],"mendeley":{"formattedCitation":"(Machado, 1979)","plainTextFormattedCitation":"(Machado, 1979)","previouslyFormattedCitation":"(Machado, 1979)"},"properties":{"noteIndex":0},"schema":"https://github.com/citation-style-language/schema/raw/master/csl-citation.json"}</w:instrText>
      </w:r>
      <w:r>
        <w:fldChar w:fldCharType="separate"/>
      </w:r>
      <w:r w:rsidR="00FB2B64" w:rsidRPr="00FB2B64">
        <w:rPr>
          <w:noProof/>
        </w:rPr>
        <w:t>(Machado, 1979)</w:t>
      </w:r>
      <w:r>
        <w:fldChar w:fldCharType="end"/>
      </w:r>
      <w:r w:rsidR="00002AAB">
        <w:t>.</w:t>
      </w:r>
      <w:r w:rsidR="00D9406C">
        <w:t xml:space="preserve"> </w:t>
      </w:r>
      <w:r>
        <w:t>Our three study sites</w:t>
      </w:r>
      <w:r w:rsidR="004634DA">
        <w:t xml:space="preserve"> </w:t>
      </w:r>
      <w:r>
        <w:t xml:space="preserve">were located on the surroundings of </w:t>
      </w:r>
      <w:r w:rsidR="00204099">
        <w:t xml:space="preserve">small ravines and </w:t>
      </w:r>
      <w:r>
        <w:t>cultivated areas</w:t>
      </w:r>
      <w:r w:rsidR="004634DA">
        <w:t xml:space="preserve"> </w:t>
      </w:r>
      <w:r w:rsidR="004634DA" w:rsidRPr="00BC34F3">
        <w:t>(28°34'60" N, 13°58'0" W)</w:t>
      </w:r>
      <w:r w:rsidR="004634DA">
        <w:t>,</w:t>
      </w:r>
      <w:r w:rsidR="00670550">
        <w:t xml:space="preserve"> hosting a </w:t>
      </w:r>
      <w:r w:rsidR="00670550" w:rsidRPr="00A968BA">
        <w:rPr>
          <w:rFonts w:cs="Times New Roman"/>
          <w:lang w:val="en-GB"/>
        </w:rPr>
        <w:t>xerop</w:t>
      </w:r>
      <w:r w:rsidR="00670550">
        <w:rPr>
          <w:rFonts w:cs="Times New Roman"/>
          <w:lang w:val="en-GB"/>
        </w:rPr>
        <w:t xml:space="preserve">hytic scrubland </w:t>
      </w:r>
      <w:r w:rsidR="00670550">
        <w:t>as the main vegetation</w:t>
      </w:r>
      <w:r w:rsidR="003648E9">
        <w:t xml:space="preserve">. </w:t>
      </w:r>
      <w:r w:rsidR="009406AB">
        <w:t>A</w:t>
      </w:r>
      <w:r w:rsidR="003648E9">
        <w:t xml:space="preserve">ll three study sites </w:t>
      </w:r>
      <w:r w:rsidR="00670550">
        <w:t>were</w:t>
      </w:r>
      <w:r>
        <w:t xml:space="preserve"> characteri</w:t>
      </w:r>
      <w:r w:rsidR="000039D4">
        <w:t>s</w:t>
      </w:r>
      <w:r>
        <w:t>ed by the abundance of rock walls</w:t>
      </w:r>
      <w:r w:rsidR="00670550">
        <w:t xml:space="preserve"> </w:t>
      </w:r>
      <w:r w:rsidR="00670550">
        <w:fldChar w:fldCharType="begin" w:fldLock="1"/>
      </w:r>
      <w:r w:rsidR="007C7EDC">
        <w:instrText>ADDIN CSL_CITATION {"citationItems":[{"id":"ITEM-1","itemData":{"author":[{"dropping-particle":"","family":"Machado","given":"Antonio","non-dropping-particle":"","parse-names":false,"suffix":""}],"container-title":"Egypt. J. Wildlife Nat. Res","id":"ITEM-1","issued":{"date-parts":[["1979"]]},"page":"182-202","title":"The introduction of the Getulian squirrel (&lt;i&gt;Atlantoxerus getulus L.&lt;/i&gt;, 1758) in Fuerteventura, Canary Islands.","type":"article-journal","volume":"2"},"uris":["http://www.mendeley.com/documents/?uuid=05db2029-398c-47c5-98b9-38ab9c4d3e85"]}],"mendeley":{"formattedCitation":"(Machado, 1979)","plainTextFormattedCitation":"(Machado, 1979)","previouslyFormattedCitation":"(Machado, 1979)"},"properties":{"noteIndex":0},"schema":"https://github.com/citation-style-language/schema/raw/master/csl-citation.json"}</w:instrText>
      </w:r>
      <w:r w:rsidR="00670550">
        <w:fldChar w:fldCharType="separate"/>
      </w:r>
      <w:r w:rsidR="00FB2B64" w:rsidRPr="00FB2B64">
        <w:rPr>
          <w:noProof/>
        </w:rPr>
        <w:t>(Machado, 1979)</w:t>
      </w:r>
      <w:r w:rsidR="00670550">
        <w:fldChar w:fldCharType="end"/>
      </w:r>
      <w:r w:rsidR="00670550">
        <w:t xml:space="preserve">, which function as shelter and lookouts for the Barbary ground squirrels </w:t>
      </w:r>
      <w:r w:rsidR="00670550">
        <w:fldChar w:fldCharType="begin" w:fldLock="1"/>
      </w:r>
      <w:r w:rsidR="007C7EDC">
        <w:instrText>ADDIN CSL_CITATION {"citationItems":[{"id":"ITEM-1","itemData":{"author":[{"dropping-particle":"","family":"López-Darias","given":"Marta","non-dropping-particle":"","parse-names":false,"suffix":""},{"dropping-particle":"","family":"Lobo","given":"Jorge M.","non-dropping-particle":"","parse-names":false,"suffix":""}],"container-title":"Zoological Studies","id":"ITEM-1","issue":"3","issued":{"date-parts":[["2008"]]},"page":"268-281","title":"Factors affecting invasive species abundance: the Barbary Ground Squirrel on Fuerteventura Island, Spain","type":"article-journal","volume":"47"},"uris":["http://www.mendeley.com/documents/?uuid=1a40d8fe-9b9f-4a6d-9a03-23677e6b02b5"]}],"mendeley":{"formattedCitation":"(López-Darias &amp; Lobo, 2008)","plainTextFormattedCitation":"(López-Darias &amp; Lobo, 2008)","previouslyFormattedCitation":"(López-Darias &amp; Lobo, 2008)"},"properties":{"noteIndex":0},"schema":"https://github.com/citation-style-language/schema/raw/master/csl-citation.json"}</w:instrText>
      </w:r>
      <w:r w:rsidR="00670550">
        <w:fldChar w:fldCharType="separate"/>
      </w:r>
      <w:r w:rsidR="00FB2B64" w:rsidRPr="00FB2B64">
        <w:rPr>
          <w:noProof/>
        </w:rPr>
        <w:t>(López-Darias &amp; Lobo, 2008)</w:t>
      </w:r>
      <w:r w:rsidR="00670550">
        <w:fldChar w:fldCharType="end"/>
      </w:r>
      <w:r w:rsidR="00670550">
        <w:t>.</w:t>
      </w:r>
      <w:r>
        <w:rPr>
          <w:rFonts w:cs="Times New Roman"/>
          <w:lang w:val="en-GB"/>
        </w:rPr>
        <w:t xml:space="preserve"> </w:t>
      </w:r>
    </w:p>
    <w:p w14:paraId="5554CB01" w14:textId="4079C06C" w:rsidR="00DC31D5" w:rsidRPr="00256EF6" w:rsidRDefault="00DC31D5" w:rsidP="00DC31D5">
      <w:pPr>
        <w:pStyle w:val="NoSpacing"/>
        <w:spacing w:line="480" w:lineRule="auto"/>
        <w:ind w:firstLine="720"/>
      </w:pPr>
      <w:r>
        <w:t>Squirrels were trapped once or twice a week during our field seasons using Tomahawk Live Traps (Tomahawk Co., WI, USA; 13</w:t>
      </w:r>
      <w:r w:rsidR="008A74D2">
        <w:t xml:space="preserve"> </w:t>
      </w:r>
      <w:r>
        <w:t>x</w:t>
      </w:r>
      <w:r w:rsidR="008A74D2">
        <w:t xml:space="preserve"> </w:t>
      </w:r>
      <w:r>
        <w:t>13</w:t>
      </w:r>
      <w:r w:rsidR="008A74D2">
        <w:t xml:space="preserve"> </w:t>
      </w:r>
      <w:r>
        <w:t>x</w:t>
      </w:r>
      <w:r w:rsidR="008A74D2">
        <w:t xml:space="preserve"> </w:t>
      </w:r>
      <w:r>
        <w:t>40 cm), which were baited with peanut butter. We covered the traps with cardboard, placed the traps as</w:t>
      </w:r>
      <w:r w:rsidR="00204099">
        <w:t xml:space="preserve"> much as possible in the shade,</w:t>
      </w:r>
      <w:r>
        <w:t xml:space="preserve"> checked them every 45 minutes</w:t>
      </w:r>
      <w:r w:rsidR="00204099">
        <w:t xml:space="preserve">, and </w:t>
      </w:r>
      <w:r w:rsidR="00204099">
        <w:rPr>
          <w:rFonts w:cstheme="minorHAnsi"/>
        </w:rPr>
        <w:t>did not trap when temperatures exceeded 25 ˚C</w:t>
      </w:r>
      <w:r>
        <w:t xml:space="preserve"> to </w:t>
      </w:r>
      <w:r w:rsidR="008A256A">
        <w:t xml:space="preserve">minimise </w:t>
      </w:r>
      <w:r>
        <w:t>(</w:t>
      </w:r>
      <w:r w:rsidR="00204099">
        <w:t xml:space="preserve">heat) stress for the squirrels. </w:t>
      </w:r>
      <w:r w:rsidR="000039D4">
        <w:rPr>
          <w:rFonts w:cstheme="minorHAnsi"/>
        </w:rPr>
        <w:t xml:space="preserve">Since the squirrels were not in traps for longer than 45 minutes we did not provide </w:t>
      </w:r>
      <w:r w:rsidR="000039D4" w:rsidRPr="000668E1">
        <w:rPr>
          <w:rFonts w:cstheme="minorHAnsi"/>
        </w:rPr>
        <w:t xml:space="preserve">bedding, food or </w:t>
      </w:r>
      <w:r w:rsidR="000039D4" w:rsidRPr="000668E1">
        <w:rPr>
          <w:rFonts w:cstheme="minorHAnsi"/>
        </w:rPr>
        <w:lastRenderedPageBreak/>
        <w:t xml:space="preserve">water. Trapping did not result in any injuries or death. </w:t>
      </w:r>
      <w:r>
        <w:t>We used a cone bag to handle the squirrels</w:t>
      </w:r>
      <w:r w:rsidR="00670550">
        <w:t xml:space="preserve"> to minimise stress during handling</w:t>
      </w:r>
      <w:r w:rsidR="00DE2557">
        <w:t xml:space="preserve"> </w:t>
      </w:r>
      <w:r w:rsidR="00DE2557">
        <w:fldChar w:fldCharType="begin" w:fldLock="1"/>
      </w:r>
      <w:r w:rsidR="007C7EDC">
        <w:instrText>ADDIN CSL_CITATION {"citationItems":[{"id":"ITEM-1","itemData":{"author":[{"dropping-particle":"","family":"Koprowski","given":"John L.","non-dropping-particle":"","parse-names":false,"suffix":""}],"container-title":"Wildlife Society Bulletin","id":"ITEM-1","issue":"1","issued":{"date-parts":[["2002"]]},"page":"101-103","title":"Handling tree squirrels with a safe and efficient restraint","type":"article-journal","volume":"30"},"uris":["http://www.mendeley.com/documents/?uuid=73326757-c47c-43ec-b023-86ccdad432b3"]}],"mendeley":{"formattedCitation":"(Koprowski, 2002)","plainTextFormattedCitation":"(Koprowski, 2002)","previouslyFormattedCitation":"(Koprowski, 2002)"},"properties":{"noteIndex":0},"schema":"https://github.com/citation-style-language/schema/raw/master/csl-citation.json"}</w:instrText>
      </w:r>
      <w:r w:rsidR="00DE2557">
        <w:fldChar w:fldCharType="separate"/>
      </w:r>
      <w:r w:rsidR="00DE2557" w:rsidRPr="00DE2557">
        <w:rPr>
          <w:noProof/>
        </w:rPr>
        <w:t>(Koprowski, 2002)</w:t>
      </w:r>
      <w:r w:rsidR="00DE2557">
        <w:fldChar w:fldCharType="end"/>
      </w:r>
      <w:r>
        <w:t>.</w:t>
      </w:r>
      <w:r w:rsidR="00670550">
        <w:t xml:space="preserve"> </w:t>
      </w:r>
      <w:r w:rsidR="00712FA8">
        <w:t>T</w:t>
      </w:r>
      <w:r w:rsidR="00670550">
        <w:t>he squirrels were held in place by a Velcro</w:t>
      </w:r>
      <w:r w:rsidR="00A93A04">
        <w:t xml:space="preserve"> strip</w:t>
      </w:r>
      <w:r w:rsidR="00670550">
        <w:t xml:space="preserve"> behind the elbow joints of their front paws</w:t>
      </w:r>
      <w:r w:rsidR="00712FA8">
        <w:t xml:space="preserve"> and </w:t>
      </w:r>
      <w:r w:rsidR="00712FA8" w:rsidRPr="000668E1">
        <w:rPr>
          <w:rFonts w:cstheme="minorHAnsi"/>
        </w:rPr>
        <w:t>the</w:t>
      </w:r>
      <w:r w:rsidR="00712FA8">
        <w:rPr>
          <w:rFonts w:cstheme="minorHAnsi"/>
        </w:rPr>
        <w:t>ir</w:t>
      </w:r>
      <w:r w:rsidR="00712FA8" w:rsidRPr="000668E1">
        <w:rPr>
          <w:rFonts w:cstheme="minorHAnsi"/>
        </w:rPr>
        <w:t xml:space="preserve"> eyes were covered at all times during handling</w:t>
      </w:r>
      <w:r w:rsidR="00712FA8">
        <w:rPr>
          <w:rFonts w:cstheme="minorHAnsi"/>
        </w:rPr>
        <w:t>, which did not last longer than 10 min, to minimise stress</w:t>
      </w:r>
      <w:r w:rsidR="00670550">
        <w:t xml:space="preserve">. </w:t>
      </w:r>
      <w:r>
        <w:t>For individual identification</w:t>
      </w:r>
      <w:r w:rsidR="009251B4">
        <w:t>,</w:t>
      </w:r>
      <w:r>
        <w:t xml:space="preserve"> every squirrel received </w:t>
      </w:r>
      <w:r w:rsidR="009838FF">
        <w:t xml:space="preserve">a </w:t>
      </w:r>
      <w:r w:rsidR="009406AB">
        <w:rPr>
          <w:rFonts w:cstheme="minorHAnsi"/>
        </w:rPr>
        <w:t>sterile</w:t>
      </w:r>
      <w:r w:rsidR="009406AB" w:rsidRPr="000668E1">
        <w:rPr>
          <w:rFonts w:cstheme="minorHAnsi"/>
        </w:rPr>
        <w:t xml:space="preserve"> </w:t>
      </w:r>
      <w:r w:rsidR="009406AB">
        <w:rPr>
          <w:rFonts w:cstheme="minorHAnsi"/>
        </w:rPr>
        <w:t>0.1</w:t>
      </w:r>
      <w:r w:rsidR="0007675D">
        <w:rPr>
          <w:rFonts w:cstheme="minorHAnsi"/>
        </w:rPr>
        <w:t xml:space="preserve"> </w:t>
      </w:r>
      <w:r w:rsidR="009406AB">
        <w:rPr>
          <w:rFonts w:cstheme="minorHAnsi"/>
        </w:rPr>
        <w:t>g 2.1 x 12 mm</w:t>
      </w:r>
      <w:r w:rsidR="009406AB" w:rsidDel="009406AB">
        <w:t xml:space="preserve"> </w:t>
      </w:r>
      <w:r>
        <w:t>PIT tag (Avid Inc., Norco, CA, U.S.A.)</w:t>
      </w:r>
      <w:r w:rsidR="009406AB">
        <w:t xml:space="preserve">, which was on average 0.05 % of an </w:t>
      </w:r>
      <w:r w:rsidR="009406AB">
        <w:rPr>
          <w:rFonts w:cstheme="minorHAnsi"/>
        </w:rPr>
        <w:t xml:space="preserve">adult squirrel’s weight. </w:t>
      </w:r>
      <w:r w:rsidR="00712FA8">
        <w:rPr>
          <w:rFonts w:cstheme="minorHAnsi"/>
        </w:rPr>
        <w:t xml:space="preserve">These tags did not impede normal behaviour. </w:t>
      </w:r>
      <w:r w:rsidR="009406AB" w:rsidRPr="000668E1">
        <w:rPr>
          <w:rFonts w:cstheme="minorHAnsi"/>
        </w:rPr>
        <w:t>All adults received a unique dorsal dye mark for identification at a distance</w:t>
      </w:r>
      <w:r w:rsidR="009406AB">
        <w:rPr>
          <w:rFonts w:cstheme="minorHAnsi"/>
        </w:rPr>
        <w:t xml:space="preserve"> </w:t>
      </w:r>
      <w:r w:rsidR="009406AB" w:rsidRPr="000668E1">
        <w:rPr>
          <w:rFonts w:cstheme="minorHAnsi"/>
        </w:rPr>
        <w:fldChar w:fldCharType="begin" w:fldLock="1"/>
      </w:r>
      <w:r w:rsidR="007C7EDC">
        <w:rPr>
          <w:rFonts w:cstheme="minorHAnsi"/>
        </w:rPr>
        <w:instrText>ADDIN CSL_CITATION {"citationItems":[{"id":"ITEM-1","itemData":{"author":[{"dropping-particle":"","family":"Melchior","given":"Herbert R","non-dropping-particle":"","parse-names":false,"suffix":""},{"dropping-particle":"","family":"Iwen","given":"Frank A","non-dropping-particle":"","parse-names":false,"suffix":""}],"container-title":"The Journal of Wildlife Management","id":"ITEM-1","issue":"4","issued":{"date-parts":[["1965"]]},"page":"671-678","title":"Trapping, restraining, and marking Arctic ground squirrels for behavioral observations","type":"article-journal","volume":"29"},"uris":["http://www.mendeley.com/documents/?uuid=4927ef7c-f21e-45e6-81df-fee9dc1a233e"]}],"mendeley":{"formattedCitation":"(Melchior &amp; Iwen, 1965)","plainTextFormattedCitation":"(Melchior &amp; Iwen, 1965)","previouslyFormattedCitation":"(Melchior &amp; Iwen, 1965)"},"properties":{"noteIndex":0},"schema":"https://github.com/citation-style-language/schema/raw/master/csl-citation.json"}</w:instrText>
      </w:r>
      <w:r w:rsidR="009406AB" w:rsidRPr="000668E1">
        <w:rPr>
          <w:rFonts w:cstheme="minorHAnsi"/>
        </w:rPr>
        <w:fldChar w:fldCharType="separate"/>
      </w:r>
      <w:r w:rsidR="003C0777" w:rsidRPr="003C0777">
        <w:rPr>
          <w:rFonts w:cstheme="minorHAnsi"/>
          <w:noProof/>
        </w:rPr>
        <w:t>(Melchior &amp; Iwen, 1965)</w:t>
      </w:r>
      <w:r w:rsidR="009406AB" w:rsidRPr="000668E1">
        <w:rPr>
          <w:rFonts w:cstheme="minorHAnsi"/>
        </w:rPr>
        <w:fldChar w:fldCharType="end"/>
      </w:r>
      <w:r w:rsidR="009406AB" w:rsidRPr="000668E1">
        <w:rPr>
          <w:rFonts w:cstheme="minorHAnsi"/>
        </w:rPr>
        <w:t>.</w:t>
      </w:r>
      <w:r w:rsidR="00712FA8">
        <w:rPr>
          <w:rFonts w:cstheme="minorHAnsi"/>
        </w:rPr>
        <w:t xml:space="preserve"> </w:t>
      </w:r>
      <w:r w:rsidR="00712FA8" w:rsidRPr="000668E1">
        <w:rPr>
          <w:rFonts w:cstheme="minorHAnsi"/>
        </w:rPr>
        <w:t xml:space="preserve">None of the squirrels showed adverse reactions to the dye. </w:t>
      </w:r>
      <w:r>
        <w:t>We recorded the s</w:t>
      </w:r>
      <w:r w:rsidRPr="00C513F2">
        <w:t xml:space="preserve">ex </w:t>
      </w:r>
      <w:r>
        <w:t>of the squirrels upon capture.</w:t>
      </w:r>
      <w:r w:rsidR="004636CF">
        <w:t xml:space="preserve"> </w:t>
      </w:r>
      <w:r w:rsidR="004B5D74">
        <w:t>The density of squirrels per hectare was 14.15, 9.19, and 7.24 for site 1, 2, and 3, respectively. Details on t</w:t>
      </w:r>
      <w:r w:rsidR="00284873">
        <w:t xml:space="preserve">he number of trapped and marked squirrels </w:t>
      </w:r>
      <w:r w:rsidR="004B5D74">
        <w:t xml:space="preserve">are </w:t>
      </w:r>
      <w:r w:rsidR="00284873">
        <w:t xml:space="preserve">provided in Appendix Table A1. </w:t>
      </w:r>
      <w:r w:rsidR="009406AB" w:rsidRPr="000668E1">
        <w:rPr>
          <w:rFonts w:cstheme="minorHAnsi"/>
        </w:rPr>
        <w:t xml:space="preserve">All procedures were approved by the University of Manitoba Animal Care and Use Committee (protocol #F14-032), were permitted by the government of Fuerteventura (Cabildo Insular de Fuerteventura </w:t>
      </w:r>
      <w:r w:rsidR="009406AB">
        <w:rPr>
          <w:rFonts w:cstheme="minorHAnsi"/>
        </w:rPr>
        <w:t>#14885), and conformed to ASAB/</w:t>
      </w:r>
      <w:r w:rsidR="009406AB" w:rsidRPr="000668E1">
        <w:rPr>
          <w:rFonts w:cstheme="minorHAnsi"/>
        </w:rPr>
        <w:t>ABS's guidelines for ethical research with animals.</w:t>
      </w:r>
    </w:p>
    <w:p w14:paraId="37193D5E" w14:textId="77777777" w:rsidR="00670550" w:rsidRDefault="00670550" w:rsidP="00DC31D5">
      <w:pPr>
        <w:pStyle w:val="NoSpacing"/>
        <w:spacing w:line="480" w:lineRule="auto"/>
        <w:rPr>
          <w:i/>
          <w:color w:val="222222"/>
        </w:rPr>
      </w:pPr>
    </w:p>
    <w:p w14:paraId="6C625280" w14:textId="7BD361B3" w:rsidR="00DC31D5" w:rsidRPr="00E36776" w:rsidRDefault="00DC31D5" w:rsidP="00DC31D5">
      <w:pPr>
        <w:pStyle w:val="NoSpacing"/>
        <w:spacing w:line="480" w:lineRule="auto"/>
        <w:rPr>
          <w:i/>
        </w:rPr>
      </w:pPr>
      <w:r w:rsidRPr="00E36776">
        <w:rPr>
          <w:i/>
        </w:rPr>
        <w:t>Vigilance and group size</w:t>
      </w:r>
    </w:p>
    <w:p w14:paraId="4197DA7C" w14:textId="549E1980" w:rsidR="00204099" w:rsidRDefault="009965FC" w:rsidP="00134A5D">
      <w:pPr>
        <w:spacing w:line="480" w:lineRule="auto"/>
        <w:ind w:firstLine="709"/>
        <w:rPr>
          <w:rFonts w:cstheme="minorHAnsi"/>
        </w:rPr>
      </w:pPr>
      <w:r>
        <w:t xml:space="preserve">To quantify </w:t>
      </w:r>
      <w:r w:rsidR="002E41B2">
        <w:t>low- and high-</w:t>
      </w:r>
      <w:r w:rsidR="004634DA">
        <w:t xml:space="preserve">quality </w:t>
      </w:r>
      <w:r w:rsidR="002E41B2">
        <w:t>vigilance</w:t>
      </w:r>
      <w:r>
        <w:t>, w</w:t>
      </w:r>
      <w:r w:rsidR="00DC31D5">
        <w:t>e performed s</w:t>
      </w:r>
      <w:r w:rsidR="00DC31D5" w:rsidRPr="00C513F2">
        <w:t xml:space="preserve">can sampling </w:t>
      </w:r>
      <w:r w:rsidR="00DC31D5">
        <w:fldChar w:fldCharType="begin" w:fldLock="1"/>
      </w:r>
      <w:r w:rsidR="007C7EDC">
        <w:instrText>ADDIN CSL_CITATION {"citationItems":[{"id":"ITEM-1","itemData":{"author":[{"dropping-particle":"","family":"Altmann","given":"Jeanne","non-dropping-particle":"","parse-names":false,"suffix":""}],"container-title":"Behaviour","id":"ITEM-1","issued":{"date-parts":[["1974"]]},"page":"227-267","title":"Observational study of behavior: Sampling methods","type":"article-journal","volume":"49"},"uris":["http://www.mendeley.com/documents/?uuid=bd4f0d33-e498-41a7-b47d-247022aa1639"]}],"mendeley":{"formattedCitation":"(Altmann, 1974)","plainTextFormattedCitation":"(Altmann, 1974)","previouslyFormattedCitation":"(Altmann, 1974)"},"properties":{"noteIndex":0},"schema":"https://github.com/citation-style-language/schema/raw/master/csl-citation.json"}</w:instrText>
      </w:r>
      <w:r w:rsidR="00DC31D5">
        <w:fldChar w:fldCharType="separate"/>
      </w:r>
      <w:r w:rsidR="00FB2B64" w:rsidRPr="00FB2B64">
        <w:rPr>
          <w:noProof/>
        </w:rPr>
        <w:t>(Altmann, 1974)</w:t>
      </w:r>
      <w:r w:rsidR="00DC31D5">
        <w:fldChar w:fldCharType="end"/>
      </w:r>
      <w:r w:rsidR="00DC31D5">
        <w:t xml:space="preserve">, consisting </w:t>
      </w:r>
      <w:r w:rsidR="00DC31D5" w:rsidRPr="00C513F2">
        <w:t>of</w:t>
      </w:r>
      <w:r w:rsidR="00DC31D5">
        <w:t xml:space="preserve"> 10-minute</w:t>
      </w:r>
      <w:r w:rsidR="00DC31D5" w:rsidRPr="00C513F2">
        <w:t xml:space="preserve"> scans</w:t>
      </w:r>
      <w:r w:rsidR="00DC31D5">
        <w:t>,</w:t>
      </w:r>
      <w:r w:rsidR="000E1CD9">
        <w:t xml:space="preserve"> </w:t>
      </w:r>
      <w:r w:rsidR="007358AC">
        <w:t>throughout our field seasons</w:t>
      </w:r>
      <w:r>
        <w:t xml:space="preserve">. </w:t>
      </w:r>
      <w:r w:rsidR="00141332">
        <w:rPr>
          <w:rFonts w:eastAsia="Times New Roman" w:cs="Times New Roman"/>
        </w:rPr>
        <w:t xml:space="preserve">We conducted behavioural observations </w:t>
      </w:r>
      <w:r w:rsidR="00141332" w:rsidRPr="00AF2E91">
        <w:rPr>
          <w:rFonts w:eastAsia="Times New Roman" w:cs="Times New Roman"/>
        </w:rPr>
        <w:t xml:space="preserve">between 10 am </w:t>
      </w:r>
      <w:r w:rsidR="00141332">
        <w:rPr>
          <w:rFonts w:eastAsia="Times New Roman" w:cs="Times New Roman"/>
        </w:rPr>
        <w:t xml:space="preserve">GMT, </w:t>
      </w:r>
      <w:r w:rsidR="00141332" w:rsidRPr="00AF2E91">
        <w:rPr>
          <w:rFonts w:eastAsia="Times New Roman" w:cs="Times New Roman"/>
        </w:rPr>
        <w:t xml:space="preserve">when squirrels </w:t>
      </w:r>
      <w:r w:rsidR="00141332">
        <w:rPr>
          <w:rFonts w:eastAsia="Times New Roman" w:cs="Times New Roman"/>
        </w:rPr>
        <w:t>emerged from their sleeping burrows, and 2 h before sunset, w</w:t>
      </w:r>
      <w:r w:rsidR="00141332" w:rsidRPr="00AF2E91">
        <w:rPr>
          <w:rFonts w:eastAsia="Times New Roman" w:cs="Times New Roman"/>
        </w:rPr>
        <w:t xml:space="preserve">hen squirrels </w:t>
      </w:r>
      <w:r w:rsidR="00141332">
        <w:rPr>
          <w:rFonts w:eastAsia="Times New Roman" w:cs="Times New Roman"/>
        </w:rPr>
        <w:t>retreated</w:t>
      </w:r>
      <w:r w:rsidR="00141332" w:rsidRPr="00AF2E91">
        <w:rPr>
          <w:rFonts w:eastAsia="Times New Roman" w:cs="Times New Roman"/>
        </w:rPr>
        <w:t xml:space="preserve"> </w:t>
      </w:r>
      <w:r w:rsidR="00141332">
        <w:rPr>
          <w:rFonts w:eastAsia="Times New Roman" w:cs="Times New Roman"/>
        </w:rPr>
        <w:t xml:space="preserve">into </w:t>
      </w:r>
      <w:r w:rsidR="00141332" w:rsidRPr="00AF2E91">
        <w:rPr>
          <w:rFonts w:eastAsia="Times New Roman" w:cs="Times New Roman"/>
        </w:rPr>
        <w:t>their burrow</w:t>
      </w:r>
      <w:r w:rsidR="00141332">
        <w:rPr>
          <w:rFonts w:eastAsia="Times New Roman" w:cs="Times New Roman"/>
        </w:rPr>
        <w:t xml:space="preserve">s for the night </w:t>
      </w:r>
      <w:r w:rsidR="00141332">
        <w:rPr>
          <w:rFonts w:eastAsia="Times New Roman" w:cs="Times New Roman"/>
        </w:rPr>
        <w:fldChar w:fldCharType="begin" w:fldLock="1"/>
      </w:r>
      <w:r w:rsidR="00141332">
        <w:rPr>
          <w:rFonts w:eastAsia="Times New Roman" w:cs="Times New Roman"/>
        </w:rPr>
        <w:instrText>ADDIN CSL_CITATION {"citationItems":[{"id":"ITEM-1","itemData":{"author":[{"dropping-particle":"","family":"Machado","given":"Antonio","non-dropping-particle":"","parse-names":false,"suffix":""}],"container-title":"Egypt. J. Wildlife Nat. Res","id":"ITEM-1","issued":{"date-parts":[["1979"]]},"page":"182-202","title":"The introduction of the Getulian squirrel (&lt;i&gt;Atlantoxerus getulus L.&lt;/i&gt;, 1758) in Fuerteventura, Canary Islands.","type":"article-journal","volume":"2"},"uris":["http://www.mendeley.com/documents/?uuid=05db2029-398c-47c5-98b9-38ab9c4d3e85"]}],"mendeley":{"formattedCitation":"(Machado, 1979)","plainTextFormattedCitation":"(Machado, 1979)","previouslyFormattedCitation":"(Machado, 1979)"},"properties":{"noteIndex":0},"schema":"https://github.com/citation-style-language/schema/raw/master/csl-citation.json"}</w:instrText>
      </w:r>
      <w:r w:rsidR="00141332">
        <w:rPr>
          <w:rFonts w:eastAsia="Times New Roman" w:cs="Times New Roman"/>
        </w:rPr>
        <w:fldChar w:fldCharType="separate"/>
      </w:r>
      <w:r w:rsidR="00141332" w:rsidRPr="00FB2B64">
        <w:rPr>
          <w:rFonts w:eastAsia="Times New Roman" w:cs="Times New Roman"/>
          <w:noProof/>
        </w:rPr>
        <w:t>(Machado, 1979)</w:t>
      </w:r>
      <w:r w:rsidR="00141332">
        <w:rPr>
          <w:rFonts w:eastAsia="Times New Roman" w:cs="Times New Roman"/>
        </w:rPr>
        <w:fldChar w:fldCharType="end"/>
      </w:r>
      <w:r w:rsidR="00141332" w:rsidRPr="00AF2E91">
        <w:rPr>
          <w:rFonts w:eastAsia="Times New Roman" w:cs="Times New Roman"/>
        </w:rPr>
        <w:t>.</w:t>
      </w:r>
      <w:r w:rsidR="00E23DD3" w:rsidRPr="00E23DD3">
        <w:rPr>
          <w:rFonts w:cstheme="minorHAnsi"/>
        </w:rPr>
        <w:t xml:space="preserve"> </w:t>
      </w:r>
      <w:r w:rsidR="00E23DD3" w:rsidRPr="000668E1">
        <w:rPr>
          <w:rFonts w:cstheme="minorHAnsi"/>
        </w:rPr>
        <w:t>Squirrels were observed from roads and nearby elevated areas</w:t>
      </w:r>
      <w:r w:rsidR="00E23DD3">
        <w:rPr>
          <w:rFonts w:cstheme="minorHAnsi"/>
        </w:rPr>
        <w:t xml:space="preserve"> </w:t>
      </w:r>
      <w:r w:rsidR="00E23DD3" w:rsidRPr="000668E1">
        <w:rPr>
          <w:rFonts w:cstheme="minorHAnsi"/>
        </w:rPr>
        <w:t>at distances</w:t>
      </w:r>
      <w:r w:rsidR="00E23DD3">
        <w:rPr>
          <w:rFonts w:cstheme="minorHAnsi"/>
        </w:rPr>
        <w:t xml:space="preserve"> (approximately 50 m)</w:t>
      </w:r>
      <w:r w:rsidR="00E23DD3" w:rsidRPr="000668E1">
        <w:rPr>
          <w:rFonts w:cstheme="minorHAnsi"/>
        </w:rPr>
        <w:t xml:space="preserve"> that did not affect ground squirrel behaviour.</w:t>
      </w:r>
      <w:r w:rsidR="00E23DD3">
        <w:rPr>
          <w:rFonts w:cstheme="minorHAnsi"/>
        </w:rPr>
        <w:t xml:space="preserve"> </w:t>
      </w:r>
      <w:r w:rsidR="00E23DD3">
        <w:t xml:space="preserve">Behavioural data were collected using Numbers (Apple, Cupertino, CA, USA) and </w:t>
      </w:r>
      <w:r w:rsidR="00E23DD3" w:rsidRPr="00C513F2">
        <w:t xml:space="preserve">Prim8 Software </w:t>
      </w:r>
      <w:r w:rsidR="00E23DD3" w:rsidRPr="00C513F2">
        <w:fldChar w:fldCharType="begin" w:fldLock="1"/>
      </w:r>
      <w:r w:rsidR="00E23DD3">
        <w:instrText>ADDIN CSL_CITATION {"citationItems":[{"id":"ITEM-1","itemData":{"DOI":"10.1016/j.anbehav.2014.06.009","ISSN":"00033472","author":[{"dropping-particle":"","family":"McDonald","given":"Monica","non-dropping-particle":"","parse-names":false,"suffix":""},{"dropping-particle":"","family":"Johnson","given":"Scott","non-dropping-particle":"","parse-names":false,"suffix":""}],"container-title":"Animal Behaviour","id":"ITEM-1","issued":{"date-parts":[["2014","9"]]},"page":"81-87","title":"\"There's an app for that\": a new program for the collection of behavioural field data","type":"article-journal","volume":"95"},"uris":["http://www.mendeley.com/documents/?uuid=36125815-c993-4bcc-9423-d55a9c1e2203"]}],"mendeley":{"formattedCitation":"(McDonald &amp; Johnson, 2014)","plainTextFormattedCitation":"(McDonald &amp; Johnson, 2014)","previouslyFormattedCitation":"(McDonald &amp; Johnson, 2014)"},"properties":{"noteIndex":0},"schema":"https://github.com/citation-style-language/schema/raw/master/csl-citation.json"}</w:instrText>
      </w:r>
      <w:r w:rsidR="00E23DD3" w:rsidRPr="00C513F2">
        <w:fldChar w:fldCharType="separate"/>
      </w:r>
      <w:r w:rsidR="00E23DD3" w:rsidRPr="00FB2B64">
        <w:rPr>
          <w:noProof/>
        </w:rPr>
        <w:t>(McDonald &amp; Johnson, 2014)</w:t>
      </w:r>
      <w:r w:rsidR="00E23DD3" w:rsidRPr="00C513F2">
        <w:fldChar w:fldCharType="end"/>
      </w:r>
      <w:r w:rsidR="00E23DD3">
        <w:t xml:space="preserve"> on an </w:t>
      </w:r>
      <w:r w:rsidR="00B52084">
        <w:t>i</w:t>
      </w:r>
      <w:r w:rsidR="00E23DD3">
        <w:t xml:space="preserve">Pod (Apple, Cupertino, CA, USA) and </w:t>
      </w:r>
      <w:r w:rsidR="00E23DD3" w:rsidRPr="00C513F2">
        <w:t xml:space="preserve">an Android phone </w:t>
      </w:r>
      <w:r w:rsidR="00E23DD3" w:rsidRPr="00C513F2">
        <w:rPr>
          <w:rFonts w:eastAsia="Times New Roman" w:cs="Times New Roman"/>
          <w:iCs/>
        </w:rPr>
        <w:t>(Motorola Droid A850)</w:t>
      </w:r>
      <w:r w:rsidR="00E23DD3">
        <w:rPr>
          <w:rFonts w:eastAsia="Times New Roman" w:cs="Times New Roman"/>
          <w:iCs/>
        </w:rPr>
        <w:t>, respectively</w:t>
      </w:r>
      <w:r w:rsidR="00E23DD3">
        <w:t>.</w:t>
      </w:r>
      <w:r w:rsidR="00E23DD3" w:rsidRPr="00E23DD3">
        <w:rPr>
          <w:rFonts w:cstheme="minorHAnsi"/>
        </w:rPr>
        <w:t xml:space="preserve"> </w:t>
      </w:r>
      <w:r w:rsidR="00356465">
        <w:rPr>
          <w:rFonts w:cstheme="minorHAnsi"/>
        </w:rPr>
        <w:t>W</w:t>
      </w:r>
      <w:r w:rsidR="00E23DD3">
        <w:rPr>
          <w:rFonts w:cstheme="minorHAnsi"/>
        </w:rPr>
        <w:t xml:space="preserve">e defined </w:t>
      </w:r>
      <w:r w:rsidR="00E23DD3">
        <w:rPr>
          <w:rFonts w:eastAsia="Times New Roman" w:cs="Times New Roman"/>
          <w:iCs/>
        </w:rPr>
        <w:t>h</w:t>
      </w:r>
      <w:r w:rsidR="00E23DD3">
        <w:t xml:space="preserve">igh-quality </w:t>
      </w:r>
      <w:r w:rsidR="00E23DD3" w:rsidRPr="00AB15A8">
        <w:t>vigilance</w:t>
      </w:r>
      <w:r w:rsidR="00E23DD3">
        <w:t xml:space="preserve"> as scanning the environment </w:t>
      </w:r>
      <w:r w:rsidR="00E23DD3" w:rsidRPr="00AB15A8">
        <w:t>from raised positions (&gt;</w:t>
      </w:r>
      <w:r w:rsidR="00E23DD3">
        <w:t xml:space="preserve"> </w:t>
      </w:r>
      <w:r w:rsidR="00E23DD3" w:rsidRPr="00AB15A8">
        <w:t>30</w:t>
      </w:r>
      <w:r w:rsidR="00E23DD3">
        <w:t xml:space="preserve"> </w:t>
      </w:r>
      <w:r w:rsidR="00E23DD3" w:rsidRPr="00AB15A8">
        <w:t>cm above ground)</w:t>
      </w:r>
      <w:r w:rsidR="00E23DD3">
        <w:t xml:space="preserve"> </w:t>
      </w:r>
      <w:r w:rsidR="00E23DD3" w:rsidRPr="00AB15A8">
        <w:t>for more than 30</w:t>
      </w:r>
      <w:r w:rsidR="00E23DD3">
        <w:t xml:space="preserve"> </w:t>
      </w:r>
      <w:r w:rsidR="00E23DD3" w:rsidRPr="00AB15A8">
        <w:t>s</w:t>
      </w:r>
      <w:r w:rsidR="00E23DD3">
        <w:t xml:space="preserve">econds </w:t>
      </w:r>
      <w:r w:rsidR="00E23DD3">
        <w:fldChar w:fldCharType="begin" w:fldLock="1"/>
      </w:r>
      <w:r w:rsidR="00E23DD3">
        <w:instrText>ADDIN CSL_CITATION {"citationItems":[{"id":"ITEM-1","itemData":{"DOI":"10.1098/rspb.1999.0737","ISSN":"0962-8452","author":[{"dropping-particle":"","family":"Manser","given":"Marta B","non-dropping-particle":"","parse-names":false,"suffix":""}],"container-title":"Proceedings of the Royal Society B: Biological Sciences","id":"ITEM-1","issue":"1423","issued":{"date-parts":[["1999","5","22"]]},"page":"1013-1019","title":"Response of foraging group members to sentinel calls in suricates, &lt;i&gt;Suricata suricatta&lt;/i&gt;","type":"article-journal","volume":"266"},"uris":["http://www.mendeley.com/documents/?uuid=cd55b3bd-7ae8-4af0-b824-6e7d3277edcf"]}],"mendeley":{"formattedCitation":"(Manser, 1999)","manualFormatting":"(Manser, 1999)","plainTextFormattedCitation":"(Manser, 1999)","previouslyFormattedCitation":"(Manser, 1999)"},"properties":{"noteIndex":0},"schema":"https://github.com/citation-style-language/schema/raw/master/csl-citation.json"}</w:instrText>
      </w:r>
      <w:r w:rsidR="00E23DD3">
        <w:fldChar w:fldCharType="separate"/>
      </w:r>
      <w:r w:rsidR="00E23DD3">
        <w:rPr>
          <w:noProof/>
        </w:rPr>
        <w:t>(</w:t>
      </w:r>
      <w:r w:rsidR="00E23DD3" w:rsidRPr="00FB2B64">
        <w:rPr>
          <w:noProof/>
        </w:rPr>
        <w:t>Manser, 1999)</w:t>
      </w:r>
      <w:r w:rsidR="00E23DD3">
        <w:fldChar w:fldCharType="end"/>
      </w:r>
      <w:r w:rsidR="00E23DD3" w:rsidRPr="00AB15A8">
        <w:t>.</w:t>
      </w:r>
      <w:r w:rsidR="00E23DD3">
        <w:t xml:space="preserve"> </w:t>
      </w:r>
      <w:r w:rsidR="0049657B" w:rsidRPr="00DA172A">
        <w:rPr>
          <w:rFonts w:cstheme="minorHAnsi"/>
        </w:rPr>
        <w:t xml:space="preserve">We measured </w:t>
      </w:r>
      <w:r w:rsidR="0049657B" w:rsidRPr="00DA172A">
        <w:rPr>
          <w:rFonts w:cstheme="minorHAnsi"/>
        </w:rPr>
        <w:lastRenderedPageBreak/>
        <w:t>the height of the rock walls and dams that were used</w:t>
      </w:r>
      <w:r w:rsidR="0049657B">
        <w:rPr>
          <w:rFonts w:cstheme="minorHAnsi"/>
        </w:rPr>
        <w:t xml:space="preserve"> </w:t>
      </w:r>
      <w:r w:rsidR="0049657B" w:rsidRPr="00DA172A">
        <w:rPr>
          <w:rFonts w:cstheme="minorHAnsi"/>
        </w:rPr>
        <w:t>by the squirrels</w:t>
      </w:r>
      <w:r w:rsidR="0049657B">
        <w:rPr>
          <w:rFonts w:cstheme="minorHAnsi"/>
        </w:rPr>
        <w:t xml:space="preserve"> as promontories when </w:t>
      </w:r>
      <w:r w:rsidR="0049657B">
        <w:rPr>
          <w:rFonts w:eastAsia="Times New Roman" w:cs="Times New Roman"/>
        </w:rPr>
        <w:t>performing high-quality vigilance</w:t>
      </w:r>
      <w:r w:rsidR="0049657B" w:rsidRPr="00DA172A">
        <w:rPr>
          <w:rFonts w:cstheme="minorHAnsi"/>
        </w:rPr>
        <w:t xml:space="preserve"> with a tape measure. </w:t>
      </w:r>
      <w:r w:rsidR="00E23DD3">
        <w:t xml:space="preserve">Low-quality vigilance was considered as vigilance that lasted less than 30 seconds or was performed while doing other behaviours </w:t>
      </w:r>
      <w:r w:rsidR="00E23DD3">
        <w:fldChar w:fldCharType="begin" w:fldLock="1"/>
      </w:r>
      <w:r w:rsidR="00E23DD3">
        <w:instrText>ADDIN CSL_CITATION {"citationItems":[{"id":"ITEM-1","itemData":{"DOI":"10.1007/s00265-013-1544-3","ISBN":"0026501315443","ISSN":"03405443","abstract":"Associations among organisms are thought to form because the benefits, such as increased foraging efficiency or decreased risk of predation, outweigh any costs, such as resource competition. Though many interspecific associations have been described for closely related mammals, few studies have examined the associations between mammals in different orders. The yellow mongoose (Cynictus pencillata), a carnivore, and the Cape ground squirrel (Xerus inauris), a rodent, co-occur in arid and semi-arid South Africa where they share sleeping burrows, predators, a similar body size, and the capability to emit alarm calls in response to predators. To investigate enhanced predator avoidance as a potential benefit explaining the persistence of this association, we assessed individual mongoose vigilance alone and with squirrels or other mongooses, and with varying interspecific group size, using field observations. We also tested for responses to conspecific and heterospecific alarm calls in both study species using playback experiments. The proportion of time mongoose individuals spent vigilant decreased in the presence of squirrels or other mongooses and was negatively correlated with interspecific group size; a similar pattern was previously shown for conspecific groups of Cape ground squirrels. These results are predicted by both the dilution and collective detection hypotheses. In addition, hetero- and conspecific alarm calls elicited vigilance responses in both species. These results suggest that both species can benefit from the collective detection and dilution arising from their interspecific association and that this interspecific association could be mutualistic.","author":[{"dropping-particle":"","family":"Makenbach","given":"Sarah A.","non-dropping-particle":"","parse-names":false,"suffix":""},{"dropping-particle":"","family":"Waterman","given":"Jane M.","non-dropping-particle":"","parse-names":false,"suffix":""},{"dropping-particle":"","family":"Roth","given":"James D.","non-dropping-particle":"","parse-names":false,"suffix":""}],"container-title":"Behavioral Ecology and Sociobiology","id":"ITEM-1","issue":"7","issued":{"date-parts":[["2013"]]},"page":"1187-1194","title":"Predator detection and dilution as benefits of associations between yellow mongooses and Cape ground squirrels","type":"article-journal","volume":"67"},"uris":["http://www.mendeley.com/documents/?uuid=a72ec4a2-37ea-4453-a013-f58f89e8fa28"]}],"mendeley":{"formattedCitation":"(Makenbach, Waterman, &amp; Roth, 2013)","plainTextFormattedCitation":"(Makenbach, Waterman, &amp; Roth, 2013)","previouslyFormattedCitation":"(Makenbach, Waterman, &amp; Roth, 2013)"},"properties":{"noteIndex":0},"schema":"https://github.com/citation-style-language/schema/raw/master/csl-citation.json"}</w:instrText>
      </w:r>
      <w:r w:rsidR="00E23DD3">
        <w:fldChar w:fldCharType="separate"/>
      </w:r>
      <w:r w:rsidR="00E23DD3" w:rsidRPr="00FB2B64">
        <w:rPr>
          <w:noProof/>
        </w:rPr>
        <w:t>(Makenbach, Waterman, &amp; Roth, 2013)</w:t>
      </w:r>
      <w:r w:rsidR="00E23DD3">
        <w:fldChar w:fldCharType="end"/>
      </w:r>
      <w:r w:rsidR="00D13EDD">
        <w:t>, therefore we did not measure the duration of the low-quality vigilance bouts</w:t>
      </w:r>
      <w:r w:rsidR="000E1CD9">
        <w:t xml:space="preserve"> during scan sampling</w:t>
      </w:r>
      <w:r w:rsidR="00E23DD3">
        <w:t>.</w:t>
      </w:r>
      <w:r w:rsidR="000E1CD9">
        <w:t xml:space="preserve"> Instead, we </w:t>
      </w:r>
      <w:r w:rsidR="000E1CD9">
        <w:rPr>
          <w:rFonts w:cstheme="minorHAnsi"/>
        </w:rPr>
        <w:t xml:space="preserve">performed 10-min focal follow sampling </w:t>
      </w:r>
      <w:r w:rsidR="000E1CD9" w:rsidRPr="00DA172A">
        <w:rPr>
          <w:rFonts w:cstheme="minorHAnsi"/>
        </w:rPr>
        <w:fldChar w:fldCharType="begin" w:fldLock="1"/>
      </w:r>
      <w:r w:rsidR="00057220">
        <w:rPr>
          <w:rFonts w:cstheme="minorHAnsi"/>
        </w:rPr>
        <w:instrText>ADDIN CSL_CITATION {"citationItems":[{"id":"ITEM-1","itemData":{"author":[{"dropping-particle":"","family":"Altmann","given":"Jeanne","non-dropping-particle":"","parse-names":false,"suffix":""}],"container-title":"Behaviour","id":"ITEM-1","issued":{"date-parts":[["1974"]]},"page":"227-267","title":"Observational study of behavior: Sampling methods","type":"article-journal","volume":"49"},"uris":["http://www.mendeley.com/documents/?uuid=bd4f0d33-e498-41a7-b47d-247022aa1639"]}],"mendeley":{"formattedCitation":"(Altmann, 1974)","plainTextFormattedCitation":"(Altmann, 1974)","previouslyFormattedCitation":"(Altmann, 1974)"},"properties":{"noteIndex":0},"schema":"https://github.com/citation-style-language/schema/raw/master/csl-citation.json"}</w:instrText>
      </w:r>
      <w:r w:rsidR="000E1CD9" w:rsidRPr="00DA172A">
        <w:rPr>
          <w:rFonts w:cstheme="minorHAnsi"/>
        </w:rPr>
        <w:fldChar w:fldCharType="separate"/>
      </w:r>
      <w:r w:rsidR="00204099" w:rsidRPr="00204099">
        <w:rPr>
          <w:rFonts w:cstheme="minorHAnsi"/>
          <w:noProof/>
        </w:rPr>
        <w:t>(Altmann, 1974)</w:t>
      </w:r>
      <w:r w:rsidR="000E1CD9" w:rsidRPr="00DA172A">
        <w:rPr>
          <w:rFonts w:cstheme="minorHAnsi"/>
        </w:rPr>
        <w:fldChar w:fldCharType="end"/>
      </w:r>
      <w:r w:rsidR="000E1CD9" w:rsidRPr="00DA172A">
        <w:rPr>
          <w:rFonts w:cstheme="minorHAnsi"/>
        </w:rPr>
        <w:t xml:space="preserve"> </w:t>
      </w:r>
      <w:r w:rsidR="000E1CD9">
        <w:rPr>
          <w:rFonts w:cstheme="minorHAnsi"/>
        </w:rPr>
        <w:t xml:space="preserve">to record duration of low-quality vigilance. We recorded the duration of low- and high-quality vigilance </w:t>
      </w:r>
      <w:r w:rsidR="000E1CD9" w:rsidRPr="00DA172A">
        <w:rPr>
          <w:rFonts w:cstheme="minorHAnsi"/>
        </w:rPr>
        <w:t>for 81 individuals</w:t>
      </w:r>
      <w:r w:rsidR="000E1CD9">
        <w:rPr>
          <w:rFonts w:cstheme="minorHAnsi"/>
        </w:rPr>
        <w:t xml:space="preserve"> (range 1 to7 focal follows per individual)</w:t>
      </w:r>
      <w:r w:rsidR="005C5A17">
        <w:rPr>
          <w:rFonts w:cstheme="minorHAnsi"/>
        </w:rPr>
        <w:t xml:space="preserve"> in 2015</w:t>
      </w:r>
      <w:r w:rsidR="00092956">
        <w:rPr>
          <w:rFonts w:cstheme="minorHAnsi"/>
        </w:rPr>
        <w:t>, which we analysed using a Wilcoxon signed rank test</w:t>
      </w:r>
      <w:r w:rsidR="000E1CD9" w:rsidRPr="00DA172A">
        <w:rPr>
          <w:rFonts w:cstheme="minorHAnsi"/>
        </w:rPr>
        <w:t>.</w:t>
      </w:r>
      <w:r w:rsidR="00E23DD3" w:rsidRPr="000668E1">
        <w:rPr>
          <w:rFonts w:cstheme="minorHAnsi"/>
        </w:rPr>
        <w:t xml:space="preserve"> </w:t>
      </w:r>
      <w:r w:rsidR="003344BC">
        <w:rPr>
          <w:rFonts w:cstheme="minorHAnsi"/>
        </w:rPr>
        <w:t xml:space="preserve">We also used the focal follows to test for an effect of wind on individual vigilance levels. We measured wind speed (km/h) after each </w:t>
      </w:r>
      <w:r w:rsidR="00110143">
        <w:rPr>
          <w:rFonts w:cstheme="minorHAnsi"/>
        </w:rPr>
        <w:t xml:space="preserve">focal follow with a </w:t>
      </w:r>
      <w:r w:rsidR="0007026F" w:rsidRPr="0007026F">
        <w:rPr>
          <w:rFonts w:cstheme="minorHAnsi"/>
        </w:rPr>
        <w:t>Kestrel Weather Meter (Nielsen-Kellerman, Boothwyn, PA, U.S.A.)</w:t>
      </w:r>
      <w:r w:rsidR="003344BC">
        <w:rPr>
          <w:rFonts w:cstheme="minorHAnsi"/>
        </w:rPr>
        <w:t xml:space="preserve">. We performed a generalised linear mixed model (GLMM) using the package ‘glmmADMB’ with the beta distribution and ID as random factor, because we had multiple focal follows per ID </w:t>
      </w:r>
      <w:r w:rsidR="003344BC">
        <w:rPr>
          <w:rFonts w:cstheme="minorHAnsi"/>
        </w:rPr>
        <w:fldChar w:fldCharType="begin" w:fldLock="1"/>
      </w:r>
      <w:r w:rsidR="005E3C02">
        <w:rPr>
          <w:rFonts w:cstheme="minorHAnsi"/>
        </w:rPr>
        <w:instrText>ADDIN CSL_CITATION {"citationItems":[{"id":"ITEM-1","itemData":{"ISSN":"20091007","PMID":"17666792","abstract":"Alpha-ketoglutarate is a key intermediate in the Krebs cycle, and a rate-limiting cofactor of prolyl-4-hydroxylase. It also has a potent effect on increasing the proline pool during collagen production, but the details underlying the boosting effect on collagen production by alpha-ketoglutarate remain as yet unreported. To investigate the effects of alpha-ketoglutarate on procollagen production and wrinkle formation, we conducted experiments in cultured human dermal fibroblasts and UVB-irradiated hairless mice. Based on ELISA measurements, alpha-ketoglutarate (10 microM) stimulated procollagen production in fibroblasts by 25.6+/-4.6% compared to vehicle (dH(2)O)-treated control cells. Also, we demonstrated that alpha-ketoglutarate increased activities of prolidase, which is known to play an important role in collagen metabolism, in fibroblasts and N-benzyloxycarbonyl-L-proline (Cbz-Pro), prolidase inhibitor, inhibited procollagen synthesis by alpha-ketoglutarate in fibroblasts. To determine the effect of topically applied alpha-ketoglutarate on wrinkle formation, alpha-ketoglutarate (1%) and vehicle (70% propylene glycol, 30% ethanol) were applied on the dorsal skin of UVB-induced hairless mice for twelve weeks. We found that alpha-ketoglutarate decreased wrinkle formation upon long-term topical application. These results suggest that alpha-ketoglutarate diminishes UVB-induced wrinkle formation by increasing collagen production, through a pathway that involves prolidase activation. Therefore, application of alpha-ketoglutarate may represent an effective anti-wrinkle agent for the cosmetic field.","author":[{"dropping-particle":"","family":"Bolker","given":"Ben","non-dropping-particle":"","parse-names":false,"suffix":""},{"dropping-particle":"","family":"Skaug","given":"Hans","non-dropping-particle":"","parse-names":false,"suffix":""},{"dropping-particle":"","family":"Magnusson","given":"Arni","non-dropping-particle":"","parse-names":false,"suffix":""},{"dropping-particle":"","family":"Nielsen","given":"Anders","non-dropping-particle":"","parse-names":false,"suffix":""}],"container-title":"R package ver. 2.0–8","id":"ITEM-1","issued":{"date-parts":[["2012"]]},"page":"12","title":"Getting started with the glmmADMB package","type":"article-journal"},"uris":["http://www.mendeley.com/documents/?uuid=2929c19a-47ac-458d-b52a-da48020f710e"]},{"id":"ITEM-2","itemData":{"DOI":"10.1080/10556788.2011.597854","ISBN":"1055-6788","ISSN":"10556788","abstract":"Many criteria for statistical parameter estimation, such as maximum likelihood, are formulated as a nonlinear optimization problem.Automatic Differentiation Model Builder (ADMB) is a programming framework based on automatic differentiation, aimed at highly nonlinear models with a large number of parameters. The benefits of using AD are computational efficiency and high numerical accuracy, both crucial in many practical problems. We describe the basic components and the underlying philosophy of ADMB, with an emphasis on functionality found in no other statistical software. One example of such a feature is the generic implementation of Laplace approximation of high-dimensional integrals for use in latent variable models. We also review the literature in which ADMB has been used, and discuss future development of ADMB as an open source project. Overall, the main advantages ofADMB are flexibility, speed, precision, stability and built-in methods to quantify uncertainty.","author":[{"dropping-particle":"","family":"Fournier","given":"David A.","non-dropping-particle":"","parse-names":false,"suffix":""},{"dropping-particle":"","family":"Skaug","given":"Hans J.","non-dropping-particle":"","parse-names":false,"suffix":""},{"dropping-particle":"","family":"Ancheta","given":"Johnoel","non-dropping-particle":"","parse-names":false,"suffix":""},{"dropping-particle":"","family":"Ianelli","given":"James","non-dropping-particle":"","parse-names":false,"suffix":""},{"dropping-particle":"","family":"Magnusson","given":"Arni","non-dropping-particle":"","parse-names":false,"suffix":""},{"dropping-particle":"","family":"Maunder","given":"Mark N.","non-dropping-particle":"","parse-names":false,"suffix":""},{"dropping-particle":"","family":"Nielsen","given":"Anders","non-dropping-particle":"","parse-names":false,"suffix":""},{"dropping-particle":"","family":"Sibert","given":"John","non-dropping-particle":"","parse-names":false,"suffix":""}],"container-title":"Optimization Methods and Software","id":"ITEM-2","issue":"2","issued":{"date-parts":[["2012"]]},"page":"233-249","title":"AD Model Builder: Using automatic differentiation for statistical inference of highly parameterized complex nonlinear models","type":"article-journal","volume":"27"},"uris":["http://www.mendeley.com/documents/?uuid=28c7048d-1fe1-4d61-94d3-5dfcf41ba18d"]}],"mendeley":{"formattedCitation":"(Bolker, Skaug, Magnusson, &amp; Nielsen, 2012; Fournier et al., 2012)","plainTextFormattedCitation":"(Bolker, Skaug, Magnusson, &amp; Nielsen, 2012; Fournier et al., 2012)","previouslyFormattedCitation":"(Bolker, Skaug, Magnusson, &amp; Nielsen, 2012; Fournier et al., 2012)"},"properties":{"noteIndex":0},"schema":"https://github.com/citation-style-language/schema/raw/master/csl-citation.json"}</w:instrText>
      </w:r>
      <w:r w:rsidR="003344BC">
        <w:rPr>
          <w:rFonts w:cstheme="minorHAnsi"/>
        </w:rPr>
        <w:fldChar w:fldCharType="separate"/>
      </w:r>
      <w:r w:rsidR="005E3C02" w:rsidRPr="005E3C02">
        <w:rPr>
          <w:rFonts w:cstheme="minorHAnsi"/>
          <w:noProof/>
        </w:rPr>
        <w:t>(Bolker, Skaug, Magnusson, &amp; Nielsen, 2012; Fournier et al., 2012)</w:t>
      </w:r>
      <w:r w:rsidR="003344BC">
        <w:rPr>
          <w:rFonts w:cstheme="minorHAnsi"/>
        </w:rPr>
        <w:fldChar w:fldCharType="end"/>
      </w:r>
      <w:r w:rsidR="003344BC">
        <w:rPr>
          <w:rFonts w:cstheme="minorHAnsi"/>
        </w:rPr>
        <w:t>.</w:t>
      </w:r>
    </w:p>
    <w:p w14:paraId="0A7703D1" w14:textId="0F55A582" w:rsidR="00335C2D" w:rsidRDefault="00DC31D5" w:rsidP="00204099">
      <w:pPr>
        <w:spacing w:line="480" w:lineRule="auto"/>
        <w:ind w:firstLine="709"/>
      </w:pPr>
      <w:r>
        <w:t xml:space="preserve">In our vigilance and group size analysis, we </w:t>
      </w:r>
      <w:r>
        <w:rPr>
          <w:rFonts w:eastAsia="Times New Roman" w:cs="Times New Roman"/>
          <w:iCs/>
        </w:rPr>
        <w:t xml:space="preserve">excluded unknown individuals, days </w:t>
      </w:r>
      <w:r w:rsidR="00CE3C5E">
        <w:rPr>
          <w:rFonts w:eastAsia="Times New Roman" w:cs="Times New Roman"/>
          <w:iCs/>
        </w:rPr>
        <w:t xml:space="preserve">when </w:t>
      </w:r>
      <w:r>
        <w:rPr>
          <w:rFonts w:eastAsia="Times New Roman" w:cs="Times New Roman"/>
          <w:iCs/>
        </w:rPr>
        <w:t>females were in oestrus, observation periods when a predator was present, and observation periods of less than an hour</w:t>
      </w:r>
      <w:r w:rsidR="004A3731">
        <w:rPr>
          <w:rFonts w:eastAsia="Times New Roman" w:cs="Times New Roman"/>
          <w:iCs/>
        </w:rPr>
        <w:t>,</w:t>
      </w:r>
      <w:r w:rsidR="00F7230A">
        <w:rPr>
          <w:rFonts w:eastAsia="Times New Roman" w:cs="Times New Roman"/>
          <w:iCs/>
        </w:rPr>
        <w:t xml:space="preserve"> resulting in </w:t>
      </w:r>
      <w:r w:rsidR="00F7230A">
        <w:rPr>
          <w:rFonts w:eastAsia="Times New Roman" w:cs="Times New Roman"/>
        </w:rPr>
        <w:t>data for 64 individuals that were observed over</w:t>
      </w:r>
      <w:r w:rsidR="00F7230A">
        <w:rPr>
          <w:rFonts w:eastAsia="Times New Roman" w:cs="Times New Roman"/>
          <w:iCs/>
        </w:rPr>
        <w:t xml:space="preserve"> </w:t>
      </w:r>
      <w:r w:rsidR="00F7230A">
        <w:rPr>
          <w:rFonts w:eastAsia="Times New Roman" w:cs="Times New Roman"/>
        </w:rPr>
        <w:t>184 observation periods</w:t>
      </w:r>
      <w:r w:rsidR="00F7230A">
        <w:rPr>
          <w:rFonts w:eastAsia="Times New Roman" w:cs="Times New Roman"/>
          <w:iCs/>
        </w:rPr>
        <w:t>.</w:t>
      </w:r>
      <w:r w:rsidR="00A91D22">
        <w:rPr>
          <w:rFonts w:eastAsia="Times New Roman" w:cs="Times New Roman"/>
          <w:iCs/>
        </w:rPr>
        <w:t xml:space="preserve"> </w:t>
      </w:r>
      <w:r w:rsidR="00A91D22">
        <w:t xml:space="preserve">Individual vigilance was calculated as the </w:t>
      </w:r>
      <w:r w:rsidR="00A91D22">
        <w:rPr>
          <w:rFonts w:eastAsia="Times New Roman" w:cs="Times New Roman"/>
          <w:iCs/>
        </w:rPr>
        <w:t xml:space="preserve">number of scans when an individual was </w:t>
      </w:r>
      <w:r w:rsidR="00A91D22">
        <w:t>performing low- or high-quality vigilance</w:t>
      </w:r>
      <w:r w:rsidR="00A91D22" w:rsidDel="002810C0">
        <w:rPr>
          <w:rFonts w:eastAsia="Times New Roman" w:cs="Times New Roman"/>
          <w:iCs/>
        </w:rPr>
        <w:t xml:space="preserve"> </w:t>
      </w:r>
      <w:r w:rsidR="00A91D22">
        <w:rPr>
          <w:rFonts w:eastAsia="Times New Roman" w:cs="Times New Roman"/>
          <w:iCs/>
        </w:rPr>
        <w:t xml:space="preserve">divided by the total scans </w:t>
      </w:r>
      <w:r w:rsidR="004A3731">
        <w:rPr>
          <w:rFonts w:eastAsia="Times New Roman" w:cs="Times New Roman"/>
          <w:iCs/>
        </w:rPr>
        <w:t xml:space="preserve">in which </w:t>
      </w:r>
      <w:r w:rsidR="00A91D22">
        <w:rPr>
          <w:rFonts w:eastAsia="Times New Roman" w:cs="Times New Roman"/>
          <w:iCs/>
        </w:rPr>
        <w:t xml:space="preserve">the individual was observed. We only used individuals that were observed at least 5 times (i.e., 5 different observation periods) </w:t>
      </w:r>
      <w:r w:rsidR="00E23DD3">
        <w:rPr>
          <w:rFonts w:eastAsia="Times New Roman" w:cs="Times New Roman"/>
          <w:iCs/>
        </w:rPr>
        <w:t xml:space="preserve">in </w:t>
      </w:r>
      <w:r w:rsidR="00A91D22">
        <w:rPr>
          <w:rFonts w:eastAsia="Times New Roman" w:cs="Times New Roman"/>
          <w:iCs/>
        </w:rPr>
        <w:t xml:space="preserve">at least 5 scans per observation period (after </w:t>
      </w:r>
      <w:r w:rsidR="00A91D22">
        <w:rPr>
          <w:rFonts w:eastAsia="Times New Roman" w:cs="Times New Roman"/>
          <w:iCs/>
        </w:rPr>
        <w:fldChar w:fldCharType="begin" w:fldLock="1"/>
      </w:r>
      <w:r w:rsidR="007C7EDC">
        <w:rPr>
          <w:rFonts w:eastAsia="Times New Roman" w:cs="Times New Roman"/>
          <w:iCs/>
        </w:rPr>
        <w:instrText>ADDIN CSL_CITATION {"citationItems":[{"id":"ITEM-1","itemData":{"DOI":"10.1111/j.1365-2028.2011.01262.x","ISSN":"01416707","author":[{"dropping-particle":"","family":"Edwards","given":"Sarah","non-dropping-particle":"","parse-names":false,"suffix":""},{"dropping-particle":"","family":"Waterman","given":"Jane M.","non-dropping-particle":"","parse-names":false,"suffix":""}],"container-title":"African Journal of Ecology","id":"ITEM-1","issue":"3","issued":{"date-parts":[["2011","9","14"]]},"page":"286-291","title":"Vigilance and grouping in the southern African ground squirrel (&lt;i&gt;Xerus inauris&lt;/i&gt;)","type":"article-journal","volume":"49"},"uris":["http://www.mendeley.com/documents/?uuid=70626a17-faff-48df-8f11-c61ab7675131","http://www.mendeley.com/documents/?uuid=2b3beb86-3430-4570-8e92-c8a0495a6b83"]}],"mendeley":{"formattedCitation":"(Edwards &amp; Waterman, 2011)","manualFormatting":"Edwards and Waterman, 2011)","plainTextFormattedCitation":"(Edwards &amp; Waterman, 2011)","previouslyFormattedCitation":"(Edwards &amp; Waterman, 2011)"},"properties":{"noteIndex":0},"schema":"https://github.com/citation-style-language/schema/raw/master/csl-citation.json"}</w:instrText>
      </w:r>
      <w:r w:rsidR="00A91D22">
        <w:rPr>
          <w:rFonts w:eastAsia="Times New Roman" w:cs="Times New Roman"/>
          <w:iCs/>
        </w:rPr>
        <w:fldChar w:fldCharType="separate"/>
      </w:r>
      <w:r w:rsidR="00A91D22" w:rsidRPr="00A3651D">
        <w:rPr>
          <w:rFonts w:eastAsia="Times New Roman" w:cs="Times New Roman"/>
          <w:iCs/>
          <w:noProof/>
        </w:rPr>
        <w:t>Edwards and Waterman</w:t>
      </w:r>
      <w:r w:rsidR="00704DB2">
        <w:rPr>
          <w:rFonts w:eastAsia="Times New Roman" w:cs="Times New Roman"/>
          <w:iCs/>
          <w:noProof/>
        </w:rPr>
        <w:t>,</w:t>
      </w:r>
      <w:r w:rsidR="00A91D22" w:rsidRPr="00A3651D">
        <w:rPr>
          <w:rFonts w:eastAsia="Times New Roman" w:cs="Times New Roman"/>
          <w:iCs/>
          <w:noProof/>
        </w:rPr>
        <w:t xml:space="preserve"> 2011)</w:t>
      </w:r>
      <w:r w:rsidR="00A91D22">
        <w:rPr>
          <w:rFonts w:eastAsia="Times New Roman" w:cs="Times New Roman"/>
          <w:iCs/>
        </w:rPr>
        <w:fldChar w:fldCharType="end"/>
      </w:r>
      <w:r w:rsidR="00A91D22">
        <w:rPr>
          <w:rFonts w:eastAsia="Times New Roman" w:cs="Times New Roman"/>
          <w:iCs/>
        </w:rPr>
        <w:t>.</w:t>
      </w:r>
      <w:r w:rsidR="00F7230A">
        <w:rPr>
          <w:rFonts w:eastAsia="Times New Roman" w:cs="Times New Roman"/>
          <w:iCs/>
        </w:rPr>
        <w:t xml:space="preserve"> </w:t>
      </w:r>
      <w:r>
        <w:t>We</w:t>
      </w:r>
      <w:r w:rsidR="00FC16F4">
        <w:t xml:space="preserve"> tested for a sex difference in time allocation for </w:t>
      </w:r>
      <w:r w:rsidR="00E23DD3">
        <w:t xml:space="preserve">individual </w:t>
      </w:r>
      <w:r w:rsidR="00FC16F4">
        <w:t>low- or high-quality vigilance</w:t>
      </w:r>
      <w:r>
        <w:t xml:space="preserve"> us</w:t>
      </w:r>
      <w:r w:rsidR="00FC16F4">
        <w:t xml:space="preserve">ing </w:t>
      </w:r>
      <w:r w:rsidR="00FC16F4" w:rsidRPr="00FC16F4">
        <w:t>Mann-Whitney U test</w:t>
      </w:r>
      <w:r w:rsidR="00A7498F">
        <w:t>s</w:t>
      </w:r>
      <w:r w:rsidR="00BD3DE9">
        <w:t xml:space="preserve">, because of </w:t>
      </w:r>
      <w:r w:rsidR="004A3731">
        <w:t xml:space="preserve">the </w:t>
      </w:r>
      <w:r w:rsidR="00BD3DE9">
        <w:t>non-normality of our vigilance data</w:t>
      </w:r>
      <w:r>
        <w:t xml:space="preserve">. We measured collective vigilance as the number of scans </w:t>
      </w:r>
      <w:r w:rsidR="006670D1">
        <w:t xml:space="preserve">when </w:t>
      </w:r>
      <w:r>
        <w:t xml:space="preserve">at least one squirrel was </w:t>
      </w:r>
      <w:r w:rsidR="002810C0">
        <w:t xml:space="preserve">performing low- or high-quality vigilance </w:t>
      </w:r>
      <w:r>
        <w:t>in the group</w:t>
      </w:r>
      <w:r w:rsidR="00EB49E6">
        <w:t xml:space="preserve"> divided by the time each group was observed</w:t>
      </w:r>
      <w:r>
        <w:t>.</w:t>
      </w:r>
      <w:r w:rsidR="007E71D0">
        <w:t xml:space="preserve"> </w:t>
      </w:r>
    </w:p>
    <w:p w14:paraId="5B9E4AB5" w14:textId="7030FDDA" w:rsidR="00284873" w:rsidRDefault="00A91D22" w:rsidP="00284873">
      <w:pPr>
        <w:spacing w:line="480" w:lineRule="auto"/>
        <w:ind w:firstLine="720"/>
      </w:pPr>
      <w:r>
        <w:rPr>
          <w:rFonts w:eastAsia="Times New Roman" w:cs="Times New Roman"/>
          <w:iCs/>
        </w:rPr>
        <w:t>W</w:t>
      </w:r>
      <w:r>
        <w:t xml:space="preserve">e defined a group as individuals that were in each other’s visible range during an observation period </w:t>
      </w:r>
      <w:r>
        <w:fldChar w:fldCharType="begin" w:fldLock="1"/>
      </w:r>
      <w:r w:rsidR="007C7EDC">
        <w:instrText>ADDIN CSL_CITATION {"citationItems":[{"id":"ITEM-1","itemData":{"DOI":"10.1006/anbe.2003.2232","ISBN":"0003-3472","ISSN":"00033472","PMID":"1969","abstract":"The problems that exist in the measurement of marginal predation clearly extend beyond simple terminology. Predators often have preferences or biases for particular prey types, and individual characteristics of prey may also affect which individuals are most frequently attacked. In most predator-prey interactions, individuals on the periphery of a group are more at risk of predation than those in the centre, and outliers are at even greater risk. But classification techniques have varied widely and many of the accepted definitions are prone to errors in classification. Although universal definitions of 'centre', 'periphery' and 'outlier' may not be feasible due to the variation in types of spatial distributions within animal aggregations, I make several recommendations regarding the selection of definitions for different group types: (1) in immobile colonial nesting species, a continuous measurement of predation from peripheral to central captures the true gradation of risk; (2) in mobile animal groups, the maximum disparity scheme, a combination of polygon vertices and layers of protection, can minimize misclassification of central and peripheral individuals; and (3) although an absolute-distance criterion is widely accepted for classifying solitary versus grouped individuals, behavioural differences between individuals should also be considered when making these classification decisions. Finally, before making sweeping conclusions about differential risk in a particular species, we should pay more attention to all possible sources of predation and not focus solely on one predator species. The key issues for future marginal predation studies are that the definitions used in practice should consider the relative protective benefit each individual receives from group living by evaluating risk from multiple predators and determining what factors might bias the predator's selection of individuals (typically peripheral) within the group.","author":[{"dropping-particle":"","family":"Stankowich","given":"Theodore","non-dropping-particle":"","parse-names":false,"suffix":""}],"container-title":"Animal Behaviour","id":"ITEM-1","issue":"3","issued":{"date-parts":[["2003"]]},"page":"589-599","title":"Marginal predation methodologies and the importance of predator preferences","type":"article-journal","volume":"66"},"uris":["http://www.mendeley.com/documents/?uuid=5f89fdeb-5a59-4f2f-b119-ba2e8fae58f6"]}],"mendeley":{"formattedCitation":"(Stankowich, 2003)","plainTextFormattedCitation":"(Stankowich, 2003)","previouslyFormattedCitation":"(Stankowich, 2003)"},"properties":{"noteIndex":0},"schema":"https://github.com/citation-style-language/schema/raw/master/csl-citation.json"}</w:instrText>
      </w:r>
      <w:r>
        <w:fldChar w:fldCharType="separate"/>
      </w:r>
      <w:r w:rsidR="00FB2B64" w:rsidRPr="00FB2B64">
        <w:rPr>
          <w:noProof/>
        </w:rPr>
        <w:t>(Stankowich, 2003)</w:t>
      </w:r>
      <w:r>
        <w:fldChar w:fldCharType="end"/>
      </w:r>
      <w:r>
        <w:t>.</w:t>
      </w:r>
      <w:r>
        <w:rPr>
          <w:rFonts w:eastAsia="Times New Roman" w:cs="Times New Roman"/>
          <w:iCs/>
        </w:rPr>
        <w:t xml:space="preserve"> </w:t>
      </w:r>
      <w:r w:rsidR="00284873">
        <w:t>We measured the ground squirrel’s visible range</w:t>
      </w:r>
      <w:r w:rsidR="00284873" w:rsidRPr="00C513F2">
        <w:t xml:space="preserve"> using an object</w:t>
      </w:r>
      <w:r w:rsidR="00284873">
        <w:t xml:space="preserve"> of the same </w:t>
      </w:r>
      <w:r w:rsidR="00284873">
        <w:lastRenderedPageBreak/>
        <w:t>height as a ground squirrel</w:t>
      </w:r>
      <w:r w:rsidR="00284873" w:rsidRPr="00C513F2">
        <w:t xml:space="preserve"> vertically stretched</w:t>
      </w:r>
      <w:r w:rsidR="00284873">
        <w:t xml:space="preserve"> on its hind legs</w:t>
      </w:r>
      <w:r w:rsidR="00284873" w:rsidRPr="00C513F2">
        <w:t xml:space="preserve">, whereby the object was moved over the ground </w:t>
      </w:r>
      <w:r w:rsidR="00284873">
        <w:t>un</w:t>
      </w:r>
      <w:r w:rsidR="00284873" w:rsidRPr="00C513F2">
        <w:t xml:space="preserve">til it was no longer visible </w:t>
      </w:r>
      <w:r w:rsidR="00284873" w:rsidRPr="00C513F2">
        <w:fldChar w:fldCharType="begin" w:fldLock="1"/>
      </w:r>
      <w:r w:rsidR="007C7EDC">
        <w:instrText>ADDIN CSL_CITATION {"citationItems":[{"id":"ITEM-1","itemData":{"DOI":"10.1111/j.1365-2028.2011.01262.x","ISSN":"01416707","author":[{"dropping-particle":"","family":"Edwards","given":"Sarah","non-dropping-particle":"","parse-names":false,"suffix":""},{"dropping-particle":"","family":"Waterman","given":"Jane M.","non-dropping-particle":"","parse-names":false,"suffix":""}],"container-title":"African Journal of Ecology","id":"ITEM-1","issue":"3","issued":{"date-parts":[["2011","9","14"]]},"page":"286-291","title":"Vigilance and grouping in the southern African ground squirrel (&lt;i&gt;Xerus inauris&lt;/i&gt;)","type":"article-journal","volume":"49"},"uris":["http://www.mendeley.com/documents/?uuid=70626a17-faff-48df-8f11-c61ab7675131"]}],"mendeley":{"formattedCitation":"(Edwards &amp; Waterman, 2011)","manualFormatting":"(Edwards and Waterman, 2011)","plainTextFormattedCitation":"(Edwards &amp; Waterman, 2011)","previouslyFormattedCitation":"(Edwards &amp; Waterman, 2011)"},"properties":{"noteIndex":0},"schema":"https://github.com/citation-style-language/schema/raw/master/csl-citation.json"}</w:instrText>
      </w:r>
      <w:r w:rsidR="00284873" w:rsidRPr="00C513F2">
        <w:fldChar w:fldCharType="separate"/>
      </w:r>
      <w:r w:rsidR="00284873">
        <w:rPr>
          <w:noProof/>
        </w:rPr>
        <w:t>(</w:t>
      </w:r>
      <w:r w:rsidR="00284873" w:rsidRPr="00C513F2">
        <w:rPr>
          <w:noProof/>
        </w:rPr>
        <w:t>Edwards and Waterman</w:t>
      </w:r>
      <w:r w:rsidR="00704DB2">
        <w:rPr>
          <w:noProof/>
        </w:rPr>
        <w:t>,</w:t>
      </w:r>
      <w:r w:rsidR="00284873" w:rsidRPr="00C513F2">
        <w:rPr>
          <w:noProof/>
        </w:rPr>
        <w:t xml:space="preserve"> 2011)</w:t>
      </w:r>
      <w:r w:rsidR="00284873" w:rsidRPr="00C513F2">
        <w:fldChar w:fldCharType="end"/>
      </w:r>
      <w:r w:rsidR="00284873">
        <w:t xml:space="preserve">, which occurred at a distance of 60 m. We included squirrels on the ground and on rock walls. </w:t>
      </w:r>
      <w:r w:rsidR="00C02044">
        <w:t xml:space="preserve">To find out whether 60 m as the radius for group membership is biologically relevant, we tested for an effect of the proportion time spent vigilant for group sizes within 10 m or 50 m of a focal follow. </w:t>
      </w:r>
      <w:r w:rsidR="009A1AE0">
        <w:t xml:space="preserve">Since we had multiple focal follows per individual we were able to perform a </w:t>
      </w:r>
      <w:r w:rsidR="009A1AE0">
        <w:rPr>
          <w:rFonts w:cstheme="minorHAnsi"/>
        </w:rPr>
        <w:t xml:space="preserve">Wilcoxon signed rank test on </w:t>
      </w:r>
      <w:r w:rsidR="00A47649">
        <w:rPr>
          <w:rFonts w:cstheme="minorHAnsi"/>
        </w:rPr>
        <w:t>number of conspecifics within 10 or within</w:t>
      </w:r>
      <w:r w:rsidR="009A1AE0">
        <w:rPr>
          <w:rFonts w:cstheme="minorHAnsi"/>
        </w:rPr>
        <w:t xml:space="preserve"> 60 m on level of low- and high-quality vigilance</w:t>
      </w:r>
      <w:r w:rsidR="009A1AE0" w:rsidRPr="00DA172A">
        <w:rPr>
          <w:rFonts w:cstheme="minorHAnsi"/>
        </w:rPr>
        <w:t>.</w:t>
      </w:r>
      <w:r w:rsidR="009A1AE0">
        <w:t xml:space="preserve"> </w:t>
      </w:r>
    </w:p>
    <w:p w14:paraId="3F2492E3" w14:textId="360A788C" w:rsidR="000466AC" w:rsidRDefault="005E3C02" w:rsidP="00593EFA">
      <w:pPr>
        <w:pStyle w:val="NoSpacing"/>
        <w:spacing w:line="480" w:lineRule="auto"/>
        <w:ind w:firstLine="709"/>
        <w:rPr>
          <w:rFonts w:eastAsia="Times New Roman" w:cs="Times New Roman"/>
        </w:rPr>
      </w:pPr>
      <w:r>
        <w:t xml:space="preserve">Often the relationship between vigilance and group size </w:t>
      </w:r>
      <w:r w:rsidR="00182589">
        <w:t xml:space="preserve">is </w:t>
      </w:r>
      <w:r>
        <w:t>analysed using least squares regression, although the relationship may not be linear</w:t>
      </w:r>
      <w:r w:rsidR="00817FE3">
        <w:t xml:space="preserve"> or heteroscedasticity</w:t>
      </w:r>
      <w:r w:rsidR="00993490">
        <w:t xml:space="preserve"> may be</w:t>
      </w:r>
      <w:r w:rsidR="00817FE3">
        <w:t xml:space="preserve"> present</w:t>
      </w:r>
      <w:r>
        <w:t xml:space="preserve"> </w:t>
      </w:r>
      <w:r>
        <w:fldChar w:fldCharType="begin" w:fldLock="1"/>
      </w:r>
      <w:r w:rsidR="00CA05CE">
        <w:instrText>ADDIN CSL_CITATION {"citationItems":[{"id":"ITEM-1","itemData":{"DOI":"10.1007/BF00171099","ISBN":"0340-5443","ISSN":"14320762","abstract":"JSTOR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This content downloaded from 139.67.69.5 on Tue, 15 Dec 2015 03:45:02 UTC All use subject to JSTOR Terms and Conditions Behavioral Ecology Behav Ecol Sociobiol (1990) 26:337-342 Summary. Grouped individuals are less vigilant for predators than solitary conspecifics because (1) grouping increases the likelihood of predator de-tection (detection effect) and (2) grouping makes it less likely that any given individual will be preyed upon (dilution effect). However, many models of vigilance behaviour consider only the detection ef-fect, and the interaction of the two effects has been insufficiently considered. I present two models of vigilance behaviour and test them using data on the vigilance of elk, Cervus elaphus. The first model, based on the detection effect alone, is implicit in many published formulations of the relationship between vigilance and group size. Although it pre-dicts the direction of the relationship between vigi-lance and group size, it provides a poor explana-tion of the form of the relationship. The second model incorporates both detection and dilution ef-fects. Regression analysis on this \"security model\" indicates that the model provides a good prediction of both the direction and the form of the relation-ship between vigilance and group size, explaining 69% of the variance in vigilance frequency. The security model demonstrates that both detection and dilution are important in determining the fre-quency of vigilance behaviour but that the relative importance of these two effects changes across group size, with detection providing relatively less benefit as group size increases. However, even when groups are large, individuals should exhibit at least some vigilance because although dilution alone provides much protection from predation, even a low level of vigilance greatly increases the likelihood that an individual will survive repeated predation attempts.","author":[{"dropping-particle":"","family":"Dehn","given":"Michael M.","non-dropping-particle":"","parse-names":false,"suffix":""}],"container-title":"Behavioral Ecology and Sociobiology","id":"ITEM-1","issue":"5","issued":{"date-parts":[["1990"]]},"page":"337-342","title":"Vigilance for predators: detection and dilution effects","type":"article-journal","volume":"26"},"uris":["http://www.mendeley.com/documents/?uuid=a36b6091-af1f-4c72-b0ee-00003941fda0"]},{"id":"ITEM-2","itemData":{"author":[{"dropping-particle":"","family":"Blumstein","given":"Daniel T.","non-dropping-particle":"","parse-names":false,"suffix":""},{"dropping-particle":"","family":"Daniel","given":"Janice C","non-dropping-particle":"","parse-names":false,"suffix":""},{"dropping-particle":"","family":"Evans","given":"Christopher S","non-dropping-particle":"","parse-names":false,"suffix":""}],"container-title":"Ethology","id":"ITEM-2","issued":{"date-parts":[["2001"]]},"page":"655-664","title":"Yellow-footed rock-wallaby group size effects reflect a trade-off","type":"article-journal","volume":"107"},"uris":["http://www.mendeley.com/documents/?uuid=2f6af940-73b4-4ba9-be48-0ab46f1fe51d"]}],"mendeley":{"formattedCitation":"(Blumstein, Daniel, &amp; Evans, 2001; Dehn, 1990)","plainTextFormattedCitation":"(Blumstein, Daniel, &amp; Evans, 2001; Dehn, 1990)","previouslyFormattedCitation":"(Blumstein, Daniel, &amp; Evans, 2001; Dehn, 1990)"},"properties":{"noteIndex":0},"schema":"https://github.com/citation-style-language/schema/raw/master/csl-citation.json"}</w:instrText>
      </w:r>
      <w:r>
        <w:fldChar w:fldCharType="separate"/>
      </w:r>
      <w:r w:rsidRPr="005E3C02">
        <w:rPr>
          <w:noProof/>
        </w:rPr>
        <w:t>(Blumstein, Daniel, &amp; Evans, 2001; Dehn, 1990)</w:t>
      </w:r>
      <w:r>
        <w:fldChar w:fldCharType="end"/>
      </w:r>
      <w:r w:rsidR="00CA05CE">
        <w:t xml:space="preserve">. </w:t>
      </w:r>
      <w:r w:rsidR="00817FE3">
        <w:t xml:space="preserve">When there is heteroscedasticity in the data, </w:t>
      </w:r>
      <w:r w:rsidR="00CA05CE">
        <w:t xml:space="preserve">factors other than group size </w:t>
      </w:r>
      <w:r w:rsidR="00817FE3">
        <w:t xml:space="preserve">may </w:t>
      </w:r>
      <w:r w:rsidR="00CA05CE">
        <w:t>influence level of vigilance</w:t>
      </w:r>
      <w:r w:rsidR="00817FE3">
        <w:t>,</w:t>
      </w:r>
      <w:r w:rsidR="00CA05CE">
        <w:t xml:space="preserve"> </w:t>
      </w:r>
      <w:r w:rsidR="00817FE3">
        <w:t>then t</w:t>
      </w:r>
      <w:r w:rsidR="00CA05CE">
        <w:t xml:space="preserve">he use of quantile regression over linear regression to test for the relationship between vigilance and group size is suggested </w:t>
      </w:r>
      <w:r w:rsidR="00CA05CE">
        <w:fldChar w:fldCharType="begin" w:fldLock="1"/>
      </w:r>
      <w:r w:rsidR="00CA05CE">
        <w:instrText>ADDIN CSL_CITATION {"citationItems":[{"id":"ITEM-1","itemData":{"DOI":"10.1093/beheco/arn096","ISBN":"1045-2249","ISSN":"10452249","abstract":"Vigilance has been predicted to decrease with group size due to increased predator detection and dilution of predation risk in larger groups. Although earlier literature reviews have provided ample support for this prediction, an increasing number of studies have failed to document a decline in vigilance with group size. In addition, support for this prediction has been based thus far on the P value of the relationship between vigilance and group size rather than on a quantitative assessment of effect magnitude. Here, I use a meta-analysis of empirical relationships between vigilance and group size in birds published in the last 35 years to provide a reassessment of the group-size effect on vigilance. Nearly one-third of all published relationships between vigilance and group size were not significant (n = 172). Results from the meta-analysis indicate weak to moderate negative correlations between group size and time spent vigilant (n = 43), scan frequency (n = 29), or scan duration (n = 20). The magnitude of the relationship was stronger in studies that controlled the amount of food available to birds. A funnel plot of the relationship between correlation coefficients and sample size failed to reveal an obvious publication bias. Although the meta-analysis results generally support the prediction that vigilance should decline with group size, a large amount of variation in vigilance remains unexplained in avian studies.","author":[{"dropping-particle":"","family":"Beauchamp","given":"Guy","non-dropping-particle":"","parse-names":false,"suffix":""}],"container-title":"Animal Behaviour","id":"ITEM-1","issued":{"date-parts":[["2013"]]},"page":"281-285","publisher":"Elsevier Ltd","title":"Is the magnitude of the group-size effect on vigilance underestimated?","type":"article-journal","volume":"85"},"uris":["http://www.mendeley.com/documents/?uuid=5ee17b42-3fcc-4d98-8557-edd74380b8ce"]}],"mendeley":{"formattedCitation":"(Beauchamp, 2013)","plainTextFormattedCitation":"(Beauchamp, 2013)","previouslyFormattedCitation":"(Beauchamp, 2013)"},"properties":{"noteIndex":0},"schema":"https://github.com/citation-style-language/schema/raw/master/csl-citation.json"}</w:instrText>
      </w:r>
      <w:r w:rsidR="00CA05CE">
        <w:fldChar w:fldCharType="separate"/>
      </w:r>
      <w:r w:rsidR="00CA05CE" w:rsidRPr="00204099">
        <w:rPr>
          <w:noProof/>
        </w:rPr>
        <w:t>(Beauchamp, 2013)</w:t>
      </w:r>
      <w:r w:rsidR="00CA05CE">
        <w:fldChar w:fldCharType="end"/>
      </w:r>
      <w:r w:rsidR="00CA05CE">
        <w:t>.</w:t>
      </w:r>
      <w:r>
        <w:t xml:space="preserve"> </w:t>
      </w:r>
      <w:r w:rsidR="00CA05CE">
        <w:t xml:space="preserve">Quantiles or percentiles are commonly used in descriptive statistics, but not as a statistical tool in behavioural ecology (for examples see </w:t>
      </w:r>
      <w:r w:rsidR="00CA05CE">
        <w:fldChar w:fldCharType="begin" w:fldLock="1"/>
      </w:r>
      <w:r w:rsidR="00CA05CE">
        <w:instrText>ADDIN CSL_CITATION {"citationItems":[{"id":"ITEM-1","itemData":{"DOI":"10.1007/s00265-012-1354-z","ISBN":"0340-5443","ISSN":"03405443","PMID":"304159600017","abstract":"A central goal of behavioral ecology is to quantify and explain variation in behavior. While much previous work has focused on the differences in mean behavior across groups or treatments, we present a complementary approach studying changes in the distribution of the response variable. This is important because changes in the edges of a distribution may be more informative than changes in the mean if behavior at the edges of a distribution better reflects behavioral constraints. Quantile regression estimates the rate of change of conditional quantiles of a response variable and thus allows the study of changes in any part of its distribution. Although quantile regression is gaining popularity in the ecological literature, it is strikingly unused in behavioral ecology. Here, we demonstrate the usefulness of this method by analyzing the relationship between the starting distance (SD) at which an observer approach a focal animal and its flight initiation distance (FID, the distance between the observer and the animal when it decides to flee). In particular, we used a simple model of flight initiation distance to show that in most situations ordinary least-square regression cannot be used to analyse the SD–FID relationship. Quantile regression conducted on the lowest quantiles appears more robust and we applied this approach to data from four bird species. Overall, changes in the lowest FID values appeared to be the most informative to determine if a species displays a “flush early” strategy, a strategy which has been hypothesized to be a general rule. We hope this example will bring quantile regression to the attention of behavioral ecologists as a valuable tool to add to their statistical toolbox.","author":[{"dropping-particle":"","family":"Chamaillé-Jammes","given":"Simon","non-dropping-particle":"","parse-names":false,"suffix":""},{"dropping-particle":"","family":"Blumstein","given":"Daniel T.","non-dropping-particle":"","parse-names":false,"suffix":""}],"container-title":"Behavioral Ecology and Sociobiology","id":"ITEM-1","issue":"6","issued":{"date-parts":[["2012"]]},"page":"985-992","title":"A case for quantile regression in behavioral ecology: Getting more out of flight initiation distance data","type":"article-journal","volume":"66"},"uris":["http://www.mendeley.com/documents/?uuid=acd2eab8-e0b8-4bf9-ab4f-600e9554fe2e"]},{"id":"ITEM-2","itemData":{"DOI":"10.1016/j.anbehav.2009.11.012","ISBN":"0003-3472","ISSN":"00033472","PMID":"19485986","abstract":"Time constraints can limit an animal's potential to survive in a given habitat and the maximum size of its group. Many studies have, therefore, investigated the ecological correlates of time allocated to travelling, foraging and vigilance. However, animals spend more time inactive than active, and understanding the determinants of this resting time may provide new insights into the habitat-specific time-budgeting problems that animals face. We analysed the environmental constraints that determine the minimum amount of daytime an average primate has to spend resting, using data from a wide range of ecologically different species. However, total resting time consists of two components: enforced resting time (imposed on the animal by ecological constraints) and free resting time (the time available for allocation to ecologically functional activities). We show that the ecologically important enforced resting time is determined by diet and annual temperature as well as by temperature variation. Our tests of the biological significance of this relationship show that enforced resting time distinguishes between locations that are suitable or unsuitable for particular genera. We show that an annual temperature increase of 2-4 °C would greatly increase enforced resting time, leading to serious time-budgeting problems for many species. The effect of changes to enforced resting time on the biogeographical distribution of species is especially strong for folivorous primates. This study shows that resting time is an important component of animal behaviour that can help us understand extinction risk and geographical distribution of taxa. © 2009 The Association for the Study of Animal Behaviour.","author":[{"dropping-particle":"","family":"Korstjens","given":"Amanda H.","non-dropping-particle":"","parse-names":false,"suffix":""},{"dropping-particle":"","family":"Lehmann","given":"Julia","non-dropping-particle":"","parse-names":false,"suffix":""},{"dropping-particle":"","family":"Dunbar","given":"R. I.M.","non-dropping-particle":"","parse-names":false,"suffix":""}],"container-title":"Animal Behaviour","id":"ITEM-2","issue":"2","issued":{"date-parts":[["2010"]]},"page":"361-374","publisher":"Elsevier Ltd","title":"Resting time as an ecological constraint on primate biogeography","type":"article-journal","volume":"79"},"uris":["http://www.mendeley.com/documents/?uuid=87a5c5f5-6b3d-45ed-9a3a-45ed9ef6ce6a"]}],"mendeley":{"formattedCitation":"(Chamaillé-Jammes &amp; Blumstein, 2012; Korstjens, Lehmann, &amp; Dunbar, 2010)","manualFormatting":"Chamaillé-Jammes &amp; Blumstein, 2012; Korstjens, Lehmann, &amp; Dunbar, 2010)","plainTextFormattedCitation":"(Chamaillé-Jammes &amp; Blumstein, 2012; Korstjens, Lehmann, &amp; Dunbar, 2010)","previouslyFormattedCitation":"(Chamaillé-Jammes &amp; Blumstein, 2012; Korstjens, Lehmann, &amp; Dunbar, 2010)"},"properties":{"noteIndex":0},"schema":"https://github.com/citation-style-language/schema/raw/master/csl-citation.json"}</w:instrText>
      </w:r>
      <w:r w:rsidR="00CA05CE">
        <w:fldChar w:fldCharType="separate"/>
      </w:r>
      <w:r w:rsidR="00CA05CE" w:rsidRPr="00E11E36">
        <w:rPr>
          <w:noProof/>
        </w:rPr>
        <w:t>Chamaillé-Jammes &amp; Blumstein, 2012; Korstjens, Lehmann, &amp; Dunbar, 2010)</w:t>
      </w:r>
      <w:r w:rsidR="00CA05CE">
        <w:fldChar w:fldCharType="end"/>
      </w:r>
      <w:r w:rsidR="00CA05CE">
        <w:t xml:space="preserve">. Quantile regression estimates multiple slopes instead of only the slope of the conditional mean as in linear regression </w:t>
      </w:r>
      <w:r w:rsidR="00CA05CE">
        <w:fldChar w:fldCharType="begin" w:fldLock="1"/>
      </w:r>
      <w:r w:rsidR="00CA05CE">
        <w:instrText>ADDIN CSL_CITATION {"citationItems":[{"id":"ITEM-1","itemData":{"author":[{"dropping-particle":"","family":"Cade","given":"Brian S","non-dropping-particle":"","parse-names":false,"suffix":""},{"dropping-particle":"","family":"Terrell","given":"James W","non-dropping-particle":"","parse-names":false,"suffix":""},{"dropping-particle":"","family":"Schroeder","given":"Richard L","non-dropping-particle":"","parse-names":false,"suffix":""}],"container-title":"Ecology","id":"ITEM-1","issue":"1","issued":{"date-parts":[["1999"]]},"page":"311-323","title":"Estimating effects of limiting factors with regression","type":"article-journal","volume":"80"},"uris":["http://www.mendeley.com/documents/?uuid=6ee2532a-a09f-4f5c-882a-841c5919e017"]},{"id":"ITEM-2","itemData":{"DOI":"10.2307/3868138","ISBN":"1540-9295","ISSN":"15409309","PMID":"221791500016","abstract":"Quantile regression is a way to estimate the conditional quantiles of a response variable distribution in the linear model that provides a more complete view of possible causal relationships between variables in ecological processes. Typically, all the factors that affect ecological processes are not measured and included in the statistical models used to investigate relationships between variables associated with those processes. As a consequence, there may be a weak or no predictive relationship between the mean of the response variable (y) distribution and the measured predictive factors (X). Yet there may be stronger, useful predictive relationships with other parts of the response variable distribution. This primer relates quantile regression estimates to prediction intervals in parametric error distribution regression models (eg least squares), and discusses the ordering characteristics, interval nature, sampling variation, weighting, and interpretation of the estimates for homogeneous and heterogeneous regression models.","author":[{"dropping-particle":"","family":"Cade","given":"Brian S.","non-dropping-particle":"","parse-names":false,"suffix":""},{"dropping-particle":"","family":"Noon","given":"Barry R.","non-dropping-particle":"","parse-names":false,"suffix":""}],"container-title":"Frontiers in Ecology and the Environment","id":"ITEM-2","issue":"8","issued":{"date-parts":[["2003"]]},"page":"412-420","title":"A gentle introduction to quantile regression for ecologists","type":"article-journal","volume":"1"},"uris":["http://www.mendeley.com/documents/?uuid=0f803c27-d4de-43c3-b483-ca14721e7ff4"]}],"mendeley":{"formattedCitation":"(Cade &amp; Noon, 2003; Cade, Terrell, &amp; Schroeder, 1999)","plainTextFormattedCitation":"(Cade &amp; Noon, 2003; Cade, Terrell, &amp; Schroeder, 1999)","previouslyFormattedCitation":"(Cade &amp; Noon, 2003; Cade, Terrell, &amp; Schroeder, 1999)"},"properties":{"noteIndex":0},"schema":"https://github.com/citation-style-language/schema/raw/master/csl-citation.json"}</w:instrText>
      </w:r>
      <w:r w:rsidR="00CA05CE">
        <w:fldChar w:fldCharType="separate"/>
      </w:r>
      <w:r w:rsidR="00CA05CE" w:rsidRPr="00FB2B64">
        <w:rPr>
          <w:noProof/>
        </w:rPr>
        <w:t>(Cade &amp; Noon, 2003; Cade, Terrell, &amp; Schroeder, 1999)</w:t>
      </w:r>
      <w:r w:rsidR="00CA05CE">
        <w:fldChar w:fldCharType="end"/>
      </w:r>
      <w:r w:rsidR="00CA05CE">
        <w:t xml:space="preserve">. The quantile regression estimate will indicate whether the level of vigilance for a specified quantile changes </w:t>
      </w:r>
      <w:r w:rsidR="00CA05CE" w:rsidRPr="001A3FEC">
        <w:rPr>
          <w:rFonts w:eastAsia="Times New Roman" w:cs="Times New Roman"/>
        </w:rPr>
        <w:t xml:space="preserve">for every increase </w:t>
      </w:r>
      <w:r w:rsidR="00CA05CE">
        <w:rPr>
          <w:rFonts w:eastAsia="Times New Roman" w:cs="Times New Roman"/>
        </w:rPr>
        <w:t>of group size by one individual, which tells us whether some levels of vigilance are more affected by group size than others.</w:t>
      </w:r>
      <w:r w:rsidR="0084499F">
        <w:rPr>
          <w:rFonts w:eastAsia="Times New Roman" w:cs="Times New Roman"/>
        </w:rPr>
        <w:t xml:space="preserve"> </w:t>
      </w:r>
      <w:r w:rsidR="00993490">
        <w:rPr>
          <w:rFonts w:eastAsia="Times New Roman" w:cs="Times New Roman"/>
        </w:rPr>
        <w:t>The relationship between vigilance and group size can be explained by the slopes of the lower quantiles if</w:t>
      </w:r>
      <w:r w:rsidR="0084499F">
        <w:rPr>
          <w:rFonts w:eastAsia="Times New Roman" w:cs="Times New Roman"/>
        </w:rPr>
        <w:t xml:space="preserve"> there is a positive interaction with an unknown factor, while</w:t>
      </w:r>
      <w:r w:rsidR="00993490">
        <w:rPr>
          <w:rFonts w:eastAsia="Times New Roman" w:cs="Times New Roman"/>
        </w:rPr>
        <w:t xml:space="preserve"> the relationship can be explained by the slopes of the higher quantiles</w:t>
      </w:r>
      <w:r w:rsidR="0084499F">
        <w:rPr>
          <w:rFonts w:eastAsia="Times New Roman" w:cs="Times New Roman"/>
        </w:rPr>
        <w:t xml:space="preserve"> if there is a negative interaction with an unknown factor </w:t>
      </w:r>
      <w:r w:rsidR="00593EFA">
        <w:rPr>
          <w:rFonts w:eastAsia="Times New Roman" w:cs="Times New Roman"/>
        </w:rPr>
        <w:fldChar w:fldCharType="begin" w:fldLock="1"/>
      </w:r>
      <w:r w:rsidR="008802D8">
        <w:rPr>
          <w:rFonts w:eastAsia="Times New Roman" w:cs="Times New Roman"/>
        </w:rPr>
        <w:instrText>ADDIN CSL_CITATION {"citationItems":[{"id":"ITEM-1","itemData":{"DOI":"10.1093/beheco/arn096","ISBN":"1045-2249","ISSN":"10452249","abstract":"Vigilance has been predicted to decrease with group size due to increased predator detection and dilution of predation risk in larger groups. Although earlier literature reviews have provided ample support for this prediction, an increasing number of studies have failed to document a decline in vigilance with group size. In addition, support for this prediction has been based thus far on the P value of the relationship between vigilance and group size rather than on a quantitative assessment of effect magnitude. Here, I use a meta-analysis of empirical relationships between vigilance and group size in birds published in the last 35 years to provide a reassessment of the group-size effect on vigilance. Nearly one-third of all published relationships between vigilance and group size were not significant (n = 172). Results from the meta-analysis indicate weak to moderate negative correlations between group size and time spent vigilant (n = 43), scan frequency (n = 29), or scan duration (n = 20). The magnitude of the relationship was stronger in studies that controlled the amount of food available to birds. A funnel plot of the relationship between correlation coefficients and sample size failed to reveal an obvious publication bias. Although the meta-analysis results generally support the prediction that vigilance should decline with group size, a large amount of variation in vigilance remains unexplained in avian studies.","author":[{"dropping-particle":"","family":"Beauchamp","given":"Guy","non-dropping-particle":"","parse-names":false,"suffix":""}],"container-title":"Animal Behaviour","id":"ITEM-1","issued":{"date-parts":[["2013"]]},"page":"281-285","publisher":"Elsevier Ltd","title":"Is the magnitude of the group-size effect on vigilance underestimated?","type":"article-journal","volume":"85"},"uris":["http://www.mendeley.com/documents/?uuid=5ee17b42-3fcc-4d98-8557-edd74380b8ce"]},{"id":"ITEM-2","itemData":{"DOI":"10.1890/04-0785","ISBN":"0012-9658","ISSN":"0012-9658","PMID":"904","author":[{"dropping-particle":"","family":"Cade","given":"Brian S","non-dropping-particle":"","parse-names":false,"suffix":""},{"dropping-particle":"","family":"Noon","given":"Barry R","non-dropping-particle":"","parse-names":false,"suffix":""},{"dropping-particle":"","family":"Flather","given":"Curtis H","non-dropping-particle":"","parse-names":false,"suffix":""}],"container-title":"Ecology","id":"ITEM-2","issue":"3","issued":{"date-parts":[["2005"]]},"page":"786-800","title":"Quantile regression reveals hidden bias and uncertainity in habitat models.","type":"article-journal","volume":"86"},"uris":["http://www.mendeley.com/documents/?uuid=720080a0-ba40-480d-9697-36a4712a2750"]}],"mendeley":{"formattedCitation":"(Beauchamp, 2013; Cade, Noon, &amp; Flather, 2005)","plainTextFormattedCitation":"(Beauchamp, 2013; Cade, Noon, &amp; Flather, 2005)","previouslyFormattedCitation":"(Beauchamp, 2013; Cade, Noon, &amp; Flather, 2005)"},"properties":{"noteIndex":0},"schema":"https://github.com/citation-style-language/schema/raw/master/csl-citation.json"}</w:instrText>
      </w:r>
      <w:r w:rsidR="00593EFA">
        <w:rPr>
          <w:rFonts w:eastAsia="Times New Roman" w:cs="Times New Roman"/>
        </w:rPr>
        <w:fldChar w:fldCharType="separate"/>
      </w:r>
      <w:r w:rsidR="00593EFA" w:rsidRPr="00593EFA">
        <w:rPr>
          <w:rFonts w:eastAsia="Times New Roman" w:cs="Times New Roman"/>
          <w:noProof/>
        </w:rPr>
        <w:t>(Beauchamp, 2013; Cade, Noon, &amp; Flather, 2005)</w:t>
      </w:r>
      <w:r w:rsidR="00593EFA">
        <w:rPr>
          <w:rFonts w:eastAsia="Times New Roman" w:cs="Times New Roman"/>
        </w:rPr>
        <w:fldChar w:fldCharType="end"/>
      </w:r>
      <w:r w:rsidR="0084499F">
        <w:rPr>
          <w:rFonts w:eastAsia="Times New Roman" w:cs="Times New Roman"/>
        </w:rPr>
        <w:t xml:space="preserve">. </w:t>
      </w:r>
      <w:r w:rsidR="00182589">
        <w:t>As</w:t>
      </w:r>
      <w:r w:rsidR="00CA05CE">
        <w:t xml:space="preserve"> </w:t>
      </w:r>
      <w:r w:rsidR="00695FCF">
        <w:t>i</w:t>
      </w:r>
      <w:r w:rsidR="007E71D0">
        <w:t xml:space="preserve">ndividual and collective low- and high-quality vigilance </w:t>
      </w:r>
      <w:r w:rsidR="00182589">
        <w:t xml:space="preserve">in our study </w:t>
      </w:r>
      <w:r w:rsidR="00695FCF">
        <w:t xml:space="preserve">did not </w:t>
      </w:r>
      <w:r w:rsidR="00BD3DE9">
        <w:t>show</w:t>
      </w:r>
      <w:r w:rsidR="009E37A3">
        <w:t xml:space="preserve"> </w:t>
      </w:r>
      <w:r w:rsidR="00182589">
        <w:t xml:space="preserve">a </w:t>
      </w:r>
      <w:r w:rsidR="00BD3DE9">
        <w:t>constant variance,</w:t>
      </w:r>
      <w:r w:rsidR="009E37A3">
        <w:t xml:space="preserve"> </w:t>
      </w:r>
      <w:r w:rsidR="00182589">
        <w:t xml:space="preserve">we used </w:t>
      </w:r>
      <w:r w:rsidR="00BD3DE9">
        <w:t xml:space="preserve">quantile regression </w:t>
      </w:r>
      <w:r w:rsidR="00182589">
        <w:t xml:space="preserve">as </w:t>
      </w:r>
      <w:r w:rsidR="00BD3DE9">
        <w:t>an appropriate alternative</w:t>
      </w:r>
      <w:r w:rsidR="00182589">
        <w:t xml:space="preserve"> test</w:t>
      </w:r>
      <w:r w:rsidR="00BD3DE9">
        <w:t xml:space="preserve"> to </w:t>
      </w:r>
      <w:r w:rsidR="00182589">
        <w:t xml:space="preserve">a </w:t>
      </w:r>
      <w:r w:rsidR="00BD3DE9">
        <w:t xml:space="preserve">least squares regression. </w:t>
      </w:r>
    </w:p>
    <w:p w14:paraId="4D950C29" w14:textId="546F004E" w:rsidR="00DC31D5" w:rsidRPr="00F73F32" w:rsidRDefault="00DC31D5" w:rsidP="00284873">
      <w:pPr>
        <w:pStyle w:val="NoSpacing"/>
        <w:spacing w:line="480" w:lineRule="auto"/>
        <w:ind w:firstLine="709"/>
      </w:pPr>
      <w:r>
        <w:lastRenderedPageBreak/>
        <w:t>W</w:t>
      </w:r>
      <w:r>
        <w:rPr>
          <w:rFonts w:eastAsia="Times New Roman" w:cs="Times New Roman"/>
          <w:iCs/>
        </w:rPr>
        <w:t xml:space="preserve">e used </w:t>
      </w:r>
      <w:r>
        <w:t xml:space="preserve">linear quantile mixed models (function ‘lqmm’) using the package ‘lqmm’ in R </w:t>
      </w:r>
      <w:r>
        <w:fldChar w:fldCharType="begin" w:fldLock="1"/>
      </w:r>
      <w:r w:rsidR="007C7EDC">
        <w:instrText>ADDIN CSL_CITATION {"citationItems":[{"id":"ITEM-1","itemData":{"DOI":"http://dx.doi.org/10.18637/jss.v057.i13","ISSN":"15487660","abstract":"Inference in quantile analysis has received considerable attention in the recent years. Linear quantile mixed models (LQMMs) (Geraci and Bottai 2013) represent a flexible statistical tool to analyse data from sampling designs such as multilevel, spatial, panel or longitudinal which induce some form of clustering. In this paper, I will show how to estimate conditional quantile functions with random effects using the R package lqmm. Modelling, estimation and inference are discussed in detail using a real data example. A thorough description of the optimization algorithms is also provided.","author":[{"dropping-particle":"","family":"Geraci","given":"Marco","non-dropping-particle":"","parse-names":false,"suffix":""}],"container-title":"Journal of Statistical Software","id":"ITEM-1","issue":"13","issued":{"date-parts":[["2014"]]},"page":"1-29","title":"Linear quantile mixed models: the lqmm package for Laplace quantile regression","type":"article-journal","volume":"57"},"uris":["http://www.mendeley.com/documents/?uuid=d7741556-e358-4899-a67f-8178baa69e4d"]}],"mendeley":{"formattedCitation":"(Geraci, 2014)","plainTextFormattedCitation":"(Geraci, 2014)","previouslyFormattedCitation":"(Geraci, 2014)"},"properties":{"noteIndex":0},"schema":"https://github.com/citation-style-language/schema/raw/master/csl-citation.json"}</w:instrText>
      </w:r>
      <w:r>
        <w:fldChar w:fldCharType="separate"/>
      </w:r>
      <w:r w:rsidR="00FB2B64" w:rsidRPr="00FB2B64">
        <w:rPr>
          <w:noProof/>
        </w:rPr>
        <w:t>(Geraci, 2014)</w:t>
      </w:r>
      <w:r>
        <w:fldChar w:fldCharType="end"/>
      </w:r>
      <w:r w:rsidR="000466AC">
        <w:t xml:space="preserve"> to test for a relationship between individual or collective low- or high-quality vigilance and group size</w:t>
      </w:r>
      <w:r>
        <w:t>.</w:t>
      </w:r>
      <w:r w:rsidR="00F46C08">
        <w:t xml:space="preserve"> </w:t>
      </w:r>
      <w:r w:rsidR="004D653A" w:rsidRPr="004D653A">
        <w:t xml:space="preserve">We included ID as a random factor in our individual low- and high-quality vigilance models, because we had multiple measurements per ID in our individual vigilance calculations, while we included site as a random factor in our collective low- and high-quality vigilance models, because we had multiple measurements for </w:t>
      </w:r>
      <w:r w:rsidR="0052469C">
        <w:t xml:space="preserve">each </w:t>
      </w:r>
      <w:r w:rsidR="004D653A" w:rsidRPr="004D653A">
        <w:t>site in our collective vigilance measurements.</w:t>
      </w:r>
      <w:r w:rsidR="004D653A">
        <w:t xml:space="preserve"> </w:t>
      </w:r>
      <w:r>
        <w:t xml:space="preserve">We set the arguments and corresponding values to default. </w:t>
      </w:r>
      <w:r w:rsidR="002A6C41">
        <w:t xml:space="preserve">Following </w:t>
      </w:r>
      <w:r w:rsidR="002A6C41">
        <w:fldChar w:fldCharType="begin" w:fldLock="1"/>
      </w:r>
      <w:r w:rsidR="002A6C41">
        <w:instrText>ADDIN CSL_CITATION {"citationItems":[{"id":"ITEM-1","itemData":{"DOI":"10.1093/beheco/arn096","ISBN":"1045-2249","ISSN":"10452249","abstract":"Vigilance has been predicted to decrease with group size due to increased predator detection and dilution of predation risk in larger groups. Although earlier literature reviews have provided ample support for this prediction, an increasing number of studies have failed to document a decline in vigilance with group size. In addition, support for this prediction has been based thus far on the P value of the relationship between vigilance and group size rather than on a quantitative assessment of effect magnitude. Here, I use a meta-analysis of empirical relationships between vigilance and group size in birds published in the last 35 years to provide a reassessment of the group-size effect on vigilance. Nearly one-third of all published relationships between vigilance and group size were not significant (n = 172). Results from the meta-analysis indicate weak to moderate negative correlations between group size and time spent vigilant (n = 43), scan frequency (n = 29), or scan duration (n = 20). The magnitude of the relationship was stronger in studies that controlled the amount of food available to birds. A funnel plot of the relationship between correlation coefficients and sample size failed to reveal an obvious publication bias. Although the meta-analysis results generally support the prediction that vigilance should decline with group size, a large amount of variation in vigilance remains unexplained in avian studies.","author":[{"dropping-particle":"","family":"Beauchamp","given":"Guy","non-dropping-particle":"","parse-names":false,"suffix":""}],"container-title":"Animal Behaviour","id":"ITEM-1","issued":{"date-parts":[["2013"]]},"page":"281-285","publisher":"Elsevier Ltd","title":"Is the magnitude of the group-size effect on vigilance underestimated?","type":"article-journal","volume":"85"},"uris":["http://www.mendeley.com/documents/?uuid=5ee17b42-3fcc-4d98-8557-edd74380b8ce"]}],"mendeley":{"formattedCitation":"(Beauchamp, 2013)","manualFormatting":"Beauchamp (2013)","plainTextFormattedCitation":"(Beauchamp, 2013)","previouslyFormattedCitation":"(Beauchamp, 2013)"},"properties":{"noteIndex":0},"schema":"https://github.com/citation-style-language/schema/raw/master/csl-citation.json"}</w:instrText>
      </w:r>
      <w:r w:rsidR="002A6C41">
        <w:fldChar w:fldCharType="separate"/>
      </w:r>
      <w:r w:rsidR="002A6C41" w:rsidRPr="00E94076">
        <w:rPr>
          <w:noProof/>
        </w:rPr>
        <w:t xml:space="preserve">Beauchamp </w:t>
      </w:r>
      <w:r w:rsidR="002A6C41">
        <w:rPr>
          <w:noProof/>
        </w:rPr>
        <w:t>(</w:t>
      </w:r>
      <w:r w:rsidR="002A6C41" w:rsidRPr="00E94076">
        <w:rPr>
          <w:noProof/>
        </w:rPr>
        <w:t>2013)</w:t>
      </w:r>
      <w:r w:rsidR="002A6C41">
        <w:fldChar w:fldCharType="end"/>
      </w:r>
      <w:r w:rsidR="002A6C41">
        <w:t xml:space="preserve">, we set our quantiles (tau) to 0.2, 0.5 (i.e., median), and 0.8. </w:t>
      </w:r>
      <w:r>
        <w:t>We compared the random intercept and slope models using Aikake’s Information Criterion (AIC), and used the model with the lowest AIC in our analyses.</w:t>
      </w:r>
      <w:r w:rsidR="002A66E9">
        <w:t xml:space="preserve"> </w:t>
      </w:r>
      <w:r w:rsidR="002A6C41">
        <w:t xml:space="preserve">The random intercept and slope models test whether intercepts or slopes differ from 0. </w:t>
      </w:r>
      <w:r w:rsidR="00335C2D">
        <w:t xml:space="preserve">We </w:t>
      </w:r>
      <w:r w:rsidR="00335C2D" w:rsidRPr="00EE1721">
        <w:t>increased</w:t>
      </w:r>
      <w:r w:rsidR="00335C2D">
        <w:t xml:space="preserve"> the </w:t>
      </w:r>
      <w:r w:rsidR="00335C2D" w:rsidRPr="00EE1721">
        <w:t>optimised tolerance</w:t>
      </w:r>
      <w:r w:rsidR="00335C2D">
        <w:t xml:space="preserve"> to</w:t>
      </w:r>
      <w:r w:rsidR="00335C2D" w:rsidRPr="00EE1721">
        <w:t xml:space="preserve"> 1e-3 and </w:t>
      </w:r>
      <w:r w:rsidR="00335C2D">
        <w:t xml:space="preserve">the maximum iterations to a thousand, to avoid </w:t>
      </w:r>
      <w:r>
        <w:t xml:space="preserve">a convergence warning of the lower loop for all models, except the collective </w:t>
      </w:r>
      <w:r w:rsidR="002810C0">
        <w:t xml:space="preserve">high-quality vigilance </w:t>
      </w:r>
      <w:r>
        <w:t>model.</w:t>
      </w:r>
      <w:r w:rsidR="00986FE2">
        <w:t xml:space="preserve"> </w:t>
      </w:r>
      <w:r w:rsidR="00986FE2">
        <w:rPr>
          <w:rFonts w:eastAsia="Times New Roman" w:cs="Times New Roman"/>
        </w:rPr>
        <w:t>The total variation explained by the random factors ID and site for individual and collective vigilance, respectively, is called the intraclass correlation coefficient (ICC).</w:t>
      </w:r>
    </w:p>
    <w:p w14:paraId="76EB81D5" w14:textId="32A19B2F" w:rsidR="003344BC" w:rsidRDefault="003344BC" w:rsidP="00DC31D5">
      <w:pPr>
        <w:pStyle w:val="NoSpacing"/>
        <w:spacing w:line="480" w:lineRule="auto"/>
      </w:pPr>
      <w:r>
        <w:tab/>
      </w:r>
    </w:p>
    <w:p w14:paraId="2BA86455" w14:textId="0E8FE83A" w:rsidR="00DC31D5" w:rsidRPr="00C27123" w:rsidRDefault="00DC31D5" w:rsidP="00DC31D5">
      <w:pPr>
        <w:pStyle w:val="NoSpacing"/>
        <w:spacing w:line="480" w:lineRule="auto"/>
        <w:rPr>
          <w:rFonts w:eastAsia="Times New Roman" w:cs="Times New Roman"/>
          <w:i/>
        </w:rPr>
      </w:pPr>
      <w:r>
        <w:rPr>
          <w:rFonts w:eastAsia="Times New Roman" w:cs="Times New Roman"/>
          <w:i/>
        </w:rPr>
        <w:t>Response to predator encounters</w:t>
      </w:r>
    </w:p>
    <w:p w14:paraId="761DD0A4" w14:textId="751A7CB0" w:rsidR="00DC31D5" w:rsidRDefault="00DC31D5" w:rsidP="00DC31D5">
      <w:pPr>
        <w:pStyle w:val="NoSpacing"/>
        <w:spacing w:line="480" w:lineRule="auto"/>
        <w:ind w:firstLine="720"/>
        <w:rPr>
          <w:rFonts w:eastAsia="Times New Roman" w:cs="Times New Roman"/>
        </w:rPr>
      </w:pPr>
      <w:r>
        <w:rPr>
          <w:color w:val="222222"/>
        </w:rPr>
        <w:t>We</w:t>
      </w:r>
      <w:r w:rsidRPr="00AF2E91">
        <w:rPr>
          <w:color w:val="222222"/>
        </w:rPr>
        <w:t xml:space="preserve"> record</w:t>
      </w:r>
      <w:r>
        <w:rPr>
          <w:color w:val="222222"/>
        </w:rPr>
        <w:t>ed</w:t>
      </w:r>
      <w:r w:rsidRPr="00AF2E91">
        <w:rPr>
          <w:color w:val="222222"/>
        </w:rPr>
        <w:t xml:space="preserve"> </w:t>
      </w:r>
      <w:r>
        <w:rPr>
          <w:rFonts w:eastAsia="Times New Roman" w:cs="Times New Roman"/>
        </w:rPr>
        <w:t xml:space="preserve">anti-predator behaviour after predator encounters using </w:t>
      </w:r>
      <w:r w:rsidRPr="00AF2E91">
        <w:rPr>
          <w:rFonts w:eastAsia="Times New Roman" w:cs="Times New Roman"/>
        </w:rPr>
        <w:t>all</w:t>
      </w:r>
      <w:r>
        <w:rPr>
          <w:rFonts w:eastAsia="Times New Roman" w:cs="Times New Roman"/>
        </w:rPr>
        <w:t xml:space="preserve">-occurrence sampling </w:t>
      </w:r>
      <w:r>
        <w:rPr>
          <w:rFonts w:eastAsia="Times New Roman" w:cs="Times New Roman"/>
        </w:rPr>
        <w:fldChar w:fldCharType="begin" w:fldLock="1"/>
      </w:r>
      <w:r w:rsidR="007C7EDC">
        <w:rPr>
          <w:rFonts w:eastAsia="Times New Roman" w:cs="Times New Roman"/>
        </w:rPr>
        <w:instrText>ADDIN CSL_CITATION {"citationItems":[{"id":"ITEM-1","itemData":{"author":[{"dropping-particle":"","family":"Altmann","given":"Jeanne","non-dropping-particle":"","parse-names":false,"suffix":""}],"container-title":"Behaviour","id":"ITEM-1","issued":{"date-parts":[["1974"]]},"page":"227-267","title":"Observational study of behavior: Sampling methods","type":"article-journal","volume":"49"},"uris":["http://www.mendeley.com/documents/?uuid=bd4f0d33-e498-41a7-b47d-247022aa1639"]}],"mendeley":{"formattedCitation":"(Altmann, 1974)","plainTextFormattedCitation":"(Altmann, 1974)","previouslyFormattedCitation":"(Altmann, 1974)"},"properties":{"noteIndex":0},"schema":"https://github.com/citation-style-language/schema/raw/master/csl-citation.json"}</w:instrText>
      </w:r>
      <w:r>
        <w:rPr>
          <w:rFonts w:eastAsia="Times New Roman" w:cs="Times New Roman"/>
        </w:rPr>
        <w:fldChar w:fldCharType="separate"/>
      </w:r>
      <w:r w:rsidR="00FB2B64" w:rsidRPr="00FB2B64">
        <w:rPr>
          <w:rFonts w:eastAsia="Times New Roman" w:cs="Times New Roman"/>
          <w:noProof/>
        </w:rPr>
        <w:t>(Altmann, 1974)</w:t>
      </w:r>
      <w:r>
        <w:rPr>
          <w:rFonts w:eastAsia="Times New Roman" w:cs="Times New Roman"/>
        </w:rPr>
        <w:fldChar w:fldCharType="end"/>
      </w:r>
      <w:r w:rsidR="005D0C47">
        <w:rPr>
          <w:rFonts w:eastAsia="Times New Roman" w:cs="Times New Roman"/>
        </w:rPr>
        <w:t xml:space="preserve"> throughout our field season</w:t>
      </w:r>
      <w:r>
        <w:t>.</w:t>
      </w:r>
      <w:r>
        <w:rPr>
          <w:rFonts w:eastAsia="Times New Roman" w:cs="Times New Roman"/>
        </w:rPr>
        <w:t xml:space="preserve"> </w:t>
      </w:r>
      <w:r w:rsidR="00B02317">
        <w:rPr>
          <w:rFonts w:eastAsia="Times New Roman" w:cs="Times New Roman"/>
        </w:rPr>
        <w:t>We recorded any predators (see introduction) present or flying over</w:t>
      </w:r>
      <w:r w:rsidR="009E37A3">
        <w:rPr>
          <w:rFonts w:eastAsia="Times New Roman" w:cs="Times New Roman"/>
        </w:rPr>
        <w:t>, whether predators attacked,</w:t>
      </w:r>
      <w:r w:rsidR="00B02317">
        <w:rPr>
          <w:rFonts w:eastAsia="Times New Roman" w:cs="Times New Roman"/>
        </w:rPr>
        <w:t xml:space="preserve"> and whether they were successful in their attack during our behavioural observations. </w:t>
      </w:r>
      <w:r w:rsidR="00B02317">
        <w:t xml:space="preserve">Additionally, we </w:t>
      </w:r>
      <w:r w:rsidR="00771B1F">
        <w:t xml:space="preserve">recorded </w:t>
      </w:r>
      <w:r>
        <w:t>dogs (</w:t>
      </w:r>
      <w:r>
        <w:rPr>
          <w:i/>
        </w:rPr>
        <w:t>Canis lupus familiaris</w:t>
      </w:r>
      <w:r>
        <w:t>) and unknown humans</w:t>
      </w:r>
      <w:r w:rsidR="003A7F9C">
        <w:t>,</w:t>
      </w:r>
      <w:r>
        <w:t xml:space="preserve"> as they can elicit alarm responses </w:t>
      </w:r>
      <w:r>
        <w:fldChar w:fldCharType="begin" w:fldLock="1"/>
      </w:r>
      <w:r w:rsidR="007C7EDC">
        <w:instrText>ADDIN CSL_CITATION {"citationItems":[{"id":"ITEM-1","itemData":{"DOI":"10.1086/596541","ISSN":"0003-0147","abstract":"A major evolutionary force driving functionally referential alarm calls is the need for different strategies to escape various predator types in complex structured habitats. In contrast, a single escape strategy appears to be sufficient in less ... structured open habitats, and under such conditions urgency ... dependent alarm calls may be favored. Nevertheless, some species, such as meerkats (Suricata suricatta), have evolved functionally referential alarm calls despite living in open areas, using only bolt ... holes for retreat. To understand the evolution of different alarm call systems, we investigated the calls of sympatric Cape ground squirrels (Xerus inauris) and compared their antipredator and foraging behavior with that of meerkats. Cape ground squirrels emitted urgency ... dependent alarm calls and responded to playbacks depending on urgency, not predator type. Vigilance behavior and habitat use differed between the two species. Meerkats roam widely to find prey and for efficient foraging depend on coordinated predator vigilance and escape behavior. As herbivores with smaller territories, Cape ground squirrels depend less on coordinated antipredator behavior, and urgency ... dependent alarm calls encode all essential information. We conclude that habitat complexity does not explain the evolution of functionally referential alarm calls in all species, and other constraints, such as the need to coordinate group movements to maintain foraging efficiency, could be more relevant. (ProQuest: ... denotes formulae/symbols omitted.)","author":[{"dropping-particle":"","family":"Furrer","given":"Roman D.","non-dropping-particle":"","parse-names":false,"suffix":""},{"dropping-particle":"","family":"Manser","given":"Marta B","non-dropping-particle":"","parse-names":false,"suffix":""}],"container-title":"The American Naturalist","id":"ITEM-1","issue":"3","issued":{"date-parts":[["2009"]]},"page":"400-410","title":"The evolution of urgency based and functionally referential alarm calls in ground dwelling species","type":"article-journal","volume":"173"},"uris":["http://www.mendeley.com/documents/?uuid=9430bad4-6d1d-428c-9ebb-b4623a72f7d3"]}],"mendeley":{"formattedCitation":"(Furrer &amp; Manser, 2009)","plainTextFormattedCitation":"(Furrer &amp; Manser, 2009)","previouslyFormattedCitation":"(Furrer &amp; Manser, 2009)"},"properties":{"noteIndex":0},"schema":"https://github.com/citation-style-language/schema/raw/master/csl-citation.json"}</w:instrText>
      </w:r>
      <w:r>
        <w:fldChar w:fldCharType="separate"/>
      </w:r>
      <w:r w:rsidR="00FB2B64" w:rsidRPr="00FB2B64">
        <w:rPr>
          <w:noProof/>
        </w:rPr>
        <w:t>(Furrer &amp; Manser, 2009)</w:t>
      </w:r>
      <w:r>
        <w:fldChar w:fldCharType="end"/>
      </w:r>
      <w:r>
        <w:t xml:space="preserve">. Barbary ground squirrels did not perceive the human observers that regularly visited the sites as a threat, i.e., the squirrels did not </w:t>
      </w:r>
      <w:r w:rsidR="00DB5EBA">
        <w:t xml:space="preserve">change their behaviour </w:t>
      </w:r>
      <w:r>
        <w:t>when the observer(s) arrived.</w:t>
      </w:r>
      <w:r w:rsidR="00B02317">
        <w:t xml:space="preserve"> We also recorded if heterospecific species (e.g., common h</w:t>
      </w:r>
      <w:r w:rsidR="00B02317" w:rsidRPr="003E6EA3">
        <w:t>oopoe</w:t>
      </w:r>
      <w:r w:rsidR="00B02317">
        <w:t xml:space="preserve"> (</w:t>
      </w:r>
      <w:r w:rsidR="00B02317" w:rsidRPr="003E6EA3">
        <w:rPr>
          <w:i/>
        </w:rPr>
        <w:t>Upupa epops</w:t>
      </w:r>
      <w:r w:rsidR="00B02317">
        <w:t>), great grey s</w:t>
      </w:r>
      <w:r w:rsidR="00B02317" w:rsidRPr="003E6EA3">
        <w:t>hrike</w:t>
      </w:r>
      <w:r w:rsidR="00B02317">
        <w:t xml:space="preserve"> (</w:t>
      </w:r>
      <w:r w:rsidR="00B02317" w:rsidRPr="003E6EA3">
        <w:rPr>
          <w:i/>
        </w:rPr>
        <w:t>Lanius excubitor</w:t>
      </w:r>
      <w:r w:rsidR="00B02317">
        <w:t>), houbara bustard (</w:t>
      </w:r>
      <w:r w:rsidR="00B02317" w:rsidRPr="003E6EA3">
        <w:rPr>
          <w:i/>
        </w:rPr>
        <w:t>Chlamydotis undulata</w:t>
      </w:r>
      <w:r w:rsidR="00B02317">
        <w:t xml:space="preserve">), </w:t>
      </w:r>
      <w:r w:rsidR="00B02317">
        <w:lastRenderedPageBreak/>
        <w:t>and the</w:t>
      </w:r>
      <w:r w:rsidR="00B02317" w:rsidRPr="003E6EA3">
        <w:t xml:space="preserve"> </w:t>
      </w:r>
      <w:r w:rsidR="00B02317">
        <w:t>Spanish s</w:t>
      </w:r>
      <w:r w:rsidR="00B02317" w:rsidRPr="003E6EA3">
        <w:t>parrow</w:t>
      </w:r>
      <w:r w:rsidR="00B02317">
        <w:t xml:space="preserve"> (</w:t>
      </w:r>
      <w:r w:rsidR="00B02317" w:rsidRPr="003E6EA3">
        <w:rPr>
          <w:i/>
        </w:rPr>
        <w:t>Passer hispaniolensis</w:t>
      </w:r>
      <w:r w:rsidR="00B02317">
        <w:t>)) alarm called prior to Barbary ground squirrel alarm calls.</w:t>
      </w:r>
      <w:r>
        <w:t xml:space="preserve"> </w:t>
      </w:r>
      <w:r w:rsidR="00137F0D">
        <w:t>Since we had observation bias (</w:t>
      </w:r>
      <w:r w:rsidR="009E37A3">
        <w:t>Appendix Table A2</w:t>
      </w:r>
      <w:r w:rsidR="00137F0D">
        <w:t xml:space="preserve">), we divided the number of predators by total hours observed </w:t>
      </w:r>
      <w:r w:rsidR="00070CD1">
        <w:t>per</w:t>
      </w:r>
      <w:r w:rsidR="00137F0D">
        <w:t xml:space="preserve"> site. </w:t>
      </w:r>
      <w:r>
        <w:t xml:space="preserve">We tested whether the predator (aerial, terrestrial, and both combined) observations differed per site using </w:t>
      </w:r>
      <w:r w:rsidRPr="009C0100">
        <w:t>Pearson's chi-squared test</w:t>
      </w:r>
      <w:r>
        <w:t>s. We considered t</w:t>
      </w:r>
      <w:r>
        <w:rPr>
          <w:rFonts w:eastAsia="Times New Roman" w:cs="Times New Roman"/>
        </w:rPr>
        <w:t xml:space="preserve">errestrial predators a </w:t>
      </w:r>
      <w:r w:rsidR="00731640">
        <w:rPr>
          <w:rFonts w:eastAsia="Times New Roman" w:cs="Times New Roman"/>
        </w:rPr>
        <w:t>‘</w:t>
      </w:r>
      <w:r>
        <w:rPr>
          <w:rFonts w:eastAsia="Times New Roman" w:cs="Times New Roman"/>
        </w:rPr>
        <w:t>high urgency</w:t>
      </w:r>
      <w:r w:rsidR="00731640">
        <w:rPr>
          <w:rFonts w:eastAsia="Times New Roman" w:cs="Times New Roman"/>
        </w:rPr>
        <w:t>’</w:t>
      </w:r>
      <w:r>
        <w:rPr>
          <w:rFonts w:eastAsia="Times New Roman" w:cs="Times New Roman"/>
        </w:rPr>
        <w:t xml:space="preserve"> threat when they were observed within 30 m of the alarm caller or a </w:t>
      </w:r>
      <w:r w:rsidR="00731640">
        <w:rPr>
          <w:rFonts w:eastAsia="Times New Roman" w:cs="Times New Roman"/>
        </w:rPr>
        <w:t>‘</w:t>
      </w:r>
      <w:r>
        <w:rPr>
          <w:rFonts w:eastAsia="Times New Roman" w:cs="Times New Roman"/>
        </w:rPr>
        <w:t>low urgency</w:t>
      </w:r>
      <w:r w:rsidR="00731640">
        <w:rPr>
          <w:rFonts w:eastAsia="Times New Roman" w:cs="Times New Roman"/>
        </w:rPr>
        <w:t>’</w:t>
      </w:r>
      <w:r>
        <w:rPr>
          <w:rFonts w:eastAsia="Times New Roman" w:cs="Times New Roman"/>
        </w:rPr>
        <w:t xml:space="preserve"> threat when they appeared at more than 30 m of the caller </w:t>
      </w:r>
      <w:r>
        <w:rPr>
          <w:rFonts w:eastAsia="Times New Roman" w:cs="Times New Roman"/>
        </w:rPr>
        <w:fldChar w:fldCharType="begin" w:fldLock="1"/>
      </w:r>
      <w:r w:rsidR="007C7EDC">
        <w:rPr>
          <w:rFonts w:eastAsia="Times New Roman" w:cs="Times New Roman"/>
        </w:rPr>
        <w:instrText>ADDIN CSL_CITATION {"citationItems":[{"id":"ITEM-1","itemData":{"DOI":"10.1086/596541","ISSN":"0003-0147","abstract":"A major evolutionary force driving functionally referential alarm calls is the need for different strategies to escape various predator types in complex structured habitats. In contrast, a single escape strategy appears to be sufficient in less ... structured open habitats, and under such conditions urgency ... dependent alarm calls may be favored. Nevertheless, some species, such as meerkats (Suricata suricatta), have evolved functionally referential alarm calls despite living in open areas, using only bolt ... holes for retreat. To understand the evolution of different alarm call systems, we investigated the calls of sympatric Cape ground squirrels (Xerus inauris) and compared their antipredator and foraging behavior with that of meerkats. Cape ground squirrels emitted urgency ... dependent alarm calls and responded to playbacks depending on urgency, not predator type. Vigilance behavior and habitat use differed between the two species. Meerkats roam widely to find prey and for efficient foraging depend on coordinated predator vigilance and escape behavior. As herbivores with smaller territories, Cape ground squirrels depend less on coordinated antipredator behavior, and urgency ... dependent alarm calls encode all essential information. We conclude that habitat complexity does not explain the evolution of functionally referential alarm calls in all species, and other constraints, such as the need to coordinate group movements to maintain foraging efficiency, could be more relevant. (ProQuest: ... denotes formulae/symbols omitted.)","author":[{"dropping-particle":"","family":"Furrer","given":"Roman D.","non-dropping-particle":"","parse-names":false,"suffix":""},{"dropping-particle":"","family":"Manser","given":"Marta B","non-dropping-particle":"","parse-names":false,"suffix":""}],"container-title":"The American Naturalist","id":"ITEM-1","issue":"3","issued":{"date-parts":[["2009"]]},"page":"400-410","title":"The evolution of urgency based and functionally referential alarm calls in ground dwelling species","type":"article-journal","volume":"173"},"uris":["http://www.mendeley.com/documents/?uuid=9430bad4-6d1d-428c-9ebb-b4623a72f7d3"]}],"mendeley":{"formattedCitation":"(Furrer &amp; Manser, 2009)","plainTextFormattedCitation":"(Furrer &amp; Manser, 2009)","previouslyFormattedCitation":"(Furrer &amp; Manser, 2009)"},"properties":{"noteIndex":0},"schema":"https://github.com/citation-style-language/schema/raw/master/csl-citation.json"}</w:instrText>
      </w:r>
      <w:r>
        <w:rPr>
          <w:rFonts w:eastAsia="Times New Roman" w:cs="Times New Roman"/>
        </w:rPr>
        <w:fldChar w:fldCharType="separate"/>
      </w:r>
      <w:r w:rsidR="00FB2B64" w:rsidRPr="00FB2B64">
        <w:rPr>
          <w:rFonts w:eastAsia="Times New Roman" w:cs="Times New Roman"/>
          <w:noProof/>
        </w:rPr>
        <w:t>(Furrer &amp; Manser, 2009)</w:t>
      </w:r>
      <w:r>
        <w:rPr>
          <w:rFonts w:eastAsia="Times New Roman" w:cs="Times New Roman"/>
        </w:rPr>
        <w:fldChar w:fldCharType="end"/>
      </w:r>
      <w:r>
        <w:rPr>
          <w:rFonts w:eastAsia="Times New Roman" w:cs="Times New Roman"/>
        </w:rPr>
        <w:t xml:space="preserve">. Aerial predators were assumed a threat when they flew to or away from a perch location or were perched in the site, all within 100 m of the alarm caller </w:t>
      </w:r>
      <w:r w:rsidR="00DE2557">
        <w:rPr>
          <w:rFonts w:eastAsia="Times New Roman" w:cs="Times New Roman"/>
        </w:rPr>
        <w:fldChar w:fldCharType="begin" w:fldLock="1"/>
      </w:r>
      <w:r w:rsidR="007C7EDC">
        <w:rPr>
          <w:rFonts w:eastAsia="Times New Roman" w:cs="Times New Roman"/>
        </w:rPr>
        <w:instrText>ADDIN CSL_CITATION {"citationItems":[{"id":"ITEM-1","itemData":{"DOI":"10.1086/596541","ISSN":"0003-0147","abstract":"A major evolutionary force driving functionally referential alarm calls is the need for different strategies to escape various predator types in complex structured habitats. In contrast, a single escape strategy appears to be sufficient in less ... structured open habitats, and under such conditions urgency ... dependent alarm calls may be favored. Nevertheless, some species, such as meerkats (Suricata suricatta), have evolved functionally referential alarm calls despite living in open areas, using only bolt ... holes for retreat. To understand the evolution of different alarm call systems, we investigated the calls of sympatric Cape ground squirrels (Xerus inauris) and compared their antipredator and foraging behavior with that of meerkats. Cape ground squirrels emitted urgency ... dependent alarm calls and responded to playbacks depending on urgency, not predator type. Vigilance behavior and habitat use differed between the two species. Meerkats roam widely to find prey and for efficient foraging depend on coordinated predator vigilance and escape behavior. As herbivores with smaller territories, Cape ground squirrels depend less on coordinated antipredator behavior, and urgency ... dependent alarm calls encode all essential information. We conclude that habitat complexity does not explain the evolution of functionally referential alarm calls in all species, and other constraints, such as the need to coordinate group movements to maintain foraging efficiency, could be more relevant. (ProQuest: ... denotes formulae/symbols omitted.)","author":[{"dropping-particle":"","family":"Furrer","given":"Roman D.","non-dropping-particle":"","parse-names":false,"suffix":""},{"dropping-particle":"","family":"Manser","given":"Marta B","non-dropping-particle":"","parse-names":false,"suffix":""}],"container-title":"The American Naturalist","id":"ITEM-1","issue":"3","issued":{"date-parts":[["2009"]]},"page":"400-410","title":"The evolution of urgency based and functionally referential alarm calls in ground dwelling species","type":"article-journal","volume":"173"},"uris":["http://www.mendeley.com/documents/?uuid=9430bad4-6d1d-428c-9ebb-b4623a72f7d3"]}],"mendeley":{"formattedCitation":"(Furrer &amp; Manser, 2009)","plainTextFormattedCitation":"(Furrer &amp; Manser, 2009)","previouslyFormattedCitation":"(Furrer &amp; Manser, 2009)"},"properties":{"noteIndex":0},"schema":"https://github.com/citation-style-language/schema/raw/master/csl-citation.json"}</w:instrText>
      </w:r>
      <w:r w:rsidR="00DE2557">
        <w:rPr>
          <w:rFonts w:eastAsia="Times New Roman" w:cs="Times New Roman"/>
        </w:rPr>
        <w:fldChar w:fldCharType="separate"/>
      </w:r>
      <w:r w:rsidR="00DE2557" w:rsidRPr="00FB2B64">
        <w:rPr>
          <w:rFonts w:eastAsia="Times New Roman" w:cs="Times New Roman"/>
          <w:noProof/>
        </w:rPr>
        <w:t>(Furrer &amp; Manser, 2009)</w:t>
      </w:r>
      <w:r w:rsidR="00DE2557">
        <w:rPr>
          <w:rFonts w:eastAsia="Times New Roman" w:cs="Times New Roman"/>
        </w:rPr>
        <w:fldChar w:fldCharType="end"/>
      </w:r>
      <w:r>
        <w:rPr>
          <w:rFonts w:eastAsia="Times New Roman" w:cs="Times New Roman"/>
        </w:rPr>
        <w:t xml:space="preserve">. </w:t>
      </w:r>
    </w:p>
    <w:p w14:paraId="792BBD8A" w14:textId="1A4D02E6" w:rsidR="00DC31D5" w:rsidRPr="00CD4B31" w:rsidRDefault="00AB58F5" w:rsidP="00DC31D5">
      <w:pPr>
        <w:pStyle w:val="NoSpacing"/>
        <w:spacing w:line="480" w:lineRule="auto"/>
        <w:ind w:firstLine="720"/>
      </w:pPr>
      <w:r>
        <w:t>We heard two different</w:t>
      </w:r>
      <w:r w:rsidR="005A0A26">
        <w:t xml:space="preserve"> types of</w:t>
      </w:r>
      <w:r>
        <w:t xml:space="preserve"> alarm calls, </w:t>
      </w:r>
      <w:r w:rsidR="00AA4D44">
        <w:t>a single whistle emitted by a mother with just</w:t>
      </w:r>
      <w:r w:rsidR="007E26C8">
        <w:t>-</w:t>
      </w:r>
      <w:r w:rsidR="00AA4D44">
        <w:t xml:space="preserve">emerged offspring when an aerial predator attacked (heard on only three occasions, and not further discussed here). The other alarm call was </w:t>
      </w:r>
      <w:r>
        <w:t>a repeated vocalisation</w:t>
      </w:r>
      <w:r w:rsidR="000830B5">
        <w:t xml:space="preserve">, which we called a repeated bark. </w:t>
      </w:r>
      <w:r w:rsidR="000E6F35">
        <w:t>We</w:t>
      </w:r>
      <w:r w:rsidR="000E6F35">
        <w:rPr>
          <w:rFonts w:eastAsia="Times New Roman" w:cs="Times New Roman"/>
        </w:rPr>
        <w:t xml:space="preserve"> observed</w:t>
      </w:r>
      <w:r w:rsidR="000830B5">
        <w:rPr>
          <w:rFonts w:eastAsia="Times New Roman" w:cs="Times New Roman"/>
        </w:rPr>
        <w:t xml:space="preserve"> 239 repeated alarm calls</w:t>
      </w:r>
      <w:r w:rsidR="000830B5">
        <w:t xml:space="preserve"> </w:t>
      </w:r>
      <w:r>
        <w:t>o</w:t>
      </w:r>
      <w:r>
        <w:rPr>
          <w:rFonts w:eastAsia="Times New Roman" w:cs="Times New Roman"/>
        </w:rPr>
        <w:t>ver a three-year period</w:t>
      </w:r>
      <w:r w:rsidR="000830B5">
        <w:rPr>
          <w:rFonts w:eastAsia="Times New Roman" w:cs="Times New Roman"/>
        </w:rPr>
        <w:t>.</w:t>
      </w:r>
      <w:r>
        <w:t xml:space="preserve"> </w:t>
      </w:r>
      <w:r w:rsidRPr="00FB412D">
        <w:t xml:space="preserve">These alarm calls </w:t>
      </w:r>
      <w:r>
        <w:t>we</w:t>
      </w:r>
      <w:r w:rsidRPr="00FB412D">
        <w:t xml:space="preserve">re considered repetitive, </w:t>
      </w:r>
      <w:r>
        <w:t>because five or more syllables we</w:t>
      </w:r>
      <w:r w:rsidRPr="00FB412D">
        <w:t xml:space="preserve">re repeated at a similar rate </w:t>
      </w:r>
      <w:r w:rsidR="00DE2557">
        <w:fldChar w:fldCharType="begin" w:fldLock="1"/>
      </w:r>
      <w:r w:rsidR="007C7EDC">
        <w:instrText>ADDIN CSL_CITATION {"citationItems":[{"id":"ITEM-1","itemData":{"author":[{"dropping-particle":"","family":"Owings","given":"Donald H","non-dropping-particle":"","parse-names":false,"suffix":""},{"dropping-particle":"","family":"Hennessy","given":"David F","non-dropping-particle":"","parse-names":false,"suffix":""},{"dropping-particle":"","family":"Leger","given":"Daniel W","non-dropping-particle":"","parse-names":false,"suffix":""},{"dropping-particle":"","family":"Gladney","given":"A Beckett","non-dropping-particle":"","parse-names":false,"suffix":""}],"container-title":"Behaviour","id":"ITEM-1","issue":"1/2","issued":{"date-parts":[["1986"]]},"page":"101-116","title":"Different functions of \"alarm\" calling for different time scales: A preliminary report on ground squirrels","type":"article-journal","volume":"99"},"uris":["http://www.mendeley.com/documents/?uuid=67a939e8-0583-47b1-b185-3ab504d623ef"]}],"mendeley":{"formattedCitation":"(Owings, Hennessy, Leger, &amp; Gladney, 1986)","plainTextFormattedCitation":"(Owings, Hennessy, Leger, &amp; Gladney, 1986)","previouslyFormattedCitation":"(Owings, Hennessy, Leger, &amp; Gladney, 1986)"},"properties":{"noteIndex":0},"schema":"https://github.com/citation-style-language/schema/raw/master/csl-citation.json"}</w:instrText>
      </w:r>
      <w:r w:rsidR="00DE2557">
        <w:fldChar w:fldCharType="separate"/>
      </w:r>
      <w:r w:rsidR="00DE2557" w:rsidRPr="00DE2557">
        <w:rPr>
          <w:noProof/>
        </w:rPr>
        <w:t>(Owings, Hennessy, Leger, &amp; Gladney, 1986)</w:t>
      </w:r>
      <w:r w:rsidR="00DE2557">
        <w:fldChar w:fldCharType="end"/>
      </w:r>
      <w:r w:rsidRPr="00FB412D">
        <w:t>.</w:t>
      </w:r>
      <w:r>
        <w:rPr>
          <w:rFonts w:eastAsia="Times New Roman" w:cs="Times New Roman"/>
        </w:rPr>
        <w:t xml:space="preserve"> </w:t>
      </w:r>
      <w:r w:rsidR="00237F91">
        <w:rPr>
          <w:rFonts w:eastAsia="Times New Roman" w:cs="Times New Roman"/>
        </w:rPr>
        <w:t>W</w:t>
      </w:r>
      <w:r w:rsidR="00DC31D5">
        <w:rPr>
          <w:rFonts w:eastAsia="Times New Roman" w:cs="Times New Roman"/>
        </w:rPr>
        <w:t>e recorded the identification of the caller and the duration of the alarm call</w:t>
      </w:r>
      <w:r w:rsidR="00237F91">
        <w:rPr>
          <w:rFonts w:eastAsia="Times New Roman" w:cs="Times New Roman"/>
        </w:rPr>
        <w:t xml:space="preserve"> once a ground squirrel started to call</w:t>
      </w:r>
      <w:r w:rsidR="00DC31D5">
        <w:rPr>
          <w:rFonts w:eastAsia="Times New Roman" w:cs="Times New Roman"/>
        </w:rPr>
        <w:t xml:space="preserve">. We used a </w:t>
      </w:r>
      <w:r w:rsidR="007261C5">
        <w:rPr>
          <w:rFonts w:eastAsia="Times New Roman" w:cs="Times New Roman"/>
        </w:rPr>
        <w:t>Z-</w:t>
      </w:r>
      <w:r w:rsidR="00DC31D5">
        <w:rPr>
          <w:rFonts w:eastAsia="Times New Roman" w:cs="Times New Roman"/>
        </w:rPr>
        <w:t>test to analyse whether aerial or terrestrial predators elicit</w:t>
      </w:r>
      <w:r w:rsidR="00AA4D44">
        <w:rPr>
          <w:rFonts w:eastAsia="Times New Roman" w:cs="Times New Roman"/>
        </w:rPr>
        <w:t>ed</w:t>
      </w:r>
      <w:r w:rsidR="003A7F9C">
        <w:rPr>
          <w:rFonts w:eastAsia="Times New Roman" w:cs="Times New Roman"/>
        </w:rPr>
        <w:t xml:space="preserve"> </w:t>
      </w:r>
      <w:r w:rsidR="00AA4D44">
        <w:rPr>
          <w:rFonts w:eastAsia="Times New Roman" w:cs="Times New Roman"/>
        </w:rPr>
        <w:t>the repeated barks</w:t>
      </w:r>
      <w:r w:rsidR="00DC31D5">
        <w:rPr>
          <w:rFonts w:eastAsia="Times New Roman" w:cs="Times New Roman"/>
        </w:rPr>
        <w:t xml:space="preserve">. </w:t>
      </w:r>
      <w:r w:rsidR="00E42A6E">
        <w:rPr>
          <w:rFonts w:eastAsia="Times New Roman" w:cs="Times New Roman"/>
        </w:rPr>
        <w:t>Call duration and proportion of callers</w:t>
      </w:r>
      <w:r w:rsidR="000F520A">
        <w:rPr>
          <w:rFonts w:eastAsia="Times New Roman" w:cs="Times New Roman"/>
        </w:rPr>
        <w:t xml:space="preserve"> (i.e., number of callers/total group size)</w:t>
      </w:r>
      <w:r w:rsidR="00E42A6E">
        <w:rPr>
          <w:rFonts w:eastAsia="Times New Roman" w:cs="Times New Roman"/>
        </w:rPr>
        <w:t xml:space="preserve"> violated the assumptions for parametric tests, therefore w</w:t>
      </w:r>
      <w:r w:rsidR="00DC31D5">
        <w:rPr>
          <w:rFonts w:eastAsia="Times New Roman" w:cs="Times New Roman"/>
        </w:rPr>
        <w:t xml:space="preserve">e performed a </w:t>
      </w:r>
      <w:r w:rsidR="00DC31D5">
        <w:t>Spearman’s rank correlation</w:t>
      </w:r>
      <w:r w:rsidR="00DC31D5">
        <w:rPr>
          <w:rFonts w:eastAsia="Times New Roman" w:cs="Times New Roman"/>
        </w:rPr>
        <w:t xml:space="preserve"> on call duration and group size. </w:t>
      </w:r>
      <w:r w:rsidR="00FE677A">
        <w:rPr>
          <w:rFonts w:eastAsia="Times New Roman" w:cs="Times New Roman"/>
        </w:rPr>
        <w:t>We used Kruskal-Wallis χ</w:t>
      </w:r>
      <w:r w:rsidR="00FE677A">
        <w:rPr>
          <w:rFonts w:eastAsia="Times New Roman" w:cs="Times New Roman"/>
          <w:vertAlign w:val="superscript"/>
        </w:rPr>
        <w:t>2</w:t>
      </w:r>
      <w:r w:rsidR="005247A3">
        <w:rPr>
          <w:rFonts w:eastAsia="Times New Roman" w:cs="Times New Roman"/>
        </w:rPr>
        <w:t xml:space="preserve"> </w:t>
      </w:r>
      <w:r w:rsidR="00FE677A">
        <w:rPr>
          <w:rFonts w:eastAsia="Times New Roman" w:cs="Times New Roman"/>
        </w:rPr>
        <w:t>to analyse differences in call duration and proportion of callers for different call</w:t>
      </w:r>
      <w:r w:rsidR="00731640">
        <w:rPr>
          <w:rFonts w:eastAsia="Times New Roman" w:cs="Times New Roman"/>
        </w:rPr>
        <w:t>-</w:t>
      </w:r>
      <w:r w:rsidR="00FE677A">
        <w:rPr>
          <w:rFonts w:eastAsia="Times New Roman" w:cs="Times New Roman"/>
        </w:rPr>
        <w:t>eliciting sources (terrestrial and aerial predators, heterospecific species, and not observed).</w:t>
      </w:r>
      <w:r w:rsidR="005247A3">
        <w:rPr>
          <w:rFonts w:eastAsia="Times New Roman" w:cs="Times New Roman"/>
        </w:rPr>
        <w:t xml:space="preserve"> If the Kruskal-Wallis test was significant, we used a post-hoc test using the Hochberg correction </w:t>
      </w:r>
      <w:r w:rsidR="005247A3">
        <w:rPr>
          <w:rFonts w:eastAsia="Times New Roman" w:cs="Times New Roman"/>
        </w:rPr>
        <w:fldChar w:fldCharType="begin" w:fldLock="1"/>
      </w:r>
      <w:r w:rsidR="005247A3">
        <w:rPr>
          <w:rFonts w:eastAsia="Times New Roman" w:cs="Times New Roman"/>
        </w:rPr>
        <w:instrText>ADDIN CSL_CITATION {"citationItems":[{"id":"ITEM-1","itemData":{"author":[{"dropping-particle":"","family":"Hochberg","given":"Y.","non-dropping-particle":"","parse-names":false,"suffix":""}],"container-title":"Biometrika","id":"ITEM-1","issue":"4","issued":{"date-parts":[["1988"]]},"page":"800-802","title":"A sharper Bonferroni procedure for multiple tests of significance","type":"article-journal","volume":"75"},"uris":["http://www.mendeley.com/documents/?uuid=d5e086f4-3aff-4680-b4c8-874f283a89b6"]}],"mendeley":{"formattedCitation":"(Hochberg, 1988)","plainTextFormattedCitation":"(Hochberg, 1988)"},"properties":{"noteIndex":0},"schema":"https://github.com/citation-style-language/schema/raw/master/csl-citation.json"}</w:instrText>
      </w:r>
      <w:r w:rsidR="005247A3">
        <w:rPr>
          <w:rFonts w:eastAsia="Times New Roman" w:cs="Times New Roman"/>
        </w:rPr>
        <w:fldChar w:fldCharType="separate"/>
      </w:r>
      <w:r w:rsidR="005247A3" w:rsidRPr="004D653A">
        <w:rPr>
          <w:rFonts w:eastAsia="Times New Roman" w:cs="Times New Roman"/>
          <w:noProof/>
        </w:rPr>
        <w:t>(Hochberg, 1988)</w:t>
      </w:r>
      <w:r w:rsidR="005247A3">
        <w:rPr>
          <w:rFonts w:eastAsia="Times New Roman" w:cs="Times New Roman"/>
        </w:rPr>
        <w:fldChar w:fldCharType="end"/>
      </w:r>
      <w:r w:rsidR="005247A3">
        <w:rPr>
          <w:rFonts w:eastAsia="Times New Roman" w:cs="Times New Roman"/>
        </w:rPr>
        <w:t>.</w:t>
      </w:r>
      <w:r w:rsidR="00FE677A">
        <w:rPr>
          <w:rFonts w:eastAsia="Times New Roman" w:cs="Times New Roman"/>
        </w:rPr>
        <w:t xml:space="preserve"> We used Wilcoxon rank sum tests to detect differences in call duration and proportion of callers when predators were ‘high urgency’ or ‘low urgency’ threats.</w:t>
      </w:r>
    </w:p>
    <w:p w14:paraId="2F45CEE3" w14:textId="6F9937A9" w:rsidR="00DC31D5" w:rsidRDefault="00DC31D5" w:rsidP="00DC31D5">
      <w:pPr>
        <w:pStyle w:val="NoSpacing"/>
        <w:spacing w:line="480" w:lineRule="auto"/>
        <w:ind w:firstLine="720"/>
      </w:pPr>
      <w:r>
        <w:lastRenderedPageBreak/>
        <w:t>All statistical analyses were performed in R v.</w:t>
      </w:r>
      <w:r w:rsidRPr="008E0323">
        <w:t xml:space="preserve"> 3.4.1</w:t>
      </w:r>
      <w:r>
        <w:t xml:space="preserve"> </w:t>
      </w:r>
      <w:r>
        <w:fldChar w:fldCharType="begin" w:fldLock="1"/>
      </w:r>
      <w:r w:rsidR="007C7EDC">
        <w:instrText>ADDIN CSL_CITATION {"citationItems":[{"id":"ITEM-1","itemData":{"ISBN":"3900051127","author":[{"dropping-particle":"","family":"R Core Team","given":"","non-dropping-particle":"","parse-names":false,"suffix":""}],"id":"ITEM-1","issued":{"date-parts":[["2017"]]},"publisher":"R Foundation for Statistical Computing","publisher-place":"Vienna, Austria","title":"R: A language and environment for statistical computing.","type":"article"},"uris":["http://www.mendeley.com/documents/?uuid=3722e88a-2213-4d45-8e28-7cc79709bb27"]}],"mendeley":{"formattedCitation":"(R Core Team, 2017)","plainTextFormattedCitation":"(R Core Team, 2017)","previouslyFormattedCitation":"(R Core Team, 2017)"},"properties":{"noteIndex":0},"schema":"https://github.com/citation-style-language/schema/raw/master/csl-citation.json"}</w:instrText>
      </w:r>
      <w:r>
        <w:fldChar w:fldCharType="separate"/>
      </w:r>
      <w:r w:rsidR="00FB2B64" w:rsidRPr="00FB2B64">
        <w:rPr>
          <w:noProof/>
        </w:rPr>
        <w:t>(R Core Team, 2017)</w:t>
      </w:r>
      <w:r>
        <w:fldChar w:fldCharType="end"/>
      </w:r>
      <w:r>
        <w:t xml:space="preserve"> and the significance level was set at p ≤ 0.05. </w:t>
      </w:r>
      <w:r w:rsidRPr="00225216">
        <w:t xml:space="preserve">All </w:t>
      </w:r>
      <w:r>
        <w:t>figures</w:t>
      </w:r>
      <w:r w:rsidRPr="00225216">
        <w:t xml:space="preserve"> were designed in the R package ‘ggplot2’ </w:t>
      </w:r>
      <w:r w:rsidRPr="00225216">
        <w:fldChar w:fldCharType="begin" w:fldLock="1"/>
      </w:r>
      <w:r w:rsidR="007C7EDC">
        <w:instrText>ADDIN CSL_CITATION {"citationItems":[{"id":"ITEM-1","itemData":{"ISBN":"978-0-387-98140-6","author":[{"dropping-particle":"","family":"Wickham","given":"H.","non-dropping-particle":"","parse-names":false,"suffix":""}],"id":"ITEM-1","issued":{"date-parts":[["2009"]]},"publisher":"Springer-Verlag","publisher-place":"New York","title":"ggplot2: Elegant Graphics for Data Analysis.","type":"book"},"uris":["http://www.mendeley.com/documents/?uuid=fc8c4567-4fe9-443e-91b4-9677eea41b25","http://www.mendeley.com/documents/?uuid=8f3f2d64-cc65-4722-a8b4-cc618a5c7ea7"]}],"mendeley":{"formattedCitation":"(Wickham, 2009)","plainTextFormattedCitation":"(Wickham, 2009)","previouslyFormattedCitation":"(Wickham, 2009)"},"properties":{"noteIndex":0},"schema":"https://github.com/citation-style-language/schema/raw/master/csl-citation.json"}</w:instrText>
      </w:r>
      <w:r w:rsidRPr="00225216">
        <w:fldChar w:fldCharType="separate"/>
      </w:r>
      <w:r w:rsidR="00FB2B64" w:rsidRPr="00FB2B64">
        <w:rPr>
          <w:noProof/>
        </w:rPr>
        <w:t>(Wickham, 2009)</w:t>
      </w:r>
      <w:r w:rsidRPr="00225216">
        <w:fldChar w:fldCharType="end"/>
      </w:r>
      <w:r>
        <w:t>.</w:t>
      </w:r>
    </w:p>
    <w:p w14:paraId="241EAF83" w14:textId="77777777" w:rsidR="00DC31D5" w:rsidRDefault="00DC31D5" w:rsidP="00DC31D5">
      <w:pPr>
        <w:pStyle w:val="NoSpacing"/>
        <w:spacing w:line="480" w:lineRule="auto"/>
      </w:pPr>
    </w:p>
    <w:p w14:paraId="483FEE49" w14:textId="77777777" w:rsidR="00DC31D5" w:rsidRPr="000D1443" w:rsidRDefault="00DC31D5" w:rsidP="00DC31D5">
      <w:pPr>
        <w:pStyle w:val="Heading2"/>
        <w:spacing w:line="480" w:lineRule="auto"/>
        <w:rPr>
          <w:color w:val="auto"/>
          <w:sz w:val="22"/>
          <w:szCs w:val="22"/>
        </w:rPr>
      </w:pPr>
      <w:r w:rsidRPr="000D1443">
        <w:rPr>
          <w:color w:val="auto"/>
          <w:sz w:val="22"/>
          <w:szCs w:val="22"/>
        </w:rPr>
        <w:t>Results</w:t>
      </w:r>
    </w:p>
    <w:p w14:paraId="57A53B1D" w14:textId="370C273C" w:rsidR="00DC31D5" w:rsidRDefault="00DC31D5" w:rsidP="00DC31D5">
      <w:pPr>
        <w:pStyle w:val="NoSpacing"/>
        <w:spacing w:line="480" w:lineRule="auto"/>
        <w:rPr>
          <w:rFonts w:eastAsia="Times New Roman" w:cs="Times New Roman"/>
          <w:i/>
        </w:rPr>
      </w:pPr>
      <w:r>
        <w:rPr>
          <w:rFonts w:eastAsia="Times New Roman" w:cs="Times New Roman"/>
          <w:i/>
        </w:rPr>
        <w:t>Vigilance and group size</w:t>
      </w:r>
    </w:p>
    <w:p w14:paraId="1A07AD65" w14:textId="1774FF1C" w:rsidR="005247A3" w:rsidRDefault="00FC4C53" w:rsidP="0012764A">
      <w:pPr>
        <w:spacing w:line="480" w:lineRule="auto"/>
        <w:ind w:firstLine="720"/>
        <w:rPr>
          <w:rFonts w:cstheme="minorHAnsi"/>
        </w:rPr>
      </w:pPr>
      <w:r>
        <w:rPr>
          <w:rFonts w:eastAsia="Times New Roman" w:cs="Times New Roman"/>
          <w:iCs/>
        </w:rPr>
        <w:t xml:space="preserve">For the daily activity budget on vigilance, we used 410 observation hours. </w:t>
      </w:r>
      <w:r w:rsidR="00D13EDD">
        <w:t>On average, our observation periods (</w:t>
      </w:r>
      <w:r w:rsidR="00D13EDD" w:rsidRPr="00A63312">
        <w:rPr>
          <w:i/>
        </w:rPr>
        <w:t>N</w:t>
      </w:r>
      <w:r w:rsidR="00D13EDD">
        <w:t xml:space="preserve"> = 399) lasted 100 </w:t>
      </w:r>
      <w:r w:rsidR="00D13EDD">
        <w:rPr>
          <w:rFonts w:cstheme="minorHAnsi"/>
        </w:rPr>
        <w:t>±73 (</w:t>
      </w:r>
      <w:r w:rsidR="00D13EDD">
        <w:rPr>
          <w:rFonts w:ascii="MS Reference Sans Serif" w:hAnsi="MS Reference Sans Serif" w:cstheme="minorHAnsi"/>
          <w:i/>
        </w:rPr>
        <w:t></w:t>
      </w:r>
      <w:r w:rsidR="00D13EDD">
        <w:rPr>
          <w:rFonts w:cstheme="minorHAnsi"/>
        </w:rPr>
        <w:t xml:space="preserve"> ± SD)</w:t>
      </w:r>
      <w:r w:rsidR="00D13EDD">
        <w:t xml:space="preserve"> minutes (see Appendix Table A2 for a breakdown per site). </w:t>
      </w:r>
      <w:r w:rsidR="00DC31D5">
        <w:t xml:space="preserve">Adult squirrels spent 39.8 </w:t>
      </w:r>
      <w:r w:rsidR="00DC31D5">
        <w:rPr>
          <w:rFonts w:cstheme="minorHAnsi"/>
        </w:rPr>
        <w:t>±</w:t>
      </w:r>
      <w:r w:rsidR="00DC31D5">
        <w:t xml:space="preserve"> 1.6</w:t>
      </w:r>
      <w:r w:rsidR="0066200D">
        <w:t xml:space="preserve"> </w:t>
      </w:r>
      <w:r w:rsidR="00DC31D5">
        <w:t>%</w:t>
      </w:r>
      <w:r w:rsidR="0066200D">
        <w:t xml:space="preserve"> (</w:t>
      </w:r>
      <w:r w:rsidR="00F54720">
        <w:rPr>
          <w:rFonts w:ascii="MS Reference Sans Serif" w:hAnsi="MS Reference Sans Serif" w:cstheme="minorHAnsi"/>
          <w:i/>
        </w:rPr>
        <w:t></w:t>
      </w:r>
      <w:r w:rsidR="00F54720">
        <w:rPr>
          <w:rFonts w:cstheme="minorHAnsi"/>
        </w:rPr>
        <w:t xml:space="preserve"> ± </w:t>
      </w:r>
      <w:r w:rsidR="0066200D">
        <w:t>SE)</w:t>
      </w:r>
      <w:r w:rsidR="00DC31D5">
        <w:t xml:space="preserve"> of the</w:t>
      </w:r>
      <w:r w:rsidR="00F97B11">
        <w:t>ir</w:t>
      </w:r>
      <w:r w:rsidR="00DC31D5">
        <w:t xml:space="preserve"> time </w:t>
      </w:r>
      <w:r w:rsidR="00F97B11">
        <w:t xml:space="preserve">in </w:t>
      </w:r>
      <w:r w:rsidR="00DC31D5">
        <w:t>high-quality vigilan</w:t>
      </w:r>
      <w:r w:rsidR="00F97B11">
        <w:t>ce</w:t>
      </w:r>
      <w:r w:rsidR="00DC31D5">
        <w:t xml:space="preserve">, while 2.1 </w:t>
      </w:r>
      <w:r w:rsidR="00DC31D5">
        <w:rPr>
          <w:rFonts w:cstheme="minorHAnsi"/>
        </w:rPr>
        <w:t>±</w:t>
      </w:r>
      <w:r w:rsidR="00DC31D5">
        <w:t xml:space="preserve"> 0.7</w:t>
      </w:r>
      <w:r w:rsidR="0066200D">
        <w:t xml:space="preserve"> </w:t>
      </w:r>
      <w:r w:rsidR="00DC31D5">
        <w:t xml:space="preserve">% </w:t>
      </w:r>
      <w:r w:rsidR="0066200D">
        <w:t>(</w:t>
      </w:r>
      <w:r w:rsidR="00F54720">
        <w:rPr>
          <w:rFonts w:ascii="MS Reference Sans Serif" w:hAnsi="MS Reference Sans Serif" w:cstheme="minorHAnsi"/>
          <w:i/>
        </w:rPr>
        <w:t></w:t>
      </w:r>
      <w:r w:rsidR="00F54720">
        <w:rPr>
          <w:rFonts w:cstheme="minorHAnsi"/>
        </w:rPr>
        <w:t xml:space="preserve"> ± </w:t>
      </w:r>
      <w:r w:rsidR="0066200D">
        <w:t xml:space="preserve">SE) </w:t>
      </w:r>
      <w:r w:rsidR="00DC31D5">
        <w:t>of the</w:t>
      </w:r>
      <w:r w:rsidR="00F97B11">
        <w:t>ir</w:t>
      </w:r>
      <w:r w:rsidR="00DC31D5">
        <w:t xml:space="preserve"> time was spent in low-quality vigilance. We found no sex differences for proportion time spent in high- and low-qu</w:t>
      </w:r>
      <w:r w:rsidR="0066200D">
        <w:t>ality vigilance (</w:t>
      </w:r>
      <w:r w:rsidR="0066200D" w:rsidRPr="0066200D">
        <w:rPr>
          <w:i/>
        </w:rPr>
        <w:t>N</w:t>
      </w:r>
      <w:r w:rsidR="0066200D">
        <w:t xml:space="preserve"> = 67 adult males and </w:t>
      </w:r>
      <w:r w:rsidR="00DC31D5">
        <w:t xml:space="preserve">91 adult females; </w:t>
      </w:r>
      <w:r w:rsidR="006147D7" w:rsidRPr="004C5A82">
        <w:t>high-quality</w:t>
      </w:r>
      <w:r w:rsidR="00B75B03">
        <w:t>:</w:t>
      </w:r>
      <w:r w:rsidR="006147D7">
        <w:t xml:space="preserve"> </w:t>
      </w:r>
      <w:r w:rsidR="00DC31D5">
        <w:t xml:space="preserve">38.4 </w:t>
      </w:r>
      <w:r w:rsidR="00DC31D5">
        <w:rPr>
          <w:rFonts w:cstheme="minorHAnsi"/>
        </w:rPr>
        <w:t>±</w:t>
      </w:r>
      <w:r w:rsidR="00DC31D5">
        <w:t xml:space="preserve"> 2.5</w:t>
      </w:r>
      <w:r w:rsidR="0066200D">
        <w:t xml:space="preserve"> </w:t>
      </w:r>
      <w:r w:rsidR="00DC31D5">
        <w:t xml:space="preserve">% </w:t>
      </w:r>
      <w:r w:rsidR="00F54720">
        <w:t xml:space="preserve">for males </w:t>
      </w:r>
      <w:r w:rsidR="00DC31D5">
        <w:t xml:space="preserve">and 40.8 </w:t>
      </w:r>
      <w:r w:rsidR="00DC31D5">
        <w:rPr>
          <w:rFonts w:cstheme="minorHAnsi"/>
        </w:rPr>
        <w:t>±</w:t>
      </w:r>
      <w:r w:rsidR="00DC31D5">
        <w:t xml:space="preserve"> 2.1</w:t>
      </w:r>
      <w:r w:rsidR="0066200D">
        <w:t xml:space="preserve"> </w:t>
      </w:r>
      <w:r w:rsidR="00DC31D5">
        <w:t>%</w:t>
      </w:r>
      <w:r w:rsidR="00F54720">
        <w:t xml:space="preserve"> for females (</w:t>
      </w:r>
      <w:r w:rsidR="00F54720">
        <w:rPr>
          <w:rFonts w:ascii="MS Reference Sans Serif" w:hAnsi="MS Reference Sans Serif" w:cstheme="minorHAnsi"/>
          <w:i/>
        </w:rPr>
        <w:t></w:t>
      </w:r>
      <w:r w:rsidR="00F54720">
        <w:rPr>
          <w:rFonts w:cstheme="minorHAnsi"/>
        </w:rPr>
        <w:t xml:space="preserve"> ± </w:t>
      </w:r>
      <w:r w:rsidR="00F54720">
        <w:t>SE)</w:t>
      </w:r>
      <w:r w:rsidR="00DC31D5">
        <w:t xml:space="preserve">, </w:t>
      </w:r>
      <w:r w:rsidR="0066200D">
        <w:t xml:space="preserve">Mann-Whitney </w:t>
      </w:r>
      <w:r w:rsidR="008E750C" w:rsidRPr="0066200D">
        <w:rPr>
          <w:rFonts w:cstheme="minorHAnsi"/>
          <w:i/>
        </w:rPr>
        <w:t>U</w:t>
      </w:r>
      <w:r w:rsidR="0066200D">
        <w:rPr>
          <w:rFonts w:cstheme="minorHAnsi"/>
        </w:rPr>
        <w:t xml:space="preserve"> test: </w:t>
      </w:r>
      <w:r w:rsidR="0066200D" w:rsidRPr="0066200D">
        <w:rPr>
          <w:rFonts w:cstheme="minorHAnsi"/>
          <w:i/>
        </w:rPr>
        <w:t>U</w:t>
      </w:r>
      <w:r w:rsidR="0066200D">
        <w:rPr>
          <w:rFonts w:cstheme="minorHAnsi"/>
        </w:rPr>
        <w:t xml:space="preserve"> = 4090.5, </w:t>
      </w:r>
      <w:r w:rsidR="0066200D" w:rsidRPr="0066200D">
        <w:rPr>
          <w:rFonts w:cstheme="minorHAnsi"/>
          <w:i/>
        </w:rPr>
        <w:t>P</w:t>
      </w:r>
      <w:r w:rsidR="008E750C">
        <w:rPr>
          <w:rFonts w:cstheme="minorHAnsi"/>
        </w:rPr>
        <w:t xml:space="preserve"> = 0.07</w:t>
      </w:r>
      <w:r w:rsidR="00DC31D5">
        <w:t xml:space="preserve">; </w:t>
      </w:r>
      <w:r w:rsidR="006147D7" w:rsidRPr="004C5A82">
        <w:t>low-quality</w:t>
      </w:r>
      <w:r w:rsidR="00B75B03">
        <w:t>:</w:t>
      </w:r>
      <w:r w:rsidR="006147D7">
        <w:t xml:space="preserve"> </w:t>
      </w:r>
      <w:r w:rsidR="00DC31D5">
        <w:t xml:space="preserve">2.8 </w:t>
      </w:r>
      <w:r w:rsidR="00DC31D5">
        <w:rPr>
          <w:rFonts w:cstheme="minorHAnsi"/>
        </w:rPr>
        <w:t>±</w:t>
      </w:r>
      <w:r w:rsidR="00DC31D5">
        <w:t xml:space="preserve"> 1.7</w:t>
      </w:r>
      <w:r w:rsidR="00731640">
        <w:t xml:space="preserve"> </w:t>
      </w:r>
      <w:r w:rsidR="00DC31D5">
        <w:t xml:space="preserve">% </w:t>
      </w:r>
      <w:r w:rsidR="00F54720">
        <w:t xml:space="preserve">for males </w:t>
      </w:r>
      <w:r w:rsidR="00DC31D5">
        <w:t xml:space="preserve">and 1.5 </w:t>
      </w:r>
      <w:r w:rsidR="00DC31D5">
        <w:rPr>
          <w:rFonts w:cstheme="minorHAnsi"/>
        </w:rPr>
        <w:t>±</w:t>
      </w:r>
      <w:r w:rsidR="00DC31D5">
        <w:t xml:space="preserve"> 0.3</w:t>
      </w:r>
      <w:r w:rsidR="00986FE2">
        <w:t xml:space="preserve"> </w:t>
      </w:r>
      <w:r w:rsidR="00DC31D5">
        <w:t>%</w:t>
      </w:r>
      <w:r w:rsidR="00F54720">
        <w:t xml:space="preserve"> for females (</w:t>
      </w:r>
      <w:r w:rsidR="00F54720">
        <w:rPr>
          <w:rFonts w:ascii="MS Reference Sans Serif" w:hAnsi="MS Reference Sans Serif" w:cstheme="minorHAnsi"/>
          <w:i/>
        </w:rPr>
        <w:t></w:t>
      </w:r>
      <w:r w:rsidR="00F54720">
        <w:rPr>
          <w:rFonts w:cstheme="minorHAnsi"/>
        </w:rPr>
        <w:t xml:space="preserve"> ± </w:t>
      </w:r>
      <w:r w:rsidR="00F54720">
        <w:t>SE)</w:t>
      </w:r>
      <w:r w:rsidR="00DC31D5">
        <w:t xml:space="preserve">, </w:t>
      </w:r>
      <w:r w:rsidR="0066200D">
        <w:t xml:space="preserve">Mann-Whitney </w:t>
      </w:r>
      <w:r w:rsidR="0066200D" w:rsidRPr="0066200D">
        <w:rPr>
          <w:rFonts w:cstheme="minorHAnsi"/>
          <w:i/>
        </w:rPr>
        <w:t>U</w:t>
      </w:r>
      <w:r w:rsidR="0066200D">
        <w:rPr>
          <w:rFonts w:cstheme="minorHAnsi"/>
        </w:rPr>
        <w:t xml:space="preserve"> test: </w:t>
      </w:r>
      <w:r w:rsidR="0066200D" w:rsidRPr="0066200D">
        <w:rPr>
          <w:rFonts w:cstheme="minorHAnsi"/>
          <w:i/>
        </w:rPr>
        <w:t>U</w:t>
      </w:r>
      <w:r w:rsidR="0066200D">
        <w:rPr>
          <w:rFonts w:cstheme="minorHAnsi"/>
        </w:rPr>
        <w:t xml:space="preserve"> </w:t>
      </w:r>
      <w:r w:rsidR="008E750C">
        <w:rPr>
          <w:rFonts w:cstheme="minorHAnsi"/>
        </w:rPr>
        <w:t>= 3301.5</w:t>
      </w:r>
      <w:r w:rsidR="00DC31D5">
        <w:t xml:space="preserve">, </w:t>
      </w:r>
      <w:r w:rsidR="0066200D" w:rsidRPr="0066200D">
        <w:rPr>
          <w:i/>
        </w:rPr>
        <w:t>P</w:t>
      </w:r>
      <w:r w:rsidR="00DC31D5">
        <w:t xml:space="preserve"> = 0.</w:t>
      </w:r>
      <w:r w:rsidR="008E750C">
        <w:t>08</w:t>
      </w:r>
      <w:r w:rsidR="00DC31D5">
        <w:t xml:space="preserve">). </w:t>
      </w:r>
      <w:r w:rsidR="004D653A">
        <w:t>Using our scan samples, t</w:t>
      </w:r>
      <w:r w:rsidR="00DC31D5" w:rsidRPr="00DA172A">
        <w:rPr>
          <w:rFonts w:cstheme="minorHAnsi"/>
        </w:rPr>
        <w:t xml:space="preserve">he average </w:t>
      </w:r>
      <w:r w:rsidR="006147D7">
        <w:rPr>
          <w:rFonts w:cstheme="minorHAnsi"/>
        </w:rPr>
        <w:t xml:space="preserve">high-quality vigilance </w:t>
      </w:r>
      <w:r w:rsidR="00DC31D5">
        <w:rPr>
          <w:rFonts w:cstheme="minorHAnsi"/>
        </w:rPr>
        <w:t>bout</w:t>
      </w:r>
      <w:r w:rsidR="00314114">
        <w:rPr>
          <w:rFonts w:cstheme="minorHAnsi"/>
        </w:rPr>
        <w:t xml:space="preserve"> duration was 264</w:t>
      </w:r>
      <w:r w:rsidR="004D653A">
        <w:rPr>
          <w:rFonts w:cstheme="minorHAnsi"/>
        </w:rPr>
        <w:t>.0</w:t>
      </w:r>
      <w:r w:rsidR="00314114">
        <w:rPr>
          <w:rFonts w:cstheme="minorHAnsi"/>
        </w:rPr>
        <w:t xml:space="preserve"> ± 21.1</w:t>
      </w:r>
      <w:r w:rsidR="00DC31D5" w:rsidRPr="00DA172A">
        <w:rPr>
          <w:rFonts w:cstheme="minorHAnsi"/>
        </w:rPr>
        <w:t xml:space="preserve"> seconds </w:t>
      </w:r>
      <w:r w:rsidR="0066200D">
        <w:rPr>
          <w:rFonts w:cstheme="minorHAnsi"/>
        </w:rPr>
        <w:t>(</w:t>
      </w:r>
      <w:r w:rsidR="007C7E7D">
        <w:rPr>
          <w:rFonts w:ascii="MS Reference Sans Serif" w:hAnsi="MS Reference Sans Serif" w:cstheme="minorHAnsi"/>
          <w:i/>
        </w:rPr>
        <w:t></w:t>
      </w:r>
      <w:r w:rsidR="007C7E7D">
        <w:rPr>
          <w:rFonts w:cstheme="minorHAnsi"/>
        </w:rPr>
        <w:t xml:space="preserve"> </w:t>
      </w:r>
      <w:r w:rsidR="0066200D">
        <w:rPr>
          <w:rFonts w:cstheme="minorHAnsi"/>
        </w:rPr>
        <w:t xml:space="preserve">+ SE) </w:t>
      </w:r>
      <w:r w:rsidR="00DC31D5" w:rsidRPr="00DA172A">
        <w:rPr>
          <w:rFonts w:cstheme="minorHAnsi"/>
        </w:rPr>
        <w:t>[</w:t>
      </w:r>
      <w:r w:rsidR="00945DB2">
        <w:rPr>
          <w:rFonts w:cstheme="minorHAnsi"/>
        </w:rPr>
        <w:t xml:space="preserve">range </w:t>
      </w:r>
      <w:r w:rsidR="00DC31D5" w:rsidRPr="00DA172A">
        <w:rPr>
          <w:rFonts w:cstheme="minorHAnsi"/>
        </w:rPr>
        <w:t>31 – 16516 seconds].</w:t>
      </w:r>
      <w:r w:rsidR="0012764A">
        <w:rPr>
          <w:rFonts w:cstheme="minorHAnsi"/>
        </w:rPr>
        <w:t xml:space="preserve"> </w:t>
      </w:r>
      <w:r w:rsidR="003A2ED0">
        <w:rPr>
          <w:rFonts w:cstheme="minorHAnsi"/>
        </w:rPr>
        <w:t>A</w:t>
      </w:r>
      <w:r w:rsidR="003A2ED0" w:rsidRPr="00DA172A">
        <w:rPr>
          <w:rFonts w:cstheme="minorHAnsi"/>
        </w:rPr>
        <w:t>verage</w:t>
      </w:r>
      <w:r w:rsidR="003A2ED0">
        <w:rPr>
          <w:rFonts w:cstheme="minorHAnsi"/>
        </w:rPr>
        <w:t>d height of the promontories used by high-quality vigilant</w:t>
      </w:r>
      <w:r w:rsidR="003A2ED0" w:rsidRPr="00DA172A">
        <w:rPr>
          <w:rFonts w:cstheme="minorHAnsi"/>
        </w:rPr>
        <w:t xml:space="preserve"> </w:t>
      </w:r>
      <w:r w:rsidR="003A2ED0">
        <w:rPr>
          <w:rFonts w:cstheme="minorHAnsi"/>
        </w:rPr>
        <w:t xml:space="preserve">squirrels </w:t>
      </w:r>
      <w:r w:rsidR="003A2ED0" w:rsidRPr="00DA172A">
        <w:rPr>
          <w:rFonts w:cstheme="minorHAnsi"/>
        </w:rPr>
        <w:t>was 1.23 ± 0.03</w:t>
      </w:r>
      <w:r w:rsidR="003A2ED0">
        <w:rPr>
          <w:rFonts w:cstheme="minorHAnsi"/>
        </w:rPr>
        <w:t xml:space="preserve"> </w:t>
      </w:r>
      <w:r w:rsidR="003A2ED0" w:rsidRPr="00DA172A">
        <w:rPr>
          <w:rFonts w:cstheme="minorHAnsi"/>
        </w:rPr>
        <w:t>m, ranging from 0.3</w:t>
      </w:r>
      <w:r w:rsidR="003A2ED0">
        <w:rPr>
          <w:rFonts w:cstheme="minorHAnsi"/>
        </w:rPr>
        <w:t>0</w:t>
      </w:r>
      <w:r w:rsidR="003A2ED0" w:rsidRPr="00DA172A">
        <w:rPr>
          <w:rFonts w:cstheme="minorHAnsi"/>
        </w:rPr>
        <w:t xml:space="preserve"> to 3</w:t>
      </w:r>
      <w:r w:rsidR="003A2ED0">
        <w:rPr>
          <w:rFonts w:cstheme="minorHAnsi"/>
        </w:rPr>
        <w:t xml:space="preserve">.00 </w:t>
      </w:r>
      <w:r w:rsidR="003A2ED0" w:rsidRPr="00DA172A">
        <w:rPr>
          <w:rFonts w:cstheme="minorHAnsi"/>
        </w:rPr>
        <w:t>m</w:t>
      </w:r>
      <w:r w:rsidR="003A2ED0">
        <w:rPr>
          <w:rFonts w:cstheme="minorHAnsi"/>
        </w:rPr>
        <w:t xml:space="preserve"> </w:t>
      </w:r>
      <w:r w:rsidR="003A2ED0" w:rsidRPr="00DA172A">
        <w:rPr>
          <w:rFonts w:cstheme="minorHAnsi"/>
        </w:rPr>
        <w:t>(</w:t>
      </w:r>
      <w:r w:rsidR="003A2ED0" w:rsidRPr="004F55B3">
        <w:rPr>
          <w:rFonts w:cstheme="minorHAnsi"/>
          <w:i/>
        </w:rPr>
        <w:t>N</w:t>
      </w:r>
      <w:r w:rsidR="003A2ED0" w:rsidRPr="00DA172A">
        <w:rPr>
          <w:rFonts w:cstheme="minorHAnsi"/>
        </w:rPr>
        <w:t xml:space="preserve"> = 224).</w:t>
      </w:r>
    </w:p>
    <w:p w14:paraId="01BA96F1" w14:textId="10D264E0" w:rsidR="0012764A" w:rsidRPr="0072747D" w:rsidRDefault="004D653A" w:rsidP="0012764A">
      <w:pPr>
        <w:spacing w:line="480" w:lineRule="auto"/>
        <w:ind w:firstLine="720"/>
        <w:rPr>
          <w:rFonts w:cstheme="minorHAnsi"/>
        </w:rPr>
      </w:pPr>
      <w:r>
        <w:t>Our measurement of high-quality vigilance bout</w:t>
      </w:r>
      <w:r w:rsidR="004F55B3">
        <w:t>s</w:t>
      </w:r>
      <w:r>
        <w:t xml:space="preserve"> in our focal data were constrained, as many high-quality vigilance bouts were longer than our 10-min focal follows. In order to compare between low- and high-quality vigilance bouts, we only included high-quality bouts that were less than 10 minutes. Even so, in our focal follows, the average duration of low-quality vigilance bouts (</w:t>
      </w:r>
      <w:r w:rsidR="00AB79DA">
        <w:rPr>
          <w:rFonts w:cstheme="minorHAnsi"/>
        </w:rPr>
        <w:t>16.8 ± 0.7</w:t>
      </w:r>
      <w:r>
        <w:rPr>
          <w:rFonts w:cstheme="minorHAnsi"/>
        </w:rPr>
        <w:t xml:space="preserve"> seconds</w:t>
      </w:r>
      <w:r w:rsidR="0052469C">
        <w:rPr>
          <w:rFonts w:cstheme="minorHAnsi"/>
        </w:rPr>
        <w:t xml:space="preserve">, </w:t>
      </w:r>
      <w:r w:rsidR="00AB79DA" w:rsidRPr="004F55B3">
        <w:rPr>
          <w:rFonts w:cstheme="minorHAnsi"/>
          <w:i/>
        </w:rPr>
        <w:t>N</w:t>
      </w:r>
      <w:r w:rsidR="00AB79DA">
        <w:rPr>
          <w:rFonts w:cstheme="minorHAnsi"/>
        </w:rPr>
        <w:t xml:space="preserve"> = 412 vigilance bouts from 73</w:t>
      </w:r>
      <w:r>
        <w:rPr>
          <w:rFonts w:cstheme="minorHAnsi"/>
        </w:rPr>
        <w:t xml:space="preserve"> individuals) were shorter than our hig</w:t>
      </w:r>
      <w:r w:rsidR="00AB79DA">
        <w:rPr>
          <w:rFonts w:cstheme="minorHAnsi"/>
        </w:rPr>
        <w:t>h-quality vigilance bouts (88.5</w:t>
      </w:r>
      <w:r>
        <w:rPr>
          <w:rFonts w:cstheme="minorHAnsi"/>
        </w:rPr>
        <w:t xml:space="preserve"> </w:t>
      </w:r>
      <w:r w:rsidR="00AB79DA">
        <w:rPr>
          <w:rFonts w:cstheme="minorHAnsi"/>
        </w:rPr>
        <w:t>± 4.5</w:t>
      </w:r>
      <w:r>
        <w:rPr>
          <w:rFonts w:cstheme="minorHAnsi"/>
        </w:rPr>
        <w:t xml:space="preserve"> seconds, </w:t>
      </w:r>
      <w:r w:rsidRPr="004F55B3">
        <w:rPr>
          <w:rFonts w:cstheme="minorHAnsi"/>
          <w:i/>
        </w:rPr>
        <w:t>N</w:t>
      </w:r>
      <w:r>
        <w:rPr>
          <w:rFonts w:cstheme="minorHAnsi"/>
        </w:rPr>
        <w:t xml:space="preserve"> = </w:t>
      </w:r>
      <w:r w:rsidR="00AB79DA">
        <w:rPr>
          <w:rFonts w:cstheme="minorHAnsi"/>
        </w:rPr>
        <w:t>249 bouts from 73</w:t>
      </w:r>
      <w:r>
        <w:rPr>
          <w:rFonts w:cstheme="minorHAnsi"/>
        </w:rPr>
        <w:t xml:space="preserve"> individuals; </w:t>
      </w:r>
      <w:r w:rsidRPr="001906F1">
        <w:rPr>
          <w:rFonts w:cstheme="minorHAnsi"/>
        </w:rPr>
        <w:t>Wilcoxon signed ranks test</w:t>
      </w:r>
      <w:r>
        <w:rPr>
          <w:rFonts w:cstheme="minorHAnsi"/>
        </w:rPr>
        <w:t xml:space="preserve">: </w:t>
      </w:r>
      <w:r w:rsidRPr="004F55B3">
        <w:rPr>
          <w:rFonts w:cstheme="minorHAnsi"/>
          <w:i/>
        </w:rPr>
        <w:t>V</w:t>
      </w:r>
      <w:r>
        <w:rPr>
          <w:rFonts w:cstheme="minorHAnsi"/>
        </w:rPr>
        <w:t xml:space="preserve"> = 2</w:t>
      </w:r>
      <w:r w:rsidR="00AB79DA">
        <w:rPr>
          <w:rFonts w:cstheme="minorHAnsi"/>
        </w:rPr>
        <w:t>278</w:t>
      </w:r>
      <w:r>
        <w:rPr>
          <w:rFonts w:cstheme="minorHAnsi"/>
        </w:rPr>
        <w:t xml:space="preserve">, </w:t>
      </w:r>
      <w:r w:rsidRPr="004F55B3">
        <w:rPr>
          <w:rFonts w:cstheme="minorHAnsi"/>
          <w:i/>
        </w:rPr>
        <w:t>P</w:t>
      </w:r>
      <w:r>
        <w:rPr>
          <w:rFonts w:cstheme="minorHAnsi"/>
        </w:rPr>
        <w:t xml:space="preserve"> &lt; 0.001</w:t>
      </w:r>
      <w:r w:rsidR="00AB79DA">
        <w:rPr>
          <w:rFonts w:cstheme="minorHAnsi"/>
        </w:rPr>
        <w:t xml:space="preserve">, </w:t>
      </w:r>
      <w:r w:rsidR="00AB79DA" w:rsidRPr="004F55B3">
        <w:rPr>
          <w:rFonts w:cstheme="minorHAnsi"/>
          <w:i/>
        </w:rPr>
        <w:t>N</w:t>
      </w:r>
      <w:r w:rsidR="00AB79DA">
        <w:rPr>
          <w:rFonts w:cstheme="minorHAnsi"/>
        </w:rPr>
        <w:t xml:space="preserve"> = 67 individuals</w:t>
      </w:r>
      <w:r w:rsidR="0052469C">
        <w:rPr>
          <w:rFonts w:cstheme="minorHAnsi"/>
        </w:rPr>
        <w:t xml:space="preserve"> who displayed both low and high quality</w:t>
      </w:r>
      <w:r>
        <w:rPr>
          <w:rFonts w:cstheme="minorHAnsi"/>
        </w:rPr>
        <w:t>).</w:t>
      </w:r>
      <w:r w:rsidR="005247A3">
        <w:rPr>
          <w:rFonts w:cstheme="minorHAnsi"/>
        </w:rPr>
        <w:t xml:space="preserve"> </w:t>
      </w:r>
      <w:r w:rsidR="0072747D">
        <w:rPr>
          <w:rFonts w:cstheme="minorHAnsi"/>
        </w:rPr>
        <w:t>Wind speed did not affect individual low-quality vigilance (</w:t>
      </w:r>
      <w:r w:rsidR="00540177">
        <w:rPr>
          <w:rFonts w:cstheme="minorHAnsi"/>
        </w:rPr>
        <w:t xml:space="preserve">GLMM: </w:t>
      </w:r>
      <w:r w:rsidR="0072747D" w:rsidRPr="004F55B3">
        <w:rPr>
          <w:rFonts w:cstheme="minorHAnsi"/>
          <w:i/>
        </w:rPr>
        <w:t>χ</w:t>
      </w:r>
      <w:r w:rsidR="0072747D" w:rsidRPr="004F55B3">
        <w:rPr>
          <w:rFonts w:cstheme="minorHAnsi"/>
          <w:i/>
          <w:vertAlign w:val="superscript"/>
        </w:rPr>
        <w:t>2</w:t>
      </w:r>
      <w:r w:rsidR="0072747D" w:rsidRPr="004F55B3">
        <w:rPr>
          <w:rFonts w:cstheme="minorHAnsi"/>
          <w:i/>
          <w:vertAlign w:val="subscript"/>
        </w:rPr>
        <w:t>1</w:t>
      </w:r>
      <w:r w:rsidR="0072747D">
        <w:rPr>
          <w:rFonts w:cstheme="minorHAnsi"/>
          <w:vertAlign w:val="subscript"/>
        </w:rPr>
        <w:t xml:space="preserve"> </w:t>
      </w:r>
      <w:r w:rsidR="0072747D">
        <w:rPr>
          <w:rFonts w:cstheme="minorHAnsi"/>
        </w:rPr>
        <w:t xml:space="preserve">= 1.47, </w:t>
      </w:r>
      <w:r w:rsidR="0072747D" w:rsidRPr="004F55B3">
        <w:rPr>
          <w:rFonts w:cstheme="minorHAnsi"/>
          <w:i/>
        </w:rPr>
        <w:t>P</w:t>
      </w:r>
      <w:r w:rsidR="0072747D">
        <w:rPr>
          <w:rFonts w:cstheme="minorHAnsi"/>
        </w:rPr>
        <w:t xml:space="preserve"> = 0.23, </w:t>
      </w:r>
      <w:r w:rsidR="0072747D" w:rsidRPr="004F55B3">
        <w:rPr>
          <w:rFonts w:cstheme="minorHAnsi"/>
          <w:i/>
        </w:rPr>
        <w:t>N</w:t>
      </w:r>
      <w:r w:rsidR="0072747D">
        <w:rPr>
          <w:rFonts w:cstheme="minorHAnsi"/>
        </w:rPr>
        <w:t xml:space="preserve"> = 74 individuals)</w:t>
      </w:r>
      <w:r w:rsidR="00E43D66">
        <w:rPr>
          <w:rFonts w:cstheme="minorHAnsi"/>
        </w:rPr>
        <w:t>, nor high-quality vigilance (</w:t>
      </w:r>
      <w:r w:rsidR="00540177">
        <w:rPr>
          <w:rFonts w:cstheme="minorHAnsi"/>
        </w:rPr>
        <w:t xml:space="preserve">GLMM: </w:t>
      </w:r>
      <w:r w:rsidR="00E43D66" w:rsidRPr="004F55B3">
        <w:rPr>
          <w:rFonts w:cstheme="minorHAnsi"/>
          <w:i/>
        </w:rPr>
        <w:t>χ</w:t>
      </w:r>
      <w:r w:rsidR="00E43D66" w:rsidRPr="004F55B3">
        <w:rPr>
          <w:rFonts w:cstheme="minorHAnsi"/>
          <w:i/>
          <w:vertAlign w:val="superscript"/>
        </w:rPr>
        <w:t>2</w:t>
      </w:r>
      <w:r w:rsidR="00E43D66" w:rsidRPr="004F55B3">
        <w:rPr>
          <w:rFonts w:cstheme="minorHAnsi"/>
          <w:i/>
          <w:vertAlign w:val="subscript"/>
        </w:rPr>
        <w:t>1</w:t>
      </w:r>
      <w:r w:rsidR="00E43D66">
        <w:rPr>
          <w:rFonts w:cstheme="minorHAnsi"/>
          <w:vertAlign w:val="subscript"/>
        </w:rPr>
        <w:t xml:space="preserve"> </w:t>
      </w:r>
      <w:r w:rsidR="00E43D66">
        <w:rPr>
          <w:rFonts w:cstheme="minorHAnsi"/>
        </w:rPr>
        <w:t xml:space="preserve">= 0.78, </w:t>
      </w:r>
      <w:r w:rsidR="00E43D66" w:rsidRPr="004F55B3">
        <w:rPr>
          <w:rFonts w:cstheme="minorHAnsi"/>
          <w:i/>
        </w:rPr>
        <w:t>P</w:t>
      </w:r>
      <w:r w:rsidR="00E43D66">
        <w:rPr>
          <w:rFonts w:cstheme="minorHAnsi"/>
        </w:rPr>
        <w:t xml:space="preserve"> = 0.38, </w:t>
      </w:r>
      <w:r w:rsidR="00E43D66" w:rsidRPr="004F55B3">
        <w:rPr>
          <w:rFonts w:cstheme="minorHAnsi"/>
          <w:i/>
        </w:rPr>
        <w:t>N</w:t>
      </w:r>
      <w:r w:rsidR="00E43D66">
        <w:rPr>
          <w:rFonts w:cstheme="minorHAnsi"/>
        </w:rPr>
        <w:t xml:space="preserve"> = 77 individuals)</w:t>
      </w:r>
      <w:r w:rsidR="00DF5F59">
        <w:rPr>
          <w:rFonts w:cstheme="minorHAnsi"/>
        </w:rPr>
        <w:t xml:space="preserve"> in our focal follows</w:t>
      </w:r>
      <w:r w:rsidR="0072747D">
        <w:rPr>
          <w:rFonts w:cstheme="minorHAnsi"/>
        </w:rPr>
        <w:t xml:space="preserve">. </w:t>
      </w:r>
      <w:r w:rsidR="00E43D66">
        <w:rPr>
          <w:rFonts w:cstheme="minorHAnsi"/>
        </w:rPr>
        <w:t xml:space="preserve">Therefore, we did not add wind to our models on </w:t>
      </w:r>
      <w:r w:rsidR="00E43D66">
        <w:rPr>
          <w:rFonts w:cstheme="minorHAnsi"/>
        </w:rPr>
        <w:lastRenderedPageBreak/>
        <w:t xml:space="preserve">group size effect. </w:t>
      </w:r>
      <w:r w:rsidR="00A47649">
        <w:rPr>
          <w:rFonts w:cstheme="minorHAnsi"/>
        </w:rPr>
        <w:t xml:space="preserve">We also did not find a difference in </w:t>
      </w:r>
      <w:r w:rsidR="00C94EDA">
        <w:rPr>
          <w:rFonts w:cstheme="minorHAnsi"/>
        </w:rPr>
        <w:t xml:space="preserve">proportion time spent in </w:t>
      </w:r>
      <w:r w:rsidR="00A47649">
        <w:rPr>
          <w:rFonts w:cstheme="minorHAnsi"/>
        </w:rPr>
        <w:t>individual low</w:t>
      </w:r>
      <w:r w:rsidR="00C94EDA">
        <w:rPr>
          <w:rFonts w:cstheme="minorHAnsi"/>
        </w:rPr>
        <w:t>-</w:t>
      </w:r>
      <w:r w:rsidR="00A47649">
        <w:rPr>
          <w:rFonts w:cstheme="minorHAnsi"/>
        </w:rPr>
        <w:t>quality vigilance when conspecifics were within 10 m or 60 m (</w:t>
      </w:r>
      <w:r w:rsidR="00C94EDA">
        <w:rPr>
          <w:rFonts w:cstheme="minorHAnsi"/>
        </w:rPr>
        <w:t xml:space="preserve">8.8 ± 6.6 %, and 8.2 ± 1.1 %, </w:t>
      </w:r>
      <w:r w:rsidR="00C94EDA" w:rsidRPr="004F55B3">
        <w:rPr>
          <w:rFonts w:cstheme="minorHAnsi"/>
          <w:i/>
        </w:rPr>
        <w:t>N</w:t>
      </w:r>
      <w:r w:rsidR="00C94EDA">
        <w:rPr>
          <w:rFonts w:cstheme="minorHAnsi"/>
        </w:rPr>
        <w:t xml:space="preserve"> = 28; </w:t>
      </w:r>
      <w:r w:rsidR="00A47649" w:rsidRPr="001906F1">
        <w:rPr>
          <w:rFonts w:cstheme="minorHAnsi"/>
        </w:rPr>
        <w:t>Wilcoxon signed ranks test</w:t>
      </w:r>
      <w:r w:rsidR="00A47649">
        <w:rPr>
          <w:rFonts w:cstheme="minorHAnsi"/>
        </w:rPr>
        <w:t xml:space="preserve">: </w:t>
      </w:r>
      <w:r w:rsidR="00A47649" w:rsidRPr="004F55B3">
        <w:rPr>
          <w:rFonts w:cstheme="minorHAnsi"/>
          <w:i/>
        </w:rPr>
        <w:t>V</w:t>
      </w:r>
      <w:r w:rsidR="00A47649">
        <w:rPr>
          <w:rFonts w:cstheme="minorHAnsi"/>
        </w:rPr>
        <w:t xml:space="preserve"> = </w:t>
      </w:r>
      <w:r w:rsidR="0001140B">
        <w:rPr>
          <w:rFonts w:cstheme="minorHAnsi"/>
        </w:rPr>
        <w:t>182.5</w:t>
      </w:r>
      <w:r w:rsidR="00A47649">
        <w:rPr>
          <w:rFonts w:cstheme="minorHAnsi"/>
        </w:rPr>
        <w:t xml:space="preserve">, </w:t>
      </w:r>
      <w:r w:rsidR="00A47649" w:rsidRPr="004F55B3">
        <w:rPr>
          <w:rFonts w:cstheme="minorHAnsi"/>
          <w:i/>
        </w:rPr>
        <w:t>P</w:t>
      </w:r>
      <w:r w:rsidR="00A47649">
        <w:rPr>
          <w:rFonts w:cstheme="minorHAnsi"/>
        </w:rPr>
        <w:t xml:space="preserve"> </w:t>
      </w:r>
      <w:r w:rsidR="0001140B">
        <w:rPr>
          <w:rFonts w:cstheme="minorHAnsi"/>
        </w:rPr>
        <w:t>= 0.65</w:t>
      </w:r>
      <w:r w:rsidR="00C94EDA">
        <w:rPr>
          <w:rFonts w:cstheme="minorHAnsi"/>
        </w:rPr>
        <w:t>)</w:t>
      </w:r>
      <w:r w:rsidR="001F747A">
        <w:rPr>
          <w:rFonts w:cstheme="minorHAnsi"/>
        </w:rPr>
        <w:t>,</w:t>
      </w:r>
      <w:r w:rsidR="00C94EDA">
        <w:rPr>
          <w:rFonts w:cstheme="minorHAnsi"/>
        </w:rPr>
        <w:t xml:space="preserve"> nor for individual high-quality vigilance (&lt; 10 m: 33.1 ± 4.2 %, and &lt; 60 m: 42.5 ± 4.3 %, </w:t>
      </w:r>
      <w:r w:rsidR="00C94EDA" w:rsidRPr="004F55B3">
        <w:rPr>
          <w:rFonts w:cstheme="minorHAnsi"/>
          <w:i/>
        </w:rPr>
        <w:t>N</w:t>
      </w:r>
      <w:r w:rsidR="00C94EDA">
        <w:rPr>
          <w:rFonts w:cstheme="minorHAnsi"/>
        </w:rPr>
        <w:t xml:space="preserve"> = 28; </w:t>
      </w:r>
      <w:r w:rsidR="001F747A" w:rsidRPr="004F55B3">
        <w:rPr>
          <w:rFonts w:cstheme="minorHAnsi"/>
          <w:i/>
        </w:rPr>
        <w:t>V</w:t>
      </w:r>
      <w:r w:rsidR="001F747A">
        <w:rPr>
          <w:rFonts w:cstheme="minorHAnsi"/>
        </w:rPr>
        <w:t xml:space="preserve"> = 275, </w:t>
      </w:r>
      <w:r w:rsidR="001F747A" w:rsidRPr="004F55B3">
        <w:rPr>
          <w:rFonts w:cstheme="minorHAnsi"/>
          <w:i/>
        </w:rPr>
        <w:t>P</w:t>
      </w:r>
      <w:r w:rsidR="001F747A">
        <w:rPr>
          <w:rFonts w:cstheme="minorHAnsi"/>
        </w:rPr>
        <w:t xml:space="preserve"> = 0.10</w:t>
      </w:r>
      <w:r w:rsidR="0001140B">
        <w:rPr>
          <w:rFonts w:cstheme="minorHAnsi"/>
        </w:rPr>
        <w:t>)</w:t>
      </w:r>
      <w:r w:rsidR="00DF5F59">
        <w:rPr>
          <w:rFonts w:cstheme="minorHAnsi"/>
        </w:rPr>
        <w:t xml:space="preserve"> in our focal follows</w:t>
      </w:r>
      <w:r w:rsidR="0001140B">
        <w:rPr>
          <w:rFonts w:cstheme="minorHAnsi"/>
        </w:rPr>
        <w:t xml:space="preserve">. </w:t>
      </w:r>
      <w:r w:rsidR="001F747A">
        <w:rPr>
          <w:rFonts w:cstheme="minorHAnsi"/>
        </w:rPr>
        <w:t xml:space="preserve">Therefore, we measured group size as conspecifics </w:t>
      </w:r>
      <w:r w:rsidR="00C94EDA">
        <w:rPr>
          <w:rFonts w:cstheme="minorHAnsi"/>
        </w:rPr>
        <w:t xml:space="preserve">present </w:t>
      </w:r>
      <w:r w:rsidR="001F747A">
        <w:rPr>
          <w:rFonts w:cstheme="minorHAnsi"/>
        </w:rPr>
        <w:t>within 60 m</w:t>
      </w:r>
      <w:r w:rsidR="00540177">
        <w:rPr>
          <w:rFonts w:cstheme="minorHAnsi"/>
        </w:rPr>
        <w:t xml:space="preserve"> in our </w:t>
      </w:r>
      <w:r w:rsidR="00540177" w:rsidRPr="004D653A">
        <w:t>individual low- and high-quality vigilance models</w:t>
      </w:r>
      <w:r w:rsidR="001F747A">
        <w:rPr>
          <w:rFonts w:cstheme="minorHAnsi"/>
        </w:rPr>
        <w:t xml:space="preserve">. </w:t>
      </w:r>
    </w:p>
    <w:p w14:paraId="507B0CC3" w14:textId="06203C3A" w:rsidR="00DC31D5" w:rsidRDefault="008C3909" w:rsidP="0012764A">
      <w:pPr>
        <w:spacing w:line="480" w:lineRule="auto"/>
        <w:ind w:firstLine="720"/>
        <w:rPr>
          <w:rFonts w:eastAsia="Times New Roman" w:cs="Times New Roman"/>
        </w:rPr>
      </w:pPr>
      <w:r>
        <w:rPr>
          <w:rFonts w:eastAsia="Times New Roman" w:cs="Times New Roman"/>
        </w:rPr>
        <w:t xml:space="preserve">For our vigilance and group size analysis, we used </w:t>
      </w:r>
      <w:r>
        <w:rPr>
          <w:rFonts w:eastAsia="Times New Roman" w:cs="Times New Roman"/>
          <w:iCs/>
        </w:rPr>
        <w:t>390 hours of observations.</w:t>
      </w:r>
      <w:r>
        <w:t xml:space="preserve"> </w:t>
      </w:r>
      <w:r w:rsidR="00FC4C53">
        <w:t xml:space="preserve">On average, we observed 4.2 </w:t>
      </w:r>
      <w:r w:rsidR="00FC4C53">
        <w:rPr>
          <w:rFonts w:cstheme="minorHAnsi"/>
        </w:rPr>
        <w:t>±</w:t>
      </w:r>
      <w:r w:rsidR="00FC4C53">
        <w:t xml:space="preserve"> 0.</w:t>
      </w:r>
      <w:r w:rsidR="005247A3">
        <w:t>1</w:t>
      </w:r>
      <w:r w:rsidR="00FC4C53">
        <w:t xml:space="preserve"> (</w:t>
      </w:r>
      <w:r w:rsidR="00FC4C53">
        <w:rPr>
          <w:rFonts w:ascii="MS Reference Sans Serif" w:hAnsi="MS Reference Sans Serif" w:cstheme="minorHAnsi"/>
          <w:i/>
        </w:rPr>
        <w:t></w:t>
      </w:r>
      <w:r w:rsidR="00FC4C53">
        <w:rPr>
          <w:rFonts w:cstheme="minorHAnsi"/>
        </w:rPr>
        <w:t xml:space="preserve"> ± </w:t>
      </w:r>
      <w:r w:rsidR="00FC4C53">
        <w:t xml:space="preserve">SE) individuals per 10-min scan, ranging </w:t>
      </w:r>
      <w:r w:rsidR="00FC4C53">
        <w:rPr>
          <w:rFonts w:eastAsia="Times New Roman" w:cs="Times New Roman"/>
          <w:iCs/>
        </w:rPr>
        <w:t>from 1 to 14 squirrels per scan.</w:t>
      </w:r>
      <w:r w:rsidR="005C5A17">
        <w:rPr>
          <w:rFonts w:eastAsia="Times New Roman" w:cs="Times New Roman"/>
          <w:iCs/>
        </w:rPr>
        <w:t xml:space="preserve"> Since high-quality vigilance bouts can last longer than one 10-min scan, we used </w:t>
      </w:r>
      <w:r w:rsidR="00BD2AAB">
        <w:rPr>
          <w:rFonts w:eastAsia="Times New Roman" w:cs="Times New Roman"/>
          <w:iCs/>
        </w:rPr>
        <w:t>total individuals observed during an observation period as group size.</w:t>
      </w:r>
      <w:r w:rsidR="00FC4C53">
        <w:rPr>
          <w:rFonts w:eastAsia="Times New Roman" w:cs="Times New Roman"/>
          <w:iCs/>
        </w:rPr>
        <w:t xml:space="preserve"> </w:t>
      </w:r>
      <w:r w:rsidR="005C5A17">
        <w:rPr>
          <w:rFonts w:eastAsia="Times New Roman" w:cs="Times New Roman"/>
          <w:iCs/>
        </w:rPr>
        <w:t>Per observation period</w:t>
      </w:r>
      <w:r w:rsidR="00BD2AAB">
        <w:rPr>
          <w:rFonts w:eastAsia="Times New Roman" w:cs="Times New Roman"/>
          <w:iCs/>
        </w:rPr>
        <w:t>,</w:t>
      </w:r>
      <w:r w:rsidR="005C5A17">
        <w:rPr>
          <w:rFonts w:eastAsia="Times New Roman" w:cs="Times New Roman"/>
          <w:iCs/>
        </w:rPr>
        <w:t xml:space="preserve"> </w:t>
      </w:r>
      <w:r w:rsidR="00BD2AAB">
        <w:rPr>
          <w:rFonts w:eastAsia="Times New Roman" w:cs="Times New Roman"/>
          <w:iCs/>
        </w:rPr>
        <w:t xml:space="preserve">we observed 8.9 </w:t>
      </w:r>
      <w:r w:rsidR="00BD2AAB">
        <w:rPr>
          <w:rFonts w:eastAsia="Times New Roman" w:cstheme="minorHAnsi"/>
          <w:iCs/>
        </w:rPr>
        <w:t>±</w:t>
      </w:r>
      <w:r w:rsidR="00BD2AAB">
        <w:rPr>
          <w:rFonts w:eastAsia="Times New Roman" w:cs="Times New Roman"/>
          <w:iCs/>
        </w:rPr>
        <w:t xml:space="preserve"> 0.</w:t>
      </w:r>
      <w:r w:rsidR="005247A3">
        <w:rPr>
          <w:rFonts w:eastAsia="Times New Roman" w:cs="Times New Roman"/>
          <w:iCs/>
        </w:rPr>
        <w:t>4</w:t>
      </w:r>
      <w:r w:rsidR="00BD2AAB">
        <w:rPr>
          <w:rFonts w:eastAsia="Times New Roman" w:cs="Times New Roman"/>
          <w:iCs/>
        </w:rPr>
        <w:t xml:space="preserve"> </w:t>
      </w:r>
      <w:r w:rsidR="00BD2AAB">
        <w:t>(</w:t>
      </w:r>
      <w:r w:rsidR="00BD2AAB">
        <w:rPr>
          <w:rFonts w:ascii="MS Reference Sans Serif" w:hAnsi="MS Reference Sans Serif" w:cstheme="minorHAnsi"/>
          <w:i/>
        </w:rPr>
        <w:t></w:t>
      </w:r>
      <w:r w:rsidR="00BD2AAB">
        <w:rPr>
          <w:rFonts w:cstheme="minorHAnsi"/>
        </w:rPr>
        <w:t xml:space="preserve"> ± </w:t>
      </w:r>
      <w:r w:rsidR="00BD2AAB">
        <w:t xml:space="preserve">SE) </w:t>
      </w:r>
      <w:r w:rsidR="00BD2AAB">
        <w:rPr>
          <w:rFonts w:eastAsia="Times New Roman" w:cs="Times New Roman"/>
          <w:iCs/>
        </w:rPr>
        <w:t xml:space="preserve">individuals (N = 299 observation periods). </w:t>
      </w:r>
      <w:r w:rsidR="00DC31D5">
        <w:rPr>
          <w:rFonts w:eastAsia="Times New Roman" w:cs="Times New Roman"/>
        </w:rPr>
        <w:t xml:space="preserve">The AIC’s were lower for the quantiles of the random intercept model for individual </w:t>
      </w:r>
      <w:r w:rsidR="006147D7">
        <w:rPr>
          <w:rFonts w:eastAsia="Times New Roman" w:cs="Times New Roman"/>
        </w:rPr>
        <w:t>high-quality vigilance</w:t>
      </w:r>
      <w:r w:rsidR="00DC31D5">
        <w:rPr>
          <w:rFonts w:eastAsia="Times New Roman" w:cs="Times New Roman"/>
        </w:rPr>
        <w:t xml:space="preserve">, but were lower for the quantiles of the random slope model for the </w:t>
      </w:r>
      <w:r w:rsidR="007C4335">
        <w:rPr>
          <w:rFonts w:eastAsia="Times New Roman" w:cs="Times New Roman"/>
        </w:rPr>
        <w:t>individual low-quality and collective low- and high-quality</w:t>
      </w:r>
      <w:r w:rsidR="00DC31D5">
        <w:rPr>
          <w:rFonts w:eastAsia="Times New Roman" w:cs="Times New Roman"/>
        </w:rPr>
        <w:t xml:space="preserve"> models (Table </w:t>
      </w:r>
      <w:r w:rsidR="00436AD7">
        <w:rPr>
          <w:rFonts w:eastAsia="Times New Roman" w:cs="Times New Roman"/>
        </w:rPr>
        <w:t>2</w:t>
      </w:r>
      <w:r w:rsidR="00DC31D5">
        <w:rPr>
          <w:rFonts w:eastAsia="Times New Roman" w:cs="Times New Roman"/>
        </w:rPr>
        <w:t xml:space="preserve">). Individual time spent in low-quality vigilance did not decrease for any of the quantiles with increasing group size (Table </w:t>
      </w:r>
      <w:r w:rsidR="00436AD7">
        <w:rPr>
          <w:rFonts w:eastAsia="Times New Roman" w:cs="Times New Roman"/>
        </w:rPr>
        <w:t>2</w:t>
      </w:r>
      <w:r w:rsidR="00DC31D5">
        <w:rPr>
          <w:rFonts w:eastAsia="Times New Roman" w:cs="Times New Roman"/>
        </w:rPr>
        <w:t xml:space="preserve">; Fig. 1A). Individual </w:t>
      </w:r>
      <w:r w:rsidR="006147D7">
        <w:rPr>
          <w:rFonts w:eastAsia="Times New Roman" w:cs="Times New Roman"/>
        </w:rPr>
        <w:t>high-quality vigilance</w:t>
      </w:r>
      <w:r w:rsidR="00DC31D5">
        <w:rPr>
          <w:rFonts w:eastAsia="Times New Roman" w:cs="Times New Roman"/>
        </w:rPr>
        <w:t xml:space="preserve"> decreased significantly by 2.4</w:t>
      </w:r>
      <w:r w:rsidR="00B75B03">
        <w:rPr>
          <w:rFonts w:eastAsia="Times New Roman" w:cs="Times New Roman"/>
        </w:rPr>
        <w:t xml:space="preserve"> </w:t>
      </w:r>
      <w:r w:rsidR="00DC31D5">
        <w:rPr>
          <w:rFonts w:eastAsia="Times New Roman" w:cs="Times New Roman"/>
        </w:rPr>
        <w:t>% with</w:t>
      </w:r>
      <w:r w:rsidR="003C6E94">
        <w:rPr>
          <w:rFonts w:eastAsia="Times New Roman" w:cs="Times New Roman"/>
        </w:rPr>
        <w:t xml:space="preserve"> an</w:t>
      </w:r>
      <w:r w:rsidR="00DC31D5">
        <w:rPr>
          <w:rFonts w:eastAsia="Times New Roman" w:cs="Times New Roman"/>
        </w:rPr>
        <w:t xml:space="preserve"> increas</w:t>
      </w:r>
      <w:r w:rsidR="003C6E94">
        <w:rPr>
          <w:rFonts w:eastAsia="Times New Roman" w:cs="Times New Roman"/>
        </w:rPr>
        <w:t>e of</w:t>
      </w:r>
      <w:r w:rsidR="00DC31D5">
        <w:rPr>
          <w:rFonts w:eastAsia="Times New Roman" w:cs="Times New Roman"/>
        </w:rPr>
        <w:t xml:space="preserve"> group size </w:t>
      </w:r>
      <w:r w:rsidR="003C6E94">
        <w:rPr>
          <w:rFonts w:eastAsia="Times New Roman" w:cs="Times New Roman"/>
        </w:rPr>
        <w:t xml:space="preserve">by one squirrel </w:t>
      </w:r>
      <w:r w:rsidR="00DC31D5">
        <w:rPr>
          <w:rFonts w:eastAsia="Times New Roman" w:cs="Times New Roman"/>
        </w:rPr>
        <w:t>for the lower quantile (</w:t>
      </w:r>
      <w:r w:rsidR="00DC31D5" w:rsidRPr="00932A85">
        <w:rPr>
          <w:rFonts w:eastAsia="Times New Roman" w:cs="Times New Roman"/>
        </w:rPr>
        <w:t>τ = 0.2</w:t>
      </w:r>
      <w:r w:rsidR="00DC31D5">
        <w:rPr>
          <w:rFonts w:eastAsia="Times New Roman" w:cs="Times New Roman"/>
        </w:rPr>
        <w:t xml:space="preserve">), </w:t>
      </w:r>
      <w:r w:rsidR="000A0C94">
        <w:rPr>
          <w:rFonts w:eastAsia="Times New Roman" w:cs="Times New Roman"/>
        </w:rPr>
        <w:t>did not decrease</w:t>
      </w:r>
      <w:r w:rsidR="00DC31D5">
        <w:rPr>
          <w:rFonts w:eastAsia="Times New Roman" w:cs="Times New Roman"/>
        </w:rPr>
        <w:t xml:space="preserve"> for the median (τ = 0.5), </w:t>
      </w:r>
      <w:r w:rsidR="0071232E">
        <w:rPr>
          <w:rFonts w:eastAsia="Times New Roman" w:cs="Times New Roman"/>
        </w:rPr>
        <w:t xml:space="preserve">and </w:t>
      </w:r>
      <w:r w:rsidR="00DC31D5">
        <w:rPr>
          <w:rFonts w:eastAsia="Times New Roman" w:cs="Times New Roman"/>
        </w:rPr>
        <w:t>increased significantly by 1.2</w:t>
      </w:r>
      <w:r w:rsidR="00B75B03">
        <w:rPr>
          <w:rFonts w:eastAsia="Times New Roman" w:cs="Times New Roman"/>
        </w:rPr>
        <w:t xml:space="preserve"> </w:t>
      </w:r>
      <w:r w:rsidR="00DC31D5">
        <w:rPr>
          <w:rFonts w:eastAsia="Times New Roman" w:cs="Times New Roman"/>
        </w:rPr>
        <w:t xml:space="preserve">% for the upper quantile (τ = 0.8; Table </w:t>
      </w:r>
      <w:r w:rsidR="00436AD7">
        <w:rPr>
          <w:rFonts w:eastAsia="Times New Roman" w:cs="Times New Roman"/>
        </w:rPr>
        <w:t>2</w:t>
      </w:r>
      <w:r w:rsidR="00DC31D5">
        <w:rPr>
          <w:rFonts w:eastAsia="Times New Roman" w:cs="Times New Roman"/>
        </w:rPr>
        <w:t>; Fig. 1</w:t>
      </w:r>
      <w:r w:rsidR="0012764A">
        <w:rPr>
          <w:rFonts w:eastAsia="Times New Roman" w:cs="Times New Roman"/>
        </w:rPr>
        <w:t>B</w:t>
      </w:r>
      <w:r w:rsidR="00DC31D5">
        <w:rPr>
          <w:rFonts w:eastAsia="Times New Roman" w:cs="Times New Roman"/>
        </w:rPr>
        <w:t>). Collective time spent in low-quality vigilance only increased significantly by 1.0</w:t>
      </w:r>
      <w:r w:rsidR="00B75B03">
        <w:rPr>
          <w:rFonts w:eastAsia="Times New Roman" w:cs="Times New Roman"/>
        </w:rPr>
        <w:t xml:space="preserve"> </w:t>
      </w:r>
      <w:r w:rsidR="00DC31D5">
        <w:rPr>
          <w:rFonts w:eastAsia="Times New Roman" w:cs="Times New Roman"/>
        </w:rPr>
        <w:t xml:space="preserve">% for the upper quantile, but </w:t>
      </w:r>
      <w:r w:rsidR="006147D7">
        <w:rPr>
          <w:rFonts w:eastAsia="Times New Roman" w:cs="Times New Roman"/>
        </w:rPr>
        <w:t xml:space="preserve">did not </w:t>
      </w:r>
      <w:r w:rsidR="00314114">
        <w:rPr>
          <w:rFonts w:eastAsia="Times New Roman" w:cs="Times New Roman"/>
        </w:rPr>
        <w:t>in</w:t>
      </w:r>
      <w:r w:rsidR="00DC31D5">
        <w:rPr>
          <w:rFonts w:eastAsia="Times New Roman" w:cs="Times New Roman"/>
        </w:rPr>
        <w:t xml:space="preserve">crease </w:t>
      </w:r>
      <w:r w:rsidR="006147D7">
        <w:rPr>
          <w:rFonts w:eastAsia="Times New Roman" w:cs="Times New Roman"/>
        </w:rPr>
        <w:t>for</w:t>
      </w:r>
      <w:r w:rsidR="00DC31D5">
        <w:rPr>
          <w:rFonts w:eastAsia="Times New Roman" w:cs="Times New Roman"/>
        </w:rPr>
        <w:t xml:space="preserve"> the lower and median quantiles (Table </w:t>
      </w:r>
      <w:r w:rsidR="00436AD7">
        <w:rPr>
          <w:rFonts w:eastAsia="Times New Roman" w:cs="Times New Roman"/>
        </w:rPr>
        <w:t>2</w:t>
      </w:r>
      <w:r w:rsidR="00DC31D5">
        <w:rPr>
          <w:rFonts w:eastAsia="Times New Roman" w:cs="Times New Roman"/>
        </w:rPr>
        <w:t>; Fig. 1</w:t>
      </w:r>
      <w:r w:rsidR="0012764A">
        <w:rPr>
          <w:rFonts w:eastAsia="Times New Roman" w:cs="Times New Roman"/>
        </w:rPr>
        <w:t>C</w:t>
      </w:r>
      <w:r w:rsidR="00DC31D5">
        <w:rPr>
          <w:rFonts w:eastAsia="Times New Roman" w:cs="Times New Roman"/>
        </w:rPr>
        <w:t xml:space="preserve">). Collective </w:t>
      </w:r>
      <w:r w:rsidR="006147D7">
        <w:rPr>
          <w:rFonts w:eastAsia="Times New Roman" w:cs="Times New Roman"/>
        </w:rPr>
        <w:t>high-quality vigilance</w:t>
      </w:r>
      <w:r w:rsidR="00DC31D5">
        <w:rPr>
          <w:rFonts w:eastAsia="Times New Roman" w:cs="Times New Roman"/>
        </w:rPr>
        <w:t xml:space="preserve"> increased significantly</w:t>
      </w:r>
      <w:r w:rsidR="00B75B03">
        <w:rPr>
          <w:rFonts w:eastAsia="Times New Roman" w:cs="Times New Roman"/>
        </w:rPr>
        <w:t xml:space="preserve"> for the 0.5 and 0.8 quantiles by 2.3 and 3.8 %, respectively, </w:t>
      </w:r>
      <w:r w:rsidR="00B75B03" w:rsidRPr="001A3FEC">
        <w:rPr>
          <w:rFonts w:eastAsia="Times New Roman" w:cs="Times New Roman"/>
        </w:rPr>
        <w:t xml:space="preserve">for every increase </w:t>
      </w:r>
      <w:r w:rsidR="00B75B03">
        <w:rPr>
          <w:rFonts w:eastAsia="Times New Roman" w:cs="Times New Roman"/>
        </w:rPr>
        <w:t>of group size by one squirrel, but did not increase</w:t>
      </w:r>
      <w:r w:rsidR="00DC31D5">
        <w:rPr>
          <w:rFonts w:eastAsia="Times New Roman" w:cs="Times New Roman"/>
        </w:rPr>
        <w:t xml:space="preserve"> for the lower quantile (Table </w:t>
      </w:r>
      <w:r w:rsidR="00436AD7">
        <w:rPr>
          <w:rFonts w:eastAsia="Times New Roman" w:cs="Times New Roman"/>
        </w:rPr>
        <w:t>2</w:t>
      </w:r>
      <w:r w:rsidR="00DC31D5">
        <w:rPr>
          <w:rFonts w:eastAsia="Times New Roman" w:cs="Times New Roman"/>
        </w:rPr>
        <w:t>; Fig. 1</w:t>
      </w:r>
      <w:r w:rsidR="0012764A">
        <w:rPr>
          <w:rFonts w:eastAsia="Times New Roman" w:cs="Times New Roman"/>
        </w:rPr>
        <w:t>D</w:t>
      </w:r>
      <w:r w:rsidR="00DC31D5">
        <w:rPr>
          <w:rFonts w:eastAsia="Times New Roman" w:cs="Times New Roman"/>
        </w:rPr>
        <w:t xml:space="preserve">). </w:t>
      </w:r>
    </w:p>
    <w:p w14:paraId="73CE651B" w14:textId="67EDD33A" w:rsidR="00D54386" w:rsidRDefault="00D54386" w:rsidP="00D54386">
      <w:pPr>
        <w:keepNext/>
      </w:pPr>
    </w:p>
    <w:p w14:paraId="19E05749" w14:textId="5AFBD97C" w:rsidR="004867E0" w:rsidRDefault="00670550" w:rsidP="00F73F32">
      <w:pPr>
        <w:pStyle w:val="NoSpacing"/>
        <w:spacing w:line="480" w:lineRule="auto"/>
        <w:rPr>
          <w:rFonts w:eastAsia="Times New Roman" w:cs="Times New Roman"/>
          <w:i/>
        </w:rPr>
      </w:pPr>
      <w:r>
        <w:rPr>
          <w:rFonts w:eastAsia="Times New Roman" w:cs="Times New Roman"/>
          <w:i/>
        </w:rPr>
        <w:t>Response to predator encounters</w:t>
      </w:r>
      <w:r w:rsidDel="00670550">
        <w:rPr>
          <w:rFonts w:eastAsia="Times New Roman" w:cs="Times New Roman"/>
          <w:i/>
        </w:rPr>
        <w:t xml:space="preserve"> </w:t>
      </w:r>
    </w:p>
    <w:p w14:paraId="1974389E" w14:textId="7A3E4911" w:rsidR="00DC31D5" w:rsidRDefault="00DC31D5" w:rsidP="00DC31D5">
      <w:pPr>
        <w:pStyle w:val="NoSpacing"/>
        <w:spacing w:line="480" w:lineRule="auto"/>
        <w:ind w:firstLine="720"/>
        <w:rPr>
          <w:rFonts w:eastAsia="Times New Roman" w:cs="Times New Roman"/>
        </w:rPr>
      </w:pPr>
      <w:r>
        <w:rPr>
          <w:rFonts w:eastAsia="Times New Roman" w:cs="Times New Roman"/>
        </w:rPr>
        <w:t>We recorded 271 predator sightings during our behavioural observations (</w:t>
      </w:r>
      <w:r w:rsidR="007261C5" w:rsidRPr="007261C5">
        <w:rPr>
          <w:rFonts w:eastAsia="Times New Roman" w:cs="Times New Roman"/>
          <w:i/>
        </w:rPr>
        <w:t>N</w:t>
      </w:r>
      <w:r>
        <w:rPr>
          <w:rFonts w:eastAsia="Times New Roman" w:cs="Times New Roman"/>
        </w:rPr>
        <w:t xml:space="preserve"> = 175 ae</w:t>
      </w:r>
      <w:r w:rsidR="007261C5">
        <w:rPr>
          <w:rFonts w:eastAsia="Times New Roman" w:cs="Times New Roman"/>
        </w:rPr>
        <w:t xml:space="preserve">rial and </w:t>
      </w:r>
      <w:r w:rsidR="007261C5" w:rsidRPr="007261C5">
        <w:rPr>
          <w:rFonts w:eastAsia="Times New Roman" w:cs="Times New Roman"/>
          <w:i/>
        </w:rPr>
        <w:t>N</w:t>
      </w:r>
      <w:r>
        <w:rPr>
          <w:rFonts w:eastAsia="Times New Roman" w:cs="Times New Roman"/>
        </w:rPr>
        <w:t xml:space="preserve"> = 96 terrestrial predators)</w:t>
      </w:r>
      <w:r w:rsidR="00137F0D">
        <w:rPr>
          <w:rFonts w:eastAsia="Times New Roman" w:cs="Times New Roman"/>
        </w:rPr>
        <w:t>. The rate of predator encounters did not differ per site</w:t>
      </w:r>
      <w:r>
        <w:rPr>
          <w:rFonts w:eastAsia="Times New Roman" w:cs="Times New Roman"/>
        </w:rPr>
        <w:t xml:space="preserve"> </w:t>
      </w:r>
      <w:r w:rsidR="0012764A">
        <w:rPr>
          <w:rFonts w:eastAsia="Times New Roman" w:cs="Times New Roman"/>
        </w:rPr>
        <w:t>(</w:t>
      </w:r>
      <w:r>
        <w:rPr>
          <w:rFonts w:eastAsia="Times New Roman" w:cs="Times New Roman"/>
        </w:rPr>
        <w:t xml:space="preserve">Table </w:t>
      </w:r>
      <w:r w:rsidR="00436AD7">
        <w:rPr>
          <w:rFonts w:eastAsia="Times New Roman" w:cs="Times New Roman"/>
        </w:rPr>
        <w:t>3</w:t>
      </w:r>
      <w:r>
        <w:rPr>
          <w:rFonts w:eastAsia="Times New Roman" w:cs="Times New Roman"/>
        </w:rPr>
        <w:t xml:space="preserve">; </w:t>
      </w:r>
      <w:r w:rsidR="00137F0D">
        <w:rPr>
          <w:rFonts w:eastAsia="Times New Roman" w:cs="Times New Roman"/>
        </w:rPr>
        <w:t xml:space="preserve">aerial </w:t>
      </w:r>
      <w:r w:rsidR="00137F0D">
        <w:rPr>
          <w:rFonts w:eastAsia="Times New Roman" w:cs="Times New Roman"/>
        </w:rPr>
        <w:lastRenderedPageBreak/>
        <w:t>predators</w:t>
      </w:r>
      <w:r w:rsidR="007261C5">
        <w:rPr>
          <w:rFonts w:eastAsia="Times New Roman" w:cs="Times New Roman"/>
        </w:rPr>
        <w:t>, Chi-square test:</w:t>
      </w:r>
      <w:r w:rsidR="00137F0D">
        <w:rPr>
          <w:rFonts w:eastAsia="Times New Roman" w:cs="Times New Roman"/>
        </w:rPr>
        <w:t xml:space="preserve"> </w:t>
      </w:r>
      <w:r>
        <w:rPr>
          <w:rFonts w:eastAsia="Times New Roman" w:cs="Times New Roman"/>
        </w:rPr>
        <w:t>χ</w:t>
      </w:r>
      <w:r>
        <w:rPr>
          <w:rFonts w:eastAsia="Times New Roman" w:cs="Times New Roman"/>
          <w:vertAlign w:val="superscript"/>
        </w:rPr>
        <w:t>2</w:t>
      </w:r>
      <w:r w:rsidR="007261C5">
        <w:rPr>
          <w:rFonts w:eastAsia="Times New Roman" w:cs="Times New Roman"/>
          <w:vertAlign w:val="subscript"/>
        </w:rPr>
        <w:t xml:space="preserve">2 </w:t>
      </w:r>
      <w:r>
        <w:rPr>
          <w:rFonts w:eastAsia="Times New Roman" w:cs="Times New Roman"/>
        </w:rPr>
        <w:t xml:space="preserve">= </w:t>
      </w:r>
      <w:r w:rsidR="00137F0D">
        <w:rPr>
          <w:rFonts w:eastAsia="Times New Roman" w:cs="Times New Roman"/>
        </w:rPr>
        <w:t>0.03</w:t>
      </w:r>
      <w:r w:rsidR="007261C5">
        <w:rPr>
          <w:rFonts w:eastAsia="Times New Roman" w:cs="Times New Roman"/>
        </w:rPr>
        <w:t>,</w:t>
      </w:r>
      <w:r w:rsidR="007261C5" w:rsidRPr="007261C5">
        <w:rPr>
          <w:rFonts w:eastAsia="Times New Roman" w:cs="Times New Roman"/>
          <w:i/>
        </w:rPr>
        <w:t xml:space="preserve"> P</w:t>
      </w:r>
      <w:r>
        <w:rPr>
          <w:rFonts w:eastAsia="Times New Roman" w:cs="Times New Roman"/>
        </w:rPr>
        <w:t xml:space="preserve"> </w:t>
      </w:r>
      <w:r w:rsidR="00137F0D">
        <w:rPr>
          <w:rFonts w:eastAsia="Times New Roman" w:cs="Times New Roman"/>
        </w:rPr>
        <w:t>= 0.99; terrestrial predators</w:t>
      </w:r>
      <w:r w:rsidR="007261C5">
        <w:rPr>
          <w:rFonts w:eastAsia="Times New Roman" w:cs="Times New Roman"/>
        </w:rPr>
        <w:t xml:space="preserve">, Chi-square test: </w:t>
      </w:r>
      <w:r w:rsidR="007B212E">
        <w:rPr>
          <w:rFonts w:eastAsia="Times New Roman" w:cs="Times New Roman"/>
        </w:rPr>
        <w:t>χ</w:t>
      </w:r>
      <w:r w:rsidR="007B212E">
        <w:rPr>
          <w:rFonts w:eastAsia="Times New Roman" w:cs="Times New Roman"/>
          <w:vertAlign w:val="superscript"/>
        </w:rPr>
        <w:t>2</w:t>
      </w:r>
      <w:r w:rsidR="007B212E">
        <w:rPr>
          <w:rFonts w:eastAsia="Times New Roman" w:cs="Times New Roman"/>
          <w:vertAlign w:val="subscript"/>
        </w:rPr>
        <w:t xml:space="preserve">2 </w:t>
      </w:r>
      <w:r w:rsidR="007261C5">
        <w:rPr>
          <w:rFonts w:eastAsia="Times New Roman" w:cs="Times New Roman"/>
        </w:rPr>
        <w:t xml:space="preserve">= 0.13, </w:t>
      </w:r>
      <w:r w:rsidR="007261C5" w:rsidRPr="007261C5">
        <w:rPr>
          <w:rFonts w:eastAsia="Times New Roman" w:cs="Times New Roman"/>
          <w:i/>
        </w:rPr>
        <w:t>P</w:t>
      </w:r>
      <w:r w:rsidR="00137F0D">
        <w:rPr>
          <w:rFonts w:eastAsia="Times New Roman" w:cs="Times New Roman"/>
        </w:rPr>
        <w:t xml:space="preserve"> = 0.94; and all predators</w:t>
      </w:r>
      <w:r w:rsidR="007261C5">
        <w:rPr>
          <w:rFonts w:eastAsia="Times New Roman" w:cs="Times New Roman"/>
        </w:rPr>
        <w:t>, Chi-square test: χ</w:t>
      </w:r>
      <w:r w:rsidR="007261C5">
        <w:rPr>
          <w:rFonts w:eastAsia="Times New Roman" w:cs="Times New Roman"/>
          <w:vertAlign w:val="superscript"/>
        </w:rPr>
        <w:t>2</w:t>
      </w:r>
      <w:r w:rsidR="007261C5">
        <w:rPr>
          <w:rFonts w:eastAsia="Times New Roman" w:cs="Times New Roman"/>
          <w:vertAlign w:val="subscript"/>
        </w:rPr>
        <w:t xml:space="preserve">2 </w:t>
      </w:r>
      <w:r w:rsidR="007261C5">
        <w:rPr>
          <w:rFonts w:eastAsia="Times New Roman" w:cs="Times New Roman"/>
        </w:rPr>
        <w:t xml:space="preserve">= 0.03, </w:t>
      </w:r>
      <w:r w:rsidR="007261C5" w:rsidRPr="007261C5">
        <w:rPr>
          <w:rFonts w:eastAsia="Times New Roman" w:cs="Times New Roman"/>
          <w:i/>
        </w:rPr>
        <w:t>P</w:t>
      </w:r>
      <w:r w:rsidR="00137F0D">
        <w:rPr>
          <w:rFonts w:eastAsia="Times New Roman" w:cs="Times New Roman"/>
        </w:rPr>
        <w:t xml:space="preserve"> = 0.99</w:t>
      </w:r>
      <w:r>
        <w:rPr>
          <w:rFonts w:eastAsia="Times New Roman" w:cs="Times New Roman"/>
        </w:rPr>
        <w:t xml:space="preserve">). The eliciting sources of the repeated barks were either </w:t>
      </w:r>
      <w:r w:rsidR="00D23A6D">
        <w:rPr>
          <w:rFonts w:eastAsia="Times New Roman" w:cs="Times New Roman"/>
        </w:rPr>
        <w:t xml:space="preserve">a </w:t>
      </w:r>
      <w:r>
        <w:rPr>
          <w:rFonts w:eastAsia="Times New Roman" w:cs="Times New Roman"/>
        </w:rPr>
        <w:t>bird of prey</w:t>
      </w:r>
      <w:r w:rsidR="00D23A6D">
        <w:rPr>
          <w:rFonts w:eastAsia="Times New Roman" w:cs="Times New Roman"/>
        </w:rPr>
        <w:t xml:space="preserve"> perched on or close to the ground</w:t>
      </w:r>
      <w:r w:rsidR="007261C5">
        <w:rPr>
          <w:rFonts w:eastAsia="Times New Roman" w:cs="Times New Roman"/>
        </w:rPr>
        <w:t xml:space="preserve"> </w:t>
      </w:r>
      <w:r w:rsidR="00DF610E">
        <w:rPr>
          <w:rFonts w:eastAsia="Times New Roman" w:cs="Times New Roman"/>
        </w:rPr>
        <w:t>(</w:t>
      </w:r>
      <w:r w:rsidR="007261C5" w:rsidRPr="007261C5">
        <w:rPr>
          <w:rFonts w:eastAsia="Times New Roman" w:cs="Times New Roman"/>
          <w:i/>
        </w:rPr>
        <w:t>N</w:t>
      </w:r>
      <w:r>
        <w:rPr>
          <w:rFonts w:eastAsia="Times New Roman" w:cs="Times New Roman"/>
        </w:rPr>
        <w:t xml:space="preserve"> = 3),</w:t>
      </w:r>
      <w:r w:rsidR="00731640">
        <w:rPr>
          <w:rFonts w:eastAsia="Times New Roman" w:cs="Times New Roman"/>
        </w:rPr>
        <w:t xml:space="preserve"> a</w:t>
      </w:r>
      <w:r>
        <w:rPr>
          <w:rFonts w:eastAsia="Times New Roman" w:cs="Times New Roman"/>
        </w:rPr>
        <w:t xml:space="preserve"> heterospecific </w:t>
      </w:r>
      <w:r w:rsidR="00DF610E">
        <w:rPr>
          <w:rFonts w:eastAsia="Times New Roman" w:cs="Times New Roman"/>
        </w:rPr>
        <w:t>species</w:t>
      </w:r>
      <w:r>
        <w:rPr>
          <w:rFonts w:eastAsia="Times New Roman" w:cs="Times New Roman"/>
        </w:rPr>
        <w:t xml:space="preserve"> (other species that do not </w:t>
      </w:r>
      <w:r w:rsidR="00D23A6D">
        <w:rPr>
          <w:rFonts w:eastAsia="Times New Roman" w:cs="Times New Roman"/>
        </w:rPr>
        <w:t xml:space="preserve">prey upon </w:t>
      </w:r>
      <w:r>
        <w:rPr>
          <w:rFonts w:eastAsia="Times New Roman" w:cs="Times New Roman"/>
        </w:rPr>
        <w:t xml:space="preserve">the squirrels, </w:t>
      </w:r>
      <w:r w:rsidR="007261C5" w:rsidRPr="007261C5">
        <w:rPr>
          <w:rFonts w:eastAsia="Times New Roman" w:cs="Times New Roman"/>
          <w:i/>
        </w:rPr>
        <w:t>N</w:t>
      </w:r>
      <w:r>
        <w:rPr>
          <w:rFonts w:eastAsia="Times New Roman" w:cs="Times New Roman"/>
        </w:rPr>
        <w:t xml:space="preserve"> = 5), </w:t>
      </w:r>
      <w:r w:rsidR="00731640">
        <w:rPr>
          <w:rFonts w:eastAsia="Times New Roman" w:cs="Times New Roman"/>
        </w:rPr>
        <w:t xml:space="preserve">a </w:t>
      </w:r>
      <w:r>
        <w:rPr>
          <w:rFonts w:eastAsia="Times New Roman" w:cs="Times New Roman"/>
        </w:rPr>
        <w:t xml:space="preserve">terrestrial </w:t>
      </w:r>
      <w:r w:rsidR="00DF610E">
        <w:rPr>
          <w:rFonts w:eastAsia="Times New Roman" w:cs="Times New Roman"/>
        </w:rPr>
        <w:t xml:space="preserve">species </w:t>
      </w:r>
      <w:r>
        <w:rPr>
          <w:rFonts w:eastAsia="Times New Roman" w:cs="Times New Roman"/>
        </w:rPr>
        <w:t xml:space="preserve">(unknown human, </w:t>
      </w:r>
      <w:r w:rsidR="007261C5" w:rsidRPr="007261C5">
        <w:rPr>
          <w:rFonts w:eastAsia="Times New Roman" w:cs="Times New Roman"/>
          <w:i/>
        </w:rPr>
        <w:t>N</w:t>
      </w:r>
      <w:r>
        <w:rPr>
          <w:rFonts w:eastAsia="Times New Roman" w:cs="Times New Roman"/>
        </w:rPr>
        <w:t xml:space="preserve"> = 3; dog, </w:t>
      </w:r>
      <w:r w:rsidR="007261C5" w:rsidRPr="007261C5">
        <w:rPr>
          <w:rFonts w:eastAsia="Times New Roman" w:cs="Times New Roman"/>
          <w:i/>
        </w:rPr>
        <w:t>N</w:t>
      </w:r>
      <w:r>
        <w:rPr>
          <w:rFonts w:eastAsia="Times New Roman" w:cs="Times New Roman"/>
        </w:rPr>
        <w:t xml:space="preserve"> = 3; or cat, </w:t>
      </w:r>
      <w:r w:rsidR="007261C5" w:rsidRPr="007261C5">
        <w:rPr>
          <w:rFonts w:eastAsia="Times New Roman" w:cs="Times New Roman"/>
          <w:i/>
        </w:rPr>
        <w:t>N</w:t>
      </w:r>
      <w:r>
        <w:rPr>
          <w:rFonts w:eastAsia="Times New Roman" w:cs="Times New Roman"/>
        </w:rPr>
        <w:t xml:space="preserve"> = 68), </w:t>
      </w:r>
      <w:r w:rsidR="00731640">
        <w:rPr>
          <w:rFonts w:eastAsia="Times New Roman" w:cs="Times New Roman"/>
        </w:rPr>
        <w:t>or</w:t>
      </w:r>
      <w:r>
        <w:rPr>
          <w:rFonts w:eastAsia="Times New Roman" w:cs="Times New Roman"/>
        </w:rPr>
        <w:t xml:space="preserve"> </w:t>
      </w:r>
      <w:r w:rsidR="00731640">
        <w:rPr>
          <w:rFonts w:eastAsia="Times New Roman" w:cs="Times New Roman"/>
        </w:rPr>
        <w:t xml:space="preserve">an </w:t>
      </w:r>
      <w:r>
        <w:rPr>
          <w:rFonts w:eastAsia="Times New Roman" w:cs="Times New Roman"/>
        </w:rPr>
        <w:t xml:space="preserve">unknown source (call eliciting source not observed, </w:t>
      </w:r>
      <w:r w:rsidR="007261C5" w:rsidRPr="007261C5">
        <w:rPr>
          <w:rFonts w:eastAsia="Times New Roman" w:cs="Times New Roman"/>
          <w:i/>
        </w:rPr>
        <w:t>N</w:t>
      </w:r>
      <w:r>
        <w:rPr>
          <w:rFonts w:eastAsia="Times New Roman" w:cs="Times New Roman"/>
        </w:rPr>
        <w:t xml:space="preserve"> = 162). Taking all predator sightings into account, t</w:t>
      </w:r>
      <w:r>
        <w:t>errestrial predators almost always elicited the repeated barks (83.5</w:t>
      </w:r>
      <w:r w:rsidR="00731640">
        <w:t xml:space="preserve"> </w:t>
      </w:r>
      <w:r>
        <w:t>% of the terrestrial predator sightings), while aerial predators only occasionally elicited repeated barks (</w:t>
      </w:r>
      <w:r w:rsidRPr="00954FF2">
        <w:t>6.4</w:t>
      </w:r>
      <w:r w:rsidR="00731640">
        <w:t xml:space="preserve"> </w:t>
      </w:r>
      <w:r w:rsidRPr="00954FF2">
        <w:t>%</w:t>
      </w:r>
      <w:r>
        <w:t xml:space="preserve"> of the aerial predator sightings; </w:t>
      </w:r>
      <w:r w:rsidR="007261C5">
        <w:t xml:space="preserve">Z-test: </w:t>
      </w:r>
      <w:r w:rsidR="007261C5" w:rsidRPr="007261C5">
        <w:rPr>
          <w:i/>
        </w:rPr>
        <w:t>Z</w:t>
      </w:r>
      <w:r>
        <w:rPr>
          <w:rFonts w:ascii="Calibri" w:hAnsi="Calibri"/>
          <w:color w:val="000000"/>
          <w:lang w:eastAsia="en-CA"/>
        </w:rPr>
        <w:t xml:space="preserve"> = -3.15, </w:t>
      </w:r>
      <w:r w:rsidR="007261C5" w:rsidRPr="007261C5">
        <w:rPr>
          <w:rFonts w:ascii="Calibri" w:hAnsi="Calibri"/>
          <w:i/>
          <w:color w:val="000000"/>
          <w:lang w:eastAsia="en-CA"/>
        </w:rPr>
        <w:t>P</w:t>
      </w:r>
      <w:r>
        <w:rPr>
          <w:rFonts w:ascii="Calibri" w:hAnsi="Calibri"/>
          <w:color w:val="000000"/>
          <w:lang w:eastAsia="en-CA"/>
        </w:rPr>
        <w:t xml:space="preserve"> &lt; 0.001)</w:t>
      </w:r>
      <w:r>
        <w:t xml:space="preserve">. </w:t>
      </w:r>
      <w:r w:rsidR="003C4873" w:rsidRPr="004C5A82">
        <w:t>We observed a 50 % success rate for aerial predators (</w:t>
      </w:r>
      <w:r w:rsidR="003C4873" w:rsidRPr="003C4873">
        <w:rPr>
          <w:i/>
        </w:rPr>
        <w:t>N</w:t>
      </w:r>
      <w:r w:rsidR="003C4873" w:rsidRPr="004C5A82">
        <w:t xml:space="preserve"> = 10 observed aerial predator attacks) and a 25 % success rate for terrestrial predators (</w:t>
      </w:r>
      <w:r w:rsidR="003C4873" w:rsidRPr="003C4873">
        <w:rPr>
          <w:i/>
        </w:rPr>
        <w:t>N</w:t>
      </w:r>
      <w:r w:rsidR="003C4873" w:rsidRPr="004C5A82">
        <w:t xml:space="preserve"> = 4 observed terrestrial predation events).</w:t>
      </w:r>
      <w:r w:rsidR="00C6201D">
        <w:t xml:space="preserve"> </w:t>
      </w:r>
      <w:r>
        <w:rPr>
          <w:rFonts w:eastAsia="Times New Roman" w:cs="Times New Roman"/>
        </w:rPr>
        <w:t xml:space="preserve">We did have individuals disappear from the study over time, but the causes leading to their disappearance were unknown. </w:t>
      </w:r>
    </w:p>
    <w:p w14:paraId="1AACD6A0" w14:textId="47E35696" w:rsidR="00DC31D5" w:rsidRDefault="00DC31D5" w:rsidP="00820B0F">
      <w:pPr>
        <w:pStyle w:val="NoSpacing"/>
        <w:spacing w:line="480" w:lineRule="auto"/>
        <w:ind w:firstLine="720"/>
      </w:pPr>
      <w:r>
        <w:rPr>
          <w:rFonts w:cstheme="minorHAnsi"/>
        </w:rPr>
        <w:t>In</w:t>
      </w:r>
      <w:r w:rsidRPr="00F27465">
        <w:rPr>
          <w:rFonts w:cstheme="minorHAnsi"/>
        </w:rPr>
        <w:t xml:space="preserve"> 78</w:t>
      </w:r>
      <w:r w:rsidR="00731640">
        <w:rPr>
          <w:rFonts w:cstheme="minorHAnsi"/>
        </w:rPr>
        <w:t xml:space="preserve"> </w:t>
      </w:r>
      <w:r w:rsidRPr="00F27465">
        <w:rPr>
          <w:rFonts w:cstheme="minorHAnsi"/>
        </w:rPr>
        <w:t xml:space="preserve">% of the </w:t>
      </w:r>
      <w:r>
        <w:rPr>
          <w:rFonts w:cstheme="minorHAnsi"/>
        </w:rPr>
        <w:t>occurrences</w:t>
      </w:r>
      <w:r w:rsidR="00F601F1">
        <w:rPr>
          <w:rFonts w:cstheme="minorHAnsi"/>
        </w:rPr>
        <w:t>,</w:t>
      </w:r>
      <w:r w:rsidRPr="00F27465">
        <w:rPr>
          <w:rFonts w:cstheme="minorHAnsi"/>
        </w:rPr>
        <w:t xml:space="preserve"> calling individuals were located on top of rock walls or other promontories</w:t>
      </w:r>
      <w:r>
        <w:rPr>
          <w:rFonts w:cstheme="minorHAnsi"/>
        </w:rPr>
        <w:t xml:space="preserve"> </w:t>
      </w:r>
      <w:r>
        <w:t xml:space="preserve">(i.e., elevated position at least 30 cm above ground) </w:t>
      </w:r>
      <w:r w:rsidRPr="00FB2F4D">
        <w:t xml:space="preserve">when </w:t>
      </w:r>
      <w:r>
        <w:t xml:space="preserve">a </w:t>
      </w:r>
      <w:r w:rsidRPr="00FB2F4D">
        <w:t>terrestrial predator</w:t>
      </w:r>
      <w:r>
        <w:t xml:space="preserve"> was present in the site</w:t>
      </w:r>
      <w:r w:rsidRPr="00F27465">
        <w:rPr>
          <w:rFonts w:cstheme="minorHAnsi"/>
        </w:rPr>
        <w:t>.</w:t>
      </w:r>
      <w:r w:rsidR="00A10584" w:rsidRPr="00DA172A">
        <w:rPr>
          <w:rFonts w:cstheme="minorHAnsi"/>
        </w:rPr>
        <w:t xml:space="preserve"> </w:t>
      </w:r>
      <w:r w:rsidR="007261C5">
        <w:rPr>
          <w:rFonts w:cstheme="minorHAnsi"/>
        </w:rPr>
        <w:t>C</w:t>
      </w:r>
      <w:r w:rsidRPr="0086617C">
        <w:t>all duration</w:t>
      </w:r>
      <w:r>
        <w:t xml:space="preserve"> </w:t>
      </w:r>
      <w:r w:rsidRPr="0086617C">
        <w:t>was</w:t>
      </w:r>
      <w:r w:rsidR="007261C5">
        <w:t xml:space="preserve"> </w:t>
      </w:r>
      <w:r w:rsidRPr="0086617C">
        <w:t>3</w:t>
      </w:r>
      <w:r>
        <w:t>39.1</w:t>
      </w:r>
      <w:r w:rsidRPr="0086617C">
        <w:t xml:space="preserve"> </w:t>
      </w:r>
      <w:r>
        <w:t>± 20.7</w:t>
      </w:r>
      <w:r w:rsidRPr="0086617C">
        <w:t xml:space="preserve"> s</w:t>
      </w:r>
      <w:r>
        <w:t>econds (</w:t>
      </w:r>
      <w:r w:rsidR="00BD283E">
        <w:rPr>
          <w:rFonts w:ascii="MS Reference Sans Serif" w:hAnsi="MS Reference Sans Serif" w:cstheme="minorHAnsi"/>
          <w:i/>
        </w:rPr>
        <w:t></w:t>
      </w:r>
      <w:r w:rsidR="00BD283E">
        <w:rPr>
          <w:rFonts w:cstheme="minorHAnsi"/>
        </w:rPr>
        <w:t xml:space="preserve"> ± </w:t>
      </w:r>
      <w:r w:rsidR="00BD283E">
        <w:t xml:space="preserve">SE, </w:t>
      </w:r>
      <w:r w:rsidR="007261C5">
        <w:rPr>
          <w:i/>
        </w:rPr>
        <w:t>N</w:t>
      </w:r>
      <w:r>
        <w:t xml:space="preserve"> = 239), ranging from 1 to 2024 seconds (up to 30 minutes), and on average 20.0 ± 1.0</w:t>
      </w:r>
      <w:r w:rsidR="007261C5">
        <w:t xml:space="preserve"> </w:t>
      </w:r>
      <w:r>
        <w:t>%</w:t>
      </w:r>
      <w:r w:rsidR="007261C5">
        <w:t xml:space="preserve"> (</w:t>
      </w:r>
      <w:r w:rsidR="00BD283E">
        <w:rPr>
          <w:rFonts w:ascii="MS Reference Sans Serif" w:hAnsi="MS Reference Sans Serif" w:cstheme="minorHAnsi"/>
          <w:i/>
        </w:rPr>
        <w:t></w:t>
      </w:r>
      <w:r w:rsidR="00BD283E">
        <w:rPr>
          <w:rFonts w:cstheme="minorHAnsi"/>
        </w:rPr>
        <w:t xml:space="preserve"> ±</w:t>
      </w:r>
      <w:r w:rsidR="007261C5">
        <w:t xml:space="preserve"> SE) of the group members called (</w:t>
      </w:r>
      <w:r>
        <w:t>range 6</w:t>
      </w:r>
      <w:r w:rsidR="00731640">
        <w:t xml:space="preserve"> </w:t>
      </w:r>
      <w:r>
        <w:t>% to 100</w:t>
      </w:r>
      <w:r w:rsidR="00731640">
        <w:t xml:space="preserve"> </w:t>
      </w:r>
      <w:r>
        <w:t>% of the group members</w:t>
      </w:r>
      <w:r w:rsidRPr="00854FC6">
        <w:t xml:space="preserve">). </w:t>
      </w:r>
      <w:r>
        <w:t>Call duration was longer with increasing group size (</w:t>
      </w:r>
      <w:r w:rsidR="007261C5">
        <w:t xml:space="preserve">Spearman rank correlation: </w:t>
      </w:r>
      <w:r w:rsidR="007261C5" w:rsidRPr="00F27840">
        <w:rPr>
          <w:i/>
        </w:rPr>
        <w:t>r</w:t>
      </w:r>
      <w:r w:rsidR="007261C5">
        <w:rPr>
          <w:vertAlign w:val="subscript"/>
        </w:rPr>
        <w:t>s</w:t>
      </w:r>
      <w:r>
        <w:t xml:space="preserve"> = 0.22,</w:t>
      </w:r>
      <w:r w:rsidR="007261C5">
        <w:t xml:space="preserve"> </w:t>
      </w:r>
      <w:r w:rsidR="007261C5" w:rsidRPr="007261C5">
        <w:rPr>
          <w:i/>
        </w:rPr>
        <w:t>N</w:t>
      </w:r>
      <w:r w:rsidR="007261C5">
        <w:t xml:space="preserve"> = 239, </w:t>
      </w:r>
      <w:r w:rsidR="007261C5" w:rsidRPr="007261C5">
        <w:rPr>
          <w:i/>
        </w:rPr>
        <w:t>P</w:t>
      </w:r>
      <w:r>
        <w:t xml:space="preserve"> &lt; 0.001</w:t>
      </w:r>
      <w:r w:rsidR="007261C5">
        <w:t>, group size range [1-18]</w:t>
      </w:r>
      <w:r>
        <w:t>).</w:t>
      </w:r>
      <w:r>
        <w:rPr>
          <w:rFonts w:eastAsia="Times New Roman" w:cs="Times New Roman"/>
        </w:rPr>
        <w:t xml:space="preserve"> </w:t>
      </w:r>
      <w:r w:rsidR="00FE677A">
        <w:t>Call duration differed per eliciting call source (</w:t>
      </w:r>
      <w:r w:rsidR="00D06F2D">
        <w:t xml:space="preserve">Fig. 2A: </w:t>
      </w:r>
      <w:r w:rsidR="00FE677A" w:rsidRPr="001E455D">
        <w:t>Kruskal-Wallis</w:t>
      </w:r>
      <w:r w:rsidR="007261C5">
        <w:t xml:space="preserve"> test: </w:t>
      </w:r>
      <w:r w:rsidR="007B212E">
        <w:rPr>
          <w:rFonts w:eastAsia="Times New Roman" w:cs="Times New Roman"/>
          <w:i/>
        </w:rPr>
        <w:t>H</w:t>
      </w:r>
      <w:r w:rsidR="007261C5">
        <w:rPr>
          <w:rFonts w:eastAsia="Times New Roman" w:cs="Times New Roman"/>
          <w:vertAlign w:val="subscript"/>
        </w:rPr>
        <w:t>3</w:t>
      </w:r>
      <w:r w:rsidR="00FE677A">
        <w:t xml:space="preserve"> = 17.49</w:t>
      </w:r>
      <w:r w:rsidR="00FE677A" w:rsidRPr="001E455D">
        <w:t xml:space="preserve">, </w:t>
      </w:r>
      <w:r w:rsidR="007261C5" w:rsidRPr="007261C5">
        <w:rPr>
          <w:i/>
        </w:rPr>
        <w:t>P</w:t>
      </w:r>
      <w:r w:rsidR="00FE677A">
        <w:t xml:space="preserve"> &lt; 0.001), whereas the proportion of callers did not (</w:t>
      </w:r>
      <w:r w:rsidR="00D06F2D">
        <w:t xml:space="preserve">Fig. 2B: </w:t>
      </w:r>
      <w:r w:rsidR="00FE677A" w:rsidRPr="001E455D">
        <w:t>Kruskal-Wallis</w:t>
      </w:r>
      <w:r w:rsidR="007261C5">
        <w:t xml:space="preserve"> test:</w:t>
      </w:r>
      <w:r w:rsidR="00FE677A" w:rsidRPr="001E455D">
        <w:t xml:space="preserve"> </w:t>
      </w:r>
      <w:r w:rsidR="007B212E">
        <w:rPr>
          <w:rFonts w:eastAsia="Times New Roman" w:cs="Times New Roman"/>
          <w:i/>
        </w:rPr>
        <w:t>H</w:t>
      </w:r>
      <w:r w:rsidR="007261C5">
        <w:rPr>
          <w:rFonts w:eastAsia="Times New Roman" w:cs="Times New Roman"/>
          <w:vertAlign w:val="subscript"/>
        </w:rPr>
        <w:t xml:space="preserve">3 </w:t>
      </w:r>
      <w:r w:rsidR="00FE677A" w:rsidRPr="001E455D">
        <w:t xml:space="preserve">= </w:t>
      </w:r>
      <w:r w:rsidR="00FE677A">
        <w:t>6.</w:t>
      </w:r>
      <w:r w:rsidR="00F355E5">
        <w:t>59</w:t>
      </w:r>
      <w:r w:rsidR="007261C5">
        <w:t xml:space="preserve">, </w:t>
      </w:r>
      <w:r w:rsidR="007261C5" w:rsidRPr="007261C5">
        <w:rPr>
          <w:i/>
        </w:rPr>
        <w:t>P</w:t>
      </w:r>
      <w:r w:rsidR="00FE677A">
        <w:t xml:space="preserve"> = 0.</w:t>
      </w:r>
      <w:r w:rsidR="00F355E5">
        <w:t>09</w:t>
      </w:r>
      <w:r w:rsidR="00FE677A">
        <w:t xml:space="preserve">). Call duration </w:t>
      </w:r>
      <w:r w:rsidR="00AA4D44">
        <w:t xml:space="preserve">was longer </w:t>
      </w:r>
      <w:r w:rsidR="00FE677A">
        <w:t>for terrestrial predato</w:t>
      </w:r>
      <w:r w:rsidR="007261C5">
        <w:t xml:space="preserve">rs </w:t>
      </w:r>
      <w:r w:rsidR="00FE677A">
        <w:t xml:space="preserve">compared to the </w:t>
      </w:r>
      <w:r w:rsidR="00731640">
        <w:t>‘</w:t>
      </w:r>
      <w:r w:rsidR="00FE677A">
        <w:rPr>
          <w:rFonts w:eastAsia="Times New Roman" w:cs="Times New Roman"/>
        </w:rPr>
        <w:t>not observed</w:t>
      </w:r>
      <w:r w:rsidR="00731640">
        <w:rPr>
          <w:rFonts w:eastAsia="Times New Roman" w:cs="Times New Roman"/>
        </w:rPr>
        <w:t>’</w:t>
      </w:r>
      <w:r w:rsidR="00FE677A">
        <w:rPr>
          <w:rFonts w:eastAsia="Times New Roman" w:cs="Times New Roman"/>
        </w:rPr>
        <w:t xml:space="preserve"> call</w:t>
      </w:r>
      <w:r w:rsidR="00731640">
        <w:rPr>
          <w:rFonts w:eastAsia="Times New Roman" w:cs="Times New Roman"/>
        </w:rPr>
        <w:t>-</w:t>
      </w:r>
      <w:r w:rsidR="00FE677A">
        <w:rPr>
          <w:rFonts w:eastAsia="Times New Roman" w:cs="Times New Roman"/>
        </w:rPr>
        <w:t>eliciting source</w:t>
      </w:r>
      <w:r w:rsidR="00FE677A">
        <w:t xml:space="preserve"> (Fig. 2A</w:t>
      </w:r>
      <w:r w:rsidR="00731640">
        <w:t>:</w:t>
      </w:r>
      <w:r w:rsidR="00FE677A">
        <w:t xml:space="preserve"> </w:t>
      </w:r>
      <w:r w:rsidR="00314114">
        <w:t>p</w:t>
      </w:r>
      <w:r w:rsidR="004D653A">
        <w:t xml:space="preserve">ost-hoc test: </w:t>
      </w:r>
      <w:r w:rsidR="00F27840" w:rsidRPr="00F27840">
        <w:rPr>
          <w:i/>
        </w:rPr>
        <w:t>P</w:t>
      </w:r>
      <w:r w:rsidR="00FE677A">
        <w:t xml:space="preserve"> &lt; 0.001). There were no significant differences in call duration</w:t>
      </w:r>
      <w:r w:rsidR="00BD44AF">
        <w:t xml:space="preserve"> </w:t>
      </w:r>
      <w:r w:rsidR="00FE677A">
        <w:t xml:space="preserve">between heterospecific </w:t>
      </w:r>
      <w:r w:rsidR="00F27840">
        <w:t>(</w:t>
      </w:r>
      <w:r w:rsidR="004B6DE2">
        <w:t xml:space="preserve">non-predators, </w:t>
      </w:r>
      <w:r w:rsidR="00F27840" w:rsidRPr="00F27840">
        <w:rPr>
          <w:i/>
        </w:rPr>
        <w:t>N</w:t>
      </w:r>
      <w:r w:rsidR="00BD44AF">
        <w:t xml:space="preserve"> = 4 and 5), </w:t>
      </w:r>
      <w:r w:rsidR="00FE677A">
        <w:t>and aerial predator</w:t>
      </w:r>
      <w:r w:rsidR="0052469C">
        <w:t>s</w:t>
      </w:r>
      <w:r w:rsidR="00FE677A">
        <w:t xml:space="preserve"> </w:t>
      </w:r>
      <w:r w:rsidR="00BD44AF">
        <w:t>(</w:t>
      </w:r>
      <w:r w:rsidR="00F27840" w:rsidRPr="00F27840">
        <w:rPr>
          <w:i/>
        </w:rPr>
        <w:t>N</w:t>
      </w:r>
      <w:r w:rsidR="00BD44AF">
        <w:t xml:space="preserve"> = 3 and 5) </w:t>
      </w:r>
      <w:r w:rsidR="00FE677A">
        <w:t xml:space="preserve">call sources, </w:t>
      </w:r>
      <w:r w:rsidR="00F601F1">
        <w:t>possibly</w:t>
      </w:r>
      <w:r w:rsidR="00FE677A">
        <w:t xml:space="preserve"> due to low sample sizes. Whether the predators </w:t>
      </w:r>
      <w:r w:rsidR="00F27840">
        <w:t>were near (&lt;</w:t>
      </w:r>
      <w:r w:rsidR="00AC3844">
        <w:t xml:space="preserve"> </w:t>
      </w:r>
      <w:r w:rsidR="00F27840">
        <w:t xml:space="preserve">30 m or </w:t>
      </w:r>
      <w:r w:rsidR="00AC3844">
        <w:t>‘</w:t>
      </w:r>
      <w:r w:rsidR="00F27840">
        <w:t>high risk</w:t>
      </w:r>
      <w:r w:rsidR="00AC3844">
        <w:t>’</w:t>
      </w:r>
      <w:r w:rsidR="00FE677A">
        <w:t>) or far (</w:t>
      </w:r>
      <w:r w:rsidR="00FE677A">
        <w:rPr>
          <w:rFonts w:cstheme="minorHAnsi"/>
        </w:rPr>
        <w:t>≥</w:t>
      </w:r>
      <w:r w:rsidR="00FE677A">
        <w:t xml:space="preserve"> 30 m or </w:t>
      </w:r>
      <w:r w:rsidR="00AC3844">
        <w:t>‘</w:t>
      </w:r>
      <w:r w:rsidR="00FE677A">
        <w:t>low risk</w:t>
      </w:r>
      <w:r w:rsidR="00AC3844">
        <w:t>’</w:t>
      </w:r>
      <w:r w:rsidR="00FE677A">
        <w:t>) did not affect call duration or proportion of callers (</w:t>
      </w:r>
      <w:r w:rsidR="00F27840">
        <w:rPr>
          <w:rFonts w:eastAsia="Times New Roman" w:cs="Times New Roman"/>
        </w:rPr>
        <w:t xml:space="preserve">Wilcoxon rank sum test: </w:t>
      </w:r>
      <w:r w:rsidR="00FE677A" w:rsidRPr="00F27840">
        <w:rPr>
          <w:i/>
        </w:rPr>
        <w:t>W</w:t>
      </w:r>
      <w:r w:rsidR="00FE677A">
        <w:t xml:space="preserve"> = 243.5,</w:t>
      </w:r>
      <w:r w:rsidR="00F27840">
        <w:t xml:space="preserve"> </w:t>
      </w:r>
      <w:r w:rsidR="00F27840" w:rsidRPr="00F27840">
        <w:rPr>
          <w:i/>
        </w:rPr>
        <w:t>N</w:t>
      </w:r>
      <w:r w:rsidR="00F27840">
        <w:t xml:space="preserve"> = 45, </w:t>
      </w:r>
      <w:r w:rsidR="00F27840" w:rsidRPr="00F27840">
        <w:rPr>
          <w:i/>
        </w:rPr>
        <w:t>P</w:t>
      </w:r>
      <w:r w:rsidR="00FE677A">
        <w:t xml:space="preserve"> = 0.69, and </w:t>
      </w:r>
      <w:r w:rsidR="00FE677A" w:rsidRPr="00F27840">
        <w:rPr>
          <w:i/>
        </w:rPr>
        <w:t>W</w:t>
      </w:r>
      <w:r w:rsidR="00FE677A">
        <w:t xml:space="preserve"> = 279</w:t>
      </w:r>
      <w:r w:rsidR="00F27840">
        <w:t xml:space="preserve">, </w:t>
      </w:r>
      <w:r w:rsidR="00F27840" w:rsidRPr="00F27840">
        <w:rPr>
          <w:i/>
        </w:rPr>
        <w:t>N</w:t>
      </w:r>
      <w:r w:rsidR="00F27840">
        <w:t xml:space="preserve"> = 10</w:t>
      </w:r>
      <w:r w:rsidR="00FE677A">
        <w:t xml:space="preserve">, </w:t>
      </w:r>
      <w:r w:rsidR="00F27840" w:rsidRPr="00F27840">
        <w:rPr>
          <w:i/>
        </w:rPr>
        <w:t>P</w:t>
      </w:r>
      <w:r w:rsidR="00FE677A">
        <w:t xml:space="preserve"> = 0.24, respectively). </w:t>
      </w:r>
    </w:p>
    <w:p w14:paraId="73B267B4" w14:textId="77777777" w:rsidR="00DC31D5" w:rsidRDefault="00DC31D5" w:rsidP="00DC31D5">
      <w:pPr>
        <w:pStyle w:val="NoSpacing"/>
        <w:spacing w:line="480" w:lineRule="auto"/>
      </w:pPr>
      <w:r>
        <w:lastRenderedPageBreak/>
        <w:tab/>
      </w:r>
    </w:p>
    <w:p w14:paraId="126A3205" w14:textId="77777777" w:rsidR="00DC31D5" w:rsidRDefault="00DC31D5" w:rsidP="00DC31D5">
      <w:pPr>
        <w:pStyle w:val="Heading2"/>
        <w:spacing w:line="480" w:lineRule="auto"/>
        <w:rPr>
          <w:color w:val="auto"/>
          <w:sz w:val="22"/>
          <w:szCs w:val="22"/>
        </w:rPr>
      </w:pPr>
      <w:r w:rsidRPr="000D1443">
        <w:rPr>
          <w:color w:val="auto"/>
          <w:sz w:val="22"/>
          <w:szCs w:val="22"/>
        </w:rPr>
        <w:t>Discussion</w:t>
      </w:r>
    </w:p>
    <w:p w14:paraId="591BBA22" w14:textId="777DA5F6" w:rsidR="002B0815" w:rsidRDefault="00BD283E" w:rsidP="00F73F32">
      <w:pPr>
        <w:pStyle w:val="NoSpacing"/>
        <w:spacing w:line="480" w:lineRule="auto"/>
        <w:ind w:firstLine="720"/>
      </w:pPr>
      <w:r>
        <w:t>O</w:t>
      </w:r>
      <w:r w:rsidR="002B0815">
        <w:t xml:space="preserve">ur </w:t>
      </w:r>
      <w:r w:rsidR="00FD5E25">
        <w:t>research found</w:t>
      </w:r>
      <w:r w:rsidR="002B0815">
        <w:t xml:space="preserve"> that </w:t>
      </w:r>
      <w:r w:rsidR="00410465">
        <w:t>collective high-quality vigilance increased with larger groups</w:t>
      </w:r>
      <w:r w:rsidR="008A2B10">
        <w:t xml:space="preserve"> </w:t>
      </w:r>
      <w:r w:rsidR="00030423">
        <w:t>in the Barbary ground squirrel</w:t>
      </w:r>
      <w:r w:rsidR="00410465">
        <w:t xml:space="preserve">, supporting the collective detection hypothesis </w:t>
      </w:r>
      <w:r w:rsidR="00410465">
        <w:fldChar w:fldCharType="begin" w:fldLock="1"/>
      </w:r>
      <w:r w:rsidR="007C7EDC">
        <w:instrText>ADDIN CSL_CITATION {"citationItems":[{"id":"ITEM-1","itemData":{"author":[{"dropping-particle":"","family":"Pulliam","given":"H.R.","non-dropping-particle":"","parse-names":false,"suffix":""}],"container-title":"Journal of theoretical biology","id":"ITEM-1","issued":{"date-parts":[["1973"]]},"page":"419-422","title":"On the advantages of flocking","type":"article-journal","volume":"38"},"uris":["http://www.mendeley.com/documents/?uuid=8304e89d-7a17-48b8-9a5e-572a210d32dd"]}],"mendeley":{"formattedCitation":"(Pulliam, 1973)","plainTextFormattedCitation":"(Pulliam, 1973)","previouslyFormattedCitation":"(Pulliam, 1973)"},"properties":{"noteIndex":0},"schema":"https://github.com/citation-style-language/schema/raw/master/csl-citation.json"}</w:instrText>
      </w:r>
      <w:r w:rsidR="00410465">
        <w:fldChar w:fldCharType="separate"/>
      </w:r>
      <w:r w:rsidR="00FB2B64" w:rsidRPr="00FB2B64">
        <w:rPr>
          <w:noProof/>
        </w:rPr>
        <w:t>(Pulliam, 1973)</w:t>
      </w:r>
      <w:r w:rsidR="00410465">
        <w:fldChar w:fldCharType="end"/>
      </w:r>
      <w:r w:rsidR="00410465">
        <w:t>.</w:t>
      </w:r>
      <w:r w:rsidR="008A2B10" w:rsidRPr="008A2B10">
        <w:t xml:space="preserve"> </w:t>
      </w:r>
      <w:r w:rsidR="00CC0BBA">
        <w:t xml:space="preserve">This positive relationship between collective vigilance and group size is also found in some bird and </w:t>
      </w:r>
      <w:r w:rsidR="00030423">
        <w:t>other</w:t>
      </w:r>
      <w:r w:rsidR="00CC0BBA">
        <w:t xml:space="preserve"> mammalian species </w:t>
      </w:r>
      <w:r w:rsidR="00CC0BBA">
        <w:fldChar w:fldCharType="begin" w:fldLock="1"/>
      </w:r>
      <w:r w:rsidR="004D653A">
        <w:instrText>ADDIN CSL_CITATION {"citationItems":[{"id":"ITEM-1","itemData":{"DOI":"10.1016/S0003-3472(80)80030-3","ISBN":"0003-3472","ISSN":"00033472","abstract":"Wild ostriches were observed while feeding alone or in groups of up to four birds, and their vigilance (proportion of time with the head up) recorded. Individual vigilance declined as group size increased, mainly through a decrease in the frequency with which the head was raised. Males were more vigilant than females, mainly because they kept their heads up for longer. Vigilance was influenced more by the presence than by the vigilance of a companion. When a head would stay down for a long time was impossible for a predator to predict. It is concluded that grouping by ostriches when feeding results in only a slight reduction in the group's vulnerability to successful predator attack, but in a considerable decrease in individual vulnerability. © 1980.","author":[{"dropping-particle":"","family":"Bertram","given":"Brian C.R.","non-dropping-particle":"","parse-names":false,"suffix":""}],"container-title":"Animal Behaviour","id":"ITEM-1","issue":"1","issued":{"date-parts":[["1980"]]},"page":"278-286","title":"Vigilance and group size in ostriches","type":"article-journal","volume":"28"},"uris":["http://www.mendeley.com/documents/?uuid=06cfcabe-4ae8-475e-83f7-825ab7ad61bd"]},{"id":"ITEM-2","itemData":{"DOI":"10.1111/j.1439-0310.2006.01242.x","ISSN":"01791613","PMID":"1627","abstract":"Individuals of social and partially social species typically reduce their vigilance activity when foraging in groups. As a result, per capita risk of predation decreases and individuals allocate more time to foraging and other fitness rewarding activities. Reduction of per capita risk is hypothesized to occur because there are more individuals to detect potential predators. If so, collective (i.e. total) vigilance is expected to increase with foraging group size. Increased surveillance during group foraging may occur if group members scan independently of one another, or sequentially to avoid the overlapping of their vigilance bouts. Intriguingly, such coordinated vigilance assumes that individuals monitor not only the presence, but the vigilance behaviour of group mates. We used seasonal records on time budget and grouping patterns of individually marked degus (Octodon degus), a social rodent, to examine if (a) individual vigilance decreases and/or foraging increases with group size, (b) collective vigilance increases with group size and (c) foraging degus coordinate their vigilance. When foraging, degus decreased their individual vigilance and increased their foraging time when in larger groups. Despite this, degus in larger groups increased their collective vigilance, supporting the hypothesis that socially foraging degus decrease predation risk through an improved ability to detect and escape potential predators. Additionally, patterns of collective vigilance suggested that degus scan independently of each other and so, they do not coordinate their vigilance to prevent its temporal overlapping. This finding does not support that foraging degus monitor the vigilance activity of group mates.","author":[{"dropping-particle":"","family":"Ebensperger","given":"Luis A.","non-dropping-particle":"","parse-names":false,"suffix":""},{"dropping-particle":"","family":"Hurtado","given":"M. J.","non-dropping-particle":"","parse-names":false,"suffix":""},{"dropping-particle":"","family":"Ramos-Jiliberto","given":"Rodrigo","non-dropping-particle":"","parse-names":false,"suffix":""}],"container-title":"Ethology","id":"ITEM-2","issue":"9","issued":{"date-parts":[["2006"]]},"page":"879-887","title":"Vigilance and collective detection of predators in degus (&lt;i&gt;Octodon degus&lt;/i&gt;)","type":"article-journal","volume":"112"},"uris":["http://www.mendeley.com/documents/?uuid=4ed3d1ca-ba0d-49cb-94e6-8ad2f534211c"]},{"id":"ITEM-3","itemData":{"DOI":"10.1098/rspb.2006.0204","ISBN":"0962-8452\\n1471-2954","ISSN":"0962-8452","PMID":"17341457","abstract":"It is generally assumed that an individual of a prey species can benefit from an increase in the number of its group's members by reducing its own investment in vigilance. But what behaviour should group members adopt in relation to both the risk of being preyed upon and the individual investment in vigilance? Most models assume that individuals scan independently of one another. It is generally argued that it is more profitable for each group member owing to the cost that coordination of individual scans in non-overlapping bouts of vigilance would require. We studied the relationships between both individual and collective vigilance and group size in Defassa waterbuck, Kobus ellipsiprymnus defassa, in a population living under a predation risk. Our results confirmed that the proportion of time an individual spent in vigilance decreased with group size. However, the time during which at least one individual in the group scanned the environment (collective vigilance) increased. Analyses showed that individuals neither coordinated their scanning in an asynchronous way nor scanned independently of one another. On the contrary, scanning and non-scanning bouts were synchronized between group members, producing waves of collective vigilance. We claim that these waves are triggered by allelomimetic effects i.e. they are a phenomenon produced by an individual copying its neighbour's behaviour.","author":[{"dropping-particle":"","family":"Pays","given":"Olivier","non-dropping-particle":"","parse-names":false,"suffix":""},{"dropping-particle":"","family":"Renaud","given":"P. C.","non-dropping-particle":"","parse-names":false,"suffix":""},{"dropping-particle":"","family":"Loisel","given":"P.","non-dropping-particle":"","parse-names":false,"suffix":""},{"dropping-particle":"","family":"Petit","given":"M.","non-dropping-particle":"","parse-names":false,"suffix":""},{"dropping-particle":"","family":"Gerard","given":"J. F.","non-dropping-particle":"","parse-names":false,"suffix":""},{"dropping-particle":"","family":"Jarman","given":"P. J","non-dropping-particle":"","parse-names":false,"suffix":""}],"container-title":"Proceedings of the Royal Society B: Biological Sciences","id":"ITEM-3","issued":{"date-parts":[["2007"]]},"page":"1287-1291","title":"Prey synchronize their vigilant behaviour with other group members","type":"article-journal","volume":"274"},"uris":["http://www.mendeley.com/documents/?uuid=66cc911f-65e0-48c8-bebc-c89155ce5946"]},{"id":"ITEM-4","itemData":{"DOI":"10.1111/eth.12570","ISSN":"14390310","abstract":"Vigilance achieved at the group level, known as collective vigilance, can enhance the ability to assess threats and confer benefits to gregarious prey species. Examining the factors that influence collective vigilance and exploring how individual vigilance is organized at the group level can help to understand how prey groups respond to potential threats. We quantified collective vigilance and determined its temporal pattern in a natural wintering population of the hooded crane Grus monacha in the Shengjin Lake reserve in China. We examined the role of flock size and anthropogenic disturbances in the human-dominated landscape on collective vigilance and level of synchronization. The proportion of time during which at least one individual scanned the surroundings (collective vigilance) increased with flock size and was higher in the more disturbed buffer zone of the lake. Synchronization of vigilance occurred more frequently in the smaller flocks but was not related to the risk of disturbance. Synchronization implies that individuals tend to monitor and copy the vigilance of neighbors. In the degraded wetlands, the wintering hooded crane benefits from foraging in groups and synchronizing their vigilance in response to human disturbances.","author":[{"dropping-particle":"","family":"Li","given":"Chunlin","non-dropping-particle":"","parse-names":false,"suffix":""},{"dropping-particle":"","family":"Beauchamp","given":"Guy","non-dropping-particle":"","parse-names":false,"suffix":""},{"dropping-particle":"","family":"Wang","given":"Zhen","non-dropping-particle":"","parse-names":false,"suffix":""},{"dropping-particle":"","family":"Cui","given":"Peng","non-dropping-particle":"","parse-names":false,"suffix":""}],"container-title":"Ethology","id":"ITEM-4","issue":"12","issued":{"date-parts":[["2016"]]},"page":"999-1008","title":"Collective vigilance in the wintering hooded crane: The role of flock size and anthropogenic disturbances in a human-dominated landscape","type":"article-journal","volume":"122"},"uris":["http://www.mendeley.com/documents/?uuid=e23ee229-c6c5-4f3d-a79a-0045824f43eb"]},{"id":"ITEM-5","itemData":{"DOI":"10.1111/j.1439-0310.2011.01974.x","ISBN":"1439-0310","ISSN":"01791613","abstract":"Collective detection of predators is one of the main advantages of living in groups in prey species. However, the mechanisms linking individual and collective vigilance remain largely unknown. Here, we investigated individual and collective vigilance in a natural population of greater kudu (Tragelaphus strepsiceros), a gregarious ruminant living under high predation risk. Controlling for environmental, individual and group fac- tors, we show that the proportion of time during which at least one individual was vigilant increased with group size, whereas individual investment in vigilance decreased. We also show that individuals tended to synchronize both vigilance and feeding activities. More generally, and whatever the considered group size, we demonstrate how the indepen- dent scanning assumption underestimated both the proportion of time during which no individual was vigilant and the proportion of time dur- ing which all individuals were simultaneously vigilant, but overesti- mated the proportion of time during which one vigilant individual only was present. Our results thus contrast with the point of view that the alternative to independent vigilance is coordinated vigilance and plead for a better description of the processes whereby reciprocal influences between individuals shape collective patterns of vigilance.","author":[{"dropping-particle":"","family":"Pays","given":"Olivier","non-dropping-particle":"","parse-names":false,"suffix":""},{"dropping-particle":"","family":"Sirot","given":"Etienne","non-dropping-particle":"","parse-names":false,"suffix":""},{"dropping-particle":"","family":"Fritz","given":"Hervé","non-dropping-particle":"","parse-names":false,"suffix":""}],"container-title":"Ethology","id":"ITEM-5","issue":"1","issued":{"date-parts":[["2012"]]},"page":"1-9","title":"Collective vigilance in the greater kudu: Towards a better understanding of synchronization patterns","type":"article-journal","volume":"118"},"uris":["http://www.mendeley.com/documents/?uuid=d6f33d15-356a-4e00-94e2-f37cf4722c6d"]},{"id":"ITEM-6","itemData":{"DOI":"10.1163/156853979X00133","ISBN":"00057959","ISSN":"1568539X","abstract":"As a consequence of the anti-predator functions of flocking it is predicted that as flock size increases individual birds will (1) spend less time vigilant for predators and more time feeding, and (2) show fewer escape responses. These predictions are corroborated here in experiments with captive flocks of the red-billed weaverbird Quelea quelea varying in size from 1 to 32 individuals. In Experiment 1 the presence of companions reduced feeding latency and increased the rate of pecking. Feeding behaviour by the companion(s) was not necessary to produce these effects and did not produce additional facilitation of the rate of pecking, but feeding companions were more potent facilitators of the onset of pecking than non-feeding companions. The number of companions influenced different measures of feeding in different ways but facilitation reached a ceiling with three companions. These and other findings in the social facilitation literature are interpreted in the light of various propositions concerning the functions of flocking behaviour. In Experiment 2 undisturbed birds with companions made less frequent head-turns (possibly vigilant responses), wing-flicks (flight intention movements), hops and flights than birds on their own but the number of companions had no effect on the frequency of these responses. All responses correlated significantly and positively across individuals. Solitary individuals were more often perched, and less often on the ground, than those in flocks, a finding compatible with greater safety in flocks in the normal feeding habitat of the species. These (undisturbed) birds, in flocks of 1, 2 and 4, had lower rates of head-turning than those in another experiment (Lazarus, 1979), which had been subjected to 10 alarm stimuli; in larger flocks there was no difference in the rate of head-turning. An alternative interpretation of the experimental results is evaluated and a possible reason for the weak effect of flock size considered. /// Aufgrund der Anti-Predator-Funktion von Gruppenbildung bei Tieren können zwei Voraussagen gemacht werden. Je grösser die Zahl in einer Gruppe: a) desto weniger Zeit verbringen Individuen mit der Ausschau nach Raubtieren und umso mehr Zeit mit der Futteraufnahme; und b) desto weniger Fluchtansätze werden gezeigt. Diese Voraussagen werden in einem Experiment mit Gruppen von verschiedener Grösse (1-32) von Blutschnabelwebern (Quelea quelea) bestärkt. Der erste Versuch zeigt, dass der Ansatz zur Futteraufna…","author":[{"dropping-particle":"","family":"Lazarus","given":"John","non-dropping-particle":"","parse-names":false,"suffix":""},{"dropping-particle":"","family":"Lazarus","given":"John","non-dropping-particle":"","parse-names":false,"suffix":""}],"container-title":"Behaviour","id":"ITEM-6","issue":"1-2","issued":{"date-parts":[["1979"]]},"page":"127-144","title":"Flock size and behaviour in captive red-billed weaverbirds (&lt;i&gt;Quelea Quelea&lt;/i&gt;): Implications for social facilitation and the functions of flocking","type":"article-journal","volume":"71"},"uris":["http://www.mendeley.com/documents/?uuid=9d923ce2-c256-4fa2-b499-8f95d3c4771c"]}],"mendeley":{"formattedCitation":"(Bertram, 1980; Ebensperger et al., 2006; Lazarus &amp; Lazarus, 1979; Li, Beauchamp, Wang, &amp; Cui, 2016; Pays, Renaud, et al., 2007; Pays, Sirot, &amp; Fritz, 2012)","manualFormatting":"(Bertram, 1980; Ebensperger et al., 2006; Lazarus &amp; Lazarus, 1979; Li, Beauchamp, Wang, &amp; Cui, 2016; Pays et al., 2007; Pays, Sirot, &amp; Fritz, 2012)","plainTextFormattedCitation":"(Bertram, 1980; Ebensperger et al., 2006; Lazarus &amp; Lazarus, 1979; Li, Beauchamp, Wang, &amp; Cui, 2016; Pays, Renaud, et al., 2007; Pays, Sirot, &amp; Fritz, 2012)","previouslyFormattedCitation":"(Bertram, 1980; Ebensperger et al., 2006; Lazarus &amp; Lazarus, 1979; Li, Beauchamp, Wang, &amp; Cui, 2016; Pays, Renaud, et al., 2007; Pays, Sirot, &amp; Fritz, 2012)"},"properties":{"noteIndex":0},"schema":"https://github.com/citation-style-language/schema/raw/master/csl-citation.json"}</w:instrText>
      </w:r>
      <w:r w:rsidR="00CC0BBA">
        <w:fldChar w:fldCharType="separate"/>
      </w:r>
      <w:r w:rsidR="007A6C8E" w:rsidRPr="007A6C8E">
        <w:rPr>
          <w:noProof/>
        </w:rPr>
        <w:t xml:space="preserve">(Bertram, 1980; Ebensperger et al., 2006; Lazarus &amp; Lazarus, 1979; Li, </w:t>
      </w:r>
      <w:r w:rsidR="006474A1">
        <w:rPr>
          <w:noProof/>
        </w:rPr>
        <w:t xml:space="preserve">Beauchamp, Wang, &amp; Cui, 2016; </w:t>
      </w:r>
      <w:r w:rsidR="007A6C8E" w:rsidRPr="007A6C8E">
        <w:rPr>
          <w:noProof/>
        </w:rPr>
        <w:t>Pays et al., 2007; Pays, Sirot, &amp; Fritz, 2012)</w:t>
      </w:r>
      <w:r w:rsidR="00CC0BBA">
        <w:fldChar w:fldCharType="end"/>
      </w:r>
      <w:r w:rsidR="00CC0BBA">
        <w:t>.</w:t>
      </w:r>
      <w:r w:rsidR="00CC0BBA" w:rsidRPr="000B4E83">
        <w:t xml:space="preserve"> </w:t>
      </w:r>
      <w:r w:rsidR="00410465">
        <w:t>Collective detection of predators also assumes that at least one individ</w:t>
      </w:r>
      <w:r w:rsidR="0081608E">
        <w:t>ual</w:t>
      </w:r>
      <w:r w:rsidR="00410465">
        <w:t xml:space="preserve"> </w:t>
      </w:r>
      <w:r w:rsidR="003E7147">
        <w:t xml:space="preserve">is able to </w:t>
      </w:r>
      <w:r w:rsidR="00410465">
        <w:t xml:space="preserve">warn its group members of danger. We found that Barbary ground squirrels use repeated alarm calls to warn group members. Longer call duration </w:t>
      </w:r>
      <w:r w:rsidR="00631A57">
        <w:t xml:space="preserve">informed group members of a terrestrial predator. </w:t>
      </w:r>
    </w:p>
    <w:p w14:paraId="7FC79A8D" w14:textId="35A62DF0" w:rsidR="00AE43EB" w:rsidRDefault="002C15B6" w:rsidP="00F73F32">
      <w:pPr>
        <w:pStyle w:val="NoSpacing"/>
        <w:spacing w:line="480" w:lineRule="auto"/>
        <w:ind w:firstLine="720"/>
      </w:pPr>
      <w:r>
        <w:t>Contrary to our predictions</w:t>
      </w:r>
      <w:r w:rsidR="001E77A9">
        <w:t xml:space="preserve"> that individual vigilance decreases</w:t>
      </w:r>
      <w:r w:rsidR="00300B24">
        <w:t xml:space="preserve"> and</w:t>
      </w:r>
      <w:r w:rsidR="001E77A9">
        <w:t xml:space="preserve"> collective vigilance increases with increasing group size</w:t>
      </w:r>
      <w:r>
        <w:t>, Barbary ground squirrels did not decrease their individual low- and high-quality vigilance, nor increased their collective low-quality vigila</w:t>
      </w:r>
      <w:r w:rsidR="007E5124">
        <w:t>nce with larger groups</w:t>
      </w:r>
      <w:r w:rsidR="00475A6B">
        <w:t>.</w:t>
      </w:r>
      <w:r>
        <w:t xml:space="preserve"> </w:t>
      </w:r>
      <w:r w:rsidR="003E7147">
        <w:t xml:space="preserve">Instead, our </w:t>
      </w:r>
      <w:r w:rsidR="00030423">
        <w:t>results</w:t>
      </w:r>
      <w:r w:rsidR="003E7147">
        <w:t xml:space="preserve"> indicated that</w:t>
      </w:r>
      <w:r w:rsidR="00FC2467">
        <w:t xml:space="preserve"> variation</w:t>
      </w:r>
      <w:r w:rsidR="00B0075E">
        <w:t xml:space="preserve"> in vigilance levels</w:t>
      </w:r>
      <w:r w:rsidR="00FC2467">
        <w:t xml:space="preserve"> </w:t>
      </w:r>
      <w:r>
        <w:t>increased with</w:t>
      </w:r>
      <w:r w:rsidR="00FC2467">
        <w:t xml:space="preserve"> larger groups. </w:t>
      </w:r>
      <w:r w:rsidR="00030423">
        <w:t>The</w:t>
      </w:r>
      <w:r w:rsidR="00FC2467">
        <w:t xml:space="preserve"> random factors ID and site for individual and collective high-quality vigilance portray this increase in variation, because </w:t>
      </w:r>
      <w:r w:rsidR="00030423">
        <w:t>they</w:t>
      </w:r>
      <w:r w:rsidR="00FC2467">
        <w:t xml:space="preserve"> explained between 50 and 70</w:t>
      </w:r>
      <w:r w:rsidR="00AC3844">
        <w:t xml:space="preserve"> </w:t>
      </w:r>
      <w:r w:rsidR="00FC2467">
        <w:t>% of the variation</w:t>
      </w:r>
      <w:r w:rsidR="00030423">
        <w:t>, respectively</w:t>
      </w:r>
      <w:r w:rsidR="00FC2467">
        <w:t xml:space="preserve"> (Table 2). </w:t>
      </w:r>
      <w:r w:rsidR="00337C4D">
        <w:t xml:space="preserve">In </w:t>
      </w:r>
      <w:r w:rsidR="001E77A9">
        <w:t xml:space="preserve">some </w:t>
      </w:r>
      <w:r w:rsidR="00337C4D">
        <w:t>bird and mammal</w:t>
      </w:r>
      <w:r w:rsidR="001E77A9">
        <w:t xml:space="preserve"> species</w:t>
      </w:r>
      <w:r w:rsidR="00337C4D">
        <w:t>, t</w:t>
      </w:r>
      <w:r w:rsidR="0062718D">
        <w:t xml:space="preserve">he lack of relationship between collective low-quality vigilance </w:t>
      </w:r>
      <w:r w:rsidR="00FD155E">
        <w:t xml:space="preserve">and individual </w:t>
      </w:r>
      <w:r w:rsidR="00300B24">
        <w:t>low- and high</w:t>
      </w:r>
      <w:r w:rsidR="00AC3844">
        <w:t>-</w:t>
      </w:r>
      <w:r w:rsidR="00300B24">
        <w:t xml:space="preserve"> quality </w:t>
      </w:r>
      <w:r w:rsidR="00FD155E">
        <w:t xml:space="preserve">vigilance and group size </w:t>
      </w:r>
      <w:r w:rsidR="0062718D">
        <w:t xml:space="preserve">is </w:t>
      </w:r>
      <w:r w:rsidR="00F94457">
        <w:t xml:space="preserve">also </w:t>
      </w:r>
      <w:r w:rsidR="0062718D">
        <w:t>empirically supported</w:t>
      </w:r>
      <w:r w:rsidR="001E77A9">
        <w:t xml:space="preserve"> </w:t>
      </w:r>
      <w:r w:rsidR="001E77A9">
        <w:fldChar w:fldCharType="begin" w:fldLock="1"/>
      </w:r>
      <w:r w:rsidR="007C7EDC">
        <w:instrText>ADDIN CSL_CITATION {"citationItems":[{"id":"ITEM-1","itemData":{"DOI":"10.1093/beheco/3.3.207","ISBN":"1045-2249","ISSN":"1045-2249","abstract":"Numerous studies on different taxonomic groups have found that vigilance behavior is negatively correlated with group size, as predicted by several theoretical models. This follows the logical argument that each individual in a larger group can spend less time scanning for predators (and more time feeding), while the group as a whole maintains a high probability of detecting an approaching predator. We investigated the relationship between these variables in the population of silvereyes (Zosterops lateralis chlorocephala) on Heron Island, Great Barrier Reef. The study used procedures of field observation that controlled or measured other variables with which vigilance is often correlated: food density and quality, temperature, time of day, distance from cover, habitat obstructions, observer proximity, breeding status, age, sex, and dominance. There was no relationship between scanning behavior and group size under these conditions. There are several possible explanations, related to the silvereyes' biology, for this lack of covariation. An additional explanation is that Heron Island is a predator-free environment for this species, and covariation between group size and vigilance is not expected in the absence of predators.","author":[{"dropping-particle":"","family":"Catterall","given":"C P","non-dropping-particle":"","parse-names":false,"suffix":""},{"dropping-particle":"","family":"Elgar","given":"M A","non-dropping-particle":"","parse-names":false,"suffix":""},{"dropping-particle":"","family":"Kikkawa","given":"J","non-dropping-particle":"","parse-names":false,"suffix":""}],"container-title":"Behavioral Ecology","id":"ITEM-1","issue":"3","issued":{"date-parts":[["1992"]]},"page":"207-210","title":"Vigilance does not covary with group-size in an island population of silvereyes (&lt;i&gt;Zosterops-Lateralis&lt;/i&gt;)","type":"article-journal","volume":"3"},"uris":["http://www.mendeley.com/documents/?uuid=9f0d4c1c-1fb7-4f42-827a-fb73f4f0324a"]},{"id":"ITEM-2","itemData":{"DOI":"10.1098/rspb.2009.2337","ISBN":"1471-2954 (Electronic)\\r0962-8452 (Linking)","ISSN":"0962-8452","PMID":"20219737","abstract":"Group size is known to affect both the amount of time that prey animals spend in vigilance and the degree to which the vigilance of group members is synchronized. However, the variation in group-size effects reported in the literature is not yet understood. Prey animals exhibit vigilance both to protect themselves against predators and to monitor other group members, and both forms of vigilance presumably influence group-size effects on vigilance. However, our understanding of the patterns of individual investment underlying the time sharing between anti-predator and social vigilance is still limited. We studied patterns of variation in individual vigilance and the synchronization of vigilance with group size in a wild population of eastern grey kangaroos (Macropus giganteus) subject to predation, in particular focusing on peripheral females because we expected that they would exhibit both social and anti-predator vigilance. There was no global effect of group size on individual vigilance. The lack of group-size effect was the result of two compensating effects. The proportion of time individuals spent looking at other group members increased, whereas the proportion of time they spent scanning the environment decreased with group size; as a result, overall vigilance levels did not change with group size. Moreover, a degree of synchrony of vigilance occurred within groups and that degree increased with the proportion of vigilance time peripheral females spent in anti-predator vigilance. Our results highlight the crucial roles of both social and anti-predator components of vigilance in the understanding of the relationship between group size and vigilance, as well as in the synchronization of vigilance among group members.","author":[{"dropping-particle":"","family":"Favreau","given":"François-René","non-dropping-particle":"","parse-names":false,"suffix":""},{"dropping-particle":"","family":"Goldizen","given":"Anne W.","non-dropping-particle":"","parse-names":false,"suffix":""},{"dropping-particle":"","family":"Pays","given":"Olivier","non-dropping-particle":"","parse-names":false,"suffix":""}],"container-title":"Proceedings of the Royal Society B: Biological Sciences","id":"ITEM-2","issue":"1690","issued":{"date-parts":[["2010"]]},"page":"2089-2095","title":"Interactions among social monitoring, anti-predator vigilance and group size in eastern grey kangaroos","type":"article-journal","volume":"277"},"uris":["http://www.mendeley.com/documents/?uuid=7656b815-f4c9-406a-9e49-13b38dc08f2f"]},{"id":"ITEM-3","itemData":{"DOI":"10.1007/s002650100328","ISBN":"1608238687","ISSN":"03405443","abstract":"Animals are expected to reduce per capita vigilance with increasing group size. Widespread support for this expectation has been found in studies of birds and ungulates. Primate vigilance patterns appear to differ, but studies of primates may have sampled groups with too many members to detect intergroup differences in vigilance. We tested this idea by measuring individual vigilance rates in wild black howler monkeys (Alouatta pigra) living in stable groups of two to ten individuals. No group size effect on vigilance emerged. As in previous studies, inter-individual proximity explained variation in individual vigilance rates. Focal animals with associates within 2 m and with multiple associates in the same tree were less vigilant than isolated animals. Activity and class of focal animals as well as the presence of neonates influenced the average vigilance of adult and subadult black howler monkeys. We conclude that functional explanations must be considered for the general lack of a group size effect on primate vigilance.","author":[{"dropping-particle":"","family":"Treves","given":"A.","non-dropping-particle":"","parse-names":false,"suffix":""},{"dropping-particle":"","family":"Drescher","given":"A.","non-dropping-particle":"","parse-names":false,"suffix":""},{"dropping-particle":"","family":"Ingrisano","given":"N.","non-dropping-particle":"","parse-names":false,"suffix":""}],"container-title":"Behavioral Ecology and Sociobiology","id":"ITEM-3","issue":"1","issued":{"date-parts":[["2001"]]},"page":"90-95","title":"Vigilance and aggregation in black howler monkeys (&lt;i&gt;Alouatta pigra&lt;/i&gt;)","type":"article-journal","volume":"50"},"uris":["http://www.mendeley.com/documents/?uuid=91045369-b010-4e5d-99ff-b79a1083a909"]},{"id":"ITEM-4","itemData":{"DOI":"10.1139/z92-226","ISSN":"0008-4301","abstract":"Vigilance behaviour of captive wild boars at feeding points was investigated using films. Results show that individual vigilance decreased with increasing group size, especially between solitary individuals and groups of 2. Moreover, the collective vigilance was, whatever the group size, below the individual vigilance in solitary animals. The study of the motor variability of vigilance behaviour allows three types of movement to be distinguished. The mean durations of each type vary largely, but are almost constant whatever the group size. On the other hand, the relative proportions of the vigilance acts change according to group size. Although previous studies of vigilance are in keeping with the functional approach of behaviour, these data are interpreted in terms of proximate causation. A mechanism based on allelomimesis is proposed to explain the results.","author":[{"dropping-particle":"","family":"Quenette","given":"Pierre-Yves","non-dropping-particle":"","parse-names":false,"suffix":""},{"dropping-particle":"","family":"Gerard","given":"Jean-François","non-dropping-particle":"","parse-names":false,"suffix":""}],"container-title":"Canadian Journal of Zoology","id":"ITEM-4","issue":"8","issued":{"date-parts":[["1992"]]},"page":"1632-1635","title":"From individual to collective vigilance in wild boar (&lt;i&gt;Sus scrofa&lt;/i&gt;)","type":"article-journal","volume":"70"},"uris":["http://www.mendeley.com/documents/?uuid=fc2dc68a-41c7-4ed5-ab97-802c8ee16eb8"]},{"id":"ITEM-5","itemData":{"DOI":"10.1046/j.1439-0310.2003.00887.x","ISBN":"0179-1613","ISSN":"01791613","abstract":"We studied the effect of group size on the proportion of time that greater rheas, Rhea americana, allocated to vigilance and feeding during the non-breeding season. We tested whether: (1) the proportion oftime that one bird allocates to vigilance (individual vigilance) decreases with group size, and (2) the proportion oftime that at least one bird ofthe group is vigilant (collective vigilance) increases with group size. We analyzed video-recordings ofbirds that were foraging alone or in groups from two to 12 birds. The proportion of time allocated to individual vigilance decreased and the proportion oftime spent feeding increased with group size. In both cases the main significant difference was between birds foraging alone and in groups. Collective vigilance did not vary with group size and it was lower than expected ifvigi lance bouts were random or sequential. Our results indicate that rheas foraging in large groups would not receive the benefit of an increase in collective vigilance, although they could still benefit from a reduction of predation risk by the dilution effect. Corresponding author: Gustavo J. Ferna´ ndez, Departamento de Ecologı´ a, Gene´ tica y Evolucio´ n, Facultad de Ciencias Exactas y Naturales, Universidad de Buenos Aires, Pabello´ n II Ciudad Universitaria, C1428EHA Buenos Aires, Argentina. E-mail: gjf@bg.fcen.uba.ar","author":[{"dropping-particle":"","family":"Fernández","given":"Gustavo J.","non-dropping-particle":"","parse-names":false,"suffix":""},{"dropping-particle":"","family":"Capurro","given":"Angel F.","non-dropping-particle":"","parse-names":false,"suffix":""},{"dropping-particle":"","family":"Reboreda","given":"Juan C.","non-dropping-particle":"","parse-names":false,"suffix":""}],"container-title":"Ethology","id":"ITEM-5","issue":"5","issued":{"date-parts":[["2003"]]},"page":"413-425","title":"Effect of group size on individual and collective vigilance in greater rheas","type":"article-journal","volume":"109"},"uris":["http://www.mendeley.com/documents/?uuid=49836eec-3b00-4240-b341-dc357924a0c7"]}],"mendeley":{"formattedCitation":"(Catterall, Elgar, &amp; Kikkawa, 1992; Favreau et al., 2010; Fernández, Capurro, &amp; Reboreda, 2003; Quenette &amp; Gerard, 1992; Treves, Drescher, &amp; Ingrisano, 2001)","plainTextFormattedCitation":"(Catterall, Elgar, &amp; Kikkawa, 1992; Favreau et al., 2010; Fernández, Capurro, &amp; Reboreda, 2003; Quenette &amp; Gerard, 1992; Treves, Drescher, &amp; Ingrisano, 2001)","previouslyFormattedCitation":"(Catterall, Elgar, &amp; Kikkawa, 1992; Favreau et al., 2010; Fernández, Capurro, &amp; Reboreda, 2003; Quenette &amp; Gerard, 1992; Treves, Drescher, &amp; Ingrisano, 2001)"},"properties":{"noteIndex":0},"schema":"https://github.com/citation-style-language/schema/raw/master/csl-citation.json"}</w:instrText>
      </w:r>
      <w:r w:rsidR="001E77A9">
        <w:fldChar w:fldCharType="separate"/>
      </w:r>
      <w:r w:rsidR="00665CE8" w:rsidRPr="00665CE8">
        <w:rPr>
          <w:noProof/>
        </w:rPr>
        <w:t>(Catterall, Elgar, &amp; Kikkawa, 1992; Favreau et al., 2010; Fernández, Capurro, &amp; Reboreda, 2003; Quenette &amp; Gerard, 1992; Treves, Drescher, &amp; Ingrisano, 2001)</w:t>
      </w:r>
      <w:r w:rsidR="001E77A9">
        <w:fldChar w:fldCharType="end"/>
      </w:r>
      <w:r w:rsidR="0062718D">
        <w:t>.</w:t>
      </w:r>
      <w:r w:rsidR="002C7379">
        <w:t xml:space="preserve"> </w:t>
      </w:r>
    </w:p>
    <w:p w14:paraId="078B5A2B" w14:textId="325D48E2" w:rsidR="00C95A45" w:rsidRDefault="00C95A45" w:rsidP="003D6949">
      <w:pPr>
        <w:pStyle w:val="NoSpacing"/>
        <w:spacing w:line="480" w:lineRule="auto"/>
        <w:ind w:firstLine="720"/>
      </w:pPr>
      <w:r>
        <w:t>Different</w:t>
      </w:r>
      <w:r w:rsidR="007811BB">
        <w:t xml:space="preserve"> caveat</w:t>
      </w:r>
      <w:r>
        <w:t>s</w:t>
      </w:r>
      <w:r w:rsidR="007811BB">
        <w:t xml:space="preserve"> of our study could explain the lack of a group-size effect</w:t>
      </w:r>
      <w:r>
        <w:t xml:space="preserve">. First, </w:t>
      </w:r>
      <w:r w:rsidR="007811BB">
        <w:t>our definition of group size</w:t>
      </w:r>
      <w:r>
        <w:t xml:space="preserve"> may not have been adequate</w:t>
      </w:r>
      <w:r w:rsidR="007811BB">
        <w:t>. Group size was measu</w:t>
      </w:r>
      <w:r w:rsidR="00A938BA">
        <w:t>red over a large area relative</w:t>
      </w:r>
      <w:r w:rsidR="007811BB">
        <w:t xml:space="preserve"> to the small Barbary ground squirrels. Often studies on smaller mammals use a threshold of 10 m </w:t>
      </w:r>
      <w:r w:rsidR="00475A6B">
        <w:t>for inclusion of</w:t>
      </w:r>
      <w:r w:rsidR="00A938BA">
        <w:t xml:space="preserve"> </w:t>
      </w:r>
      <w:r w:rsidR="00475A6B">
        <w:t>individuals to</w:t>
      </w:r>
      <w:r w:rsidR="00A938BA">
        <w:t xml:space="preserve"> a group</w:t>
      </w:r>
      <w:r w:rsidR="007811BB">
        <w:t xml:space="preserve"> </w:t>
      </w:r>
      <w:r w:rsidR="00BC230E">
        <w:fldChar w:fldCharType="begin" w:fldLock="1"/>
      </w:r>
      <w:r w:rsidR="00CA05CE">
        <w:instrText>ADDIN CSL_CITATION {"citationItems":[{"id":"ITEM-1","itemData":{"author":[{"dropping-particle":"","family":"Blumstein","given":"Daniel T.","non-dropping-particle":"","parse-names":false,"suffix":""},{"dropping-particle":"","family":"Daniel","given":"Janice C","non-dropping-particle":"","parse-names":false,"suffix":""},{"dropping-particle":"","family":"Evans","given":"Christopher S","non-dropping-particle":"","parse-names":false,"suffix":""}],"container-title":"Ethology","id":"ITEM-1","issued":{"date-parts":[["2001"]]},"page":"655-664","title":"Yellow-footed rock-wallaby group size effects reflect a trade-off","type":"article-journal","volume":"107"},"uris":["http://www.mendeley.com/documents/?uuid=2f6af940-73b4-4ba9-be48-0ab46f1fe51d"]}],"mendeley":{"formattedCitation":"(Blumstein et al., 2001)","plainTextFormattedCitation":"(Blumstein et al., 2001)","previouslyFormattedCitation":"(Blumstein et al., 2001)"},"properties":{"noteIndex":0},"schema":"https://github.com/citation-style-language/schema/raw/master/csl-citation.json"}</w:instrText>
      </w:r>
      <w:r w:rsidR="00BC230E">
        <w:fldChar w:fldCharType="separate"/>
      </w:r>
      <w:r w:rsidR="005E3C02" w:rsidRPr="005E3C02">
        <w:rPr>
          <w:noProof/>
        </w:rPr>
        <w:t>(Blumstein et al., 2001)</w:t>
      </w:r>
      <w:r w:rsidR="00BC230E">
        <w:fldChar w:fldCharType="end"/>
      </w:r>
      <w:r w:rsidR="007811BB">
        <w:t xml:space="preserve">. While larger </w:t>
      </w:r>
      <w:r w:rsidR="00057220">
        <w:t>mammals</w:t>
      </w:r>
      <w:r w:rsidR="00BC230E">
        <w:t xml:space="preserve">, such as red kangaroos, </w:t>
      </w:r>
      <w:r w:rsidR="00057220">
        <w:t xml:space="preserve">use a </w:t>
      </w:r>
      <w:r w:rsidR="00057220">
        <w:lastRenderedPageBreak/>
        <w:t>larger radius</w:t>
      </w:r>
      <w:r w:rsidR="00BC230E">
        <w:t xml:space="preserve"> </w:t>
      </w:r>
      <w:r w:rsidR="00057220">
        <w:fldChar w:fldCharType="begin" w:fldLock="1"/>
      </w:r>
      <w:r w:rsidR="007966AB">
        <w:instrText>ADDIN CSL_CITATION {"citationItems":[{"id":"ITEM-1","itemData":{"DOI":"10.1007/s10211-002-0070-5","author":[{"dropping-particle":"","family":"Blumstein","given":"Daniel T.","non-dropping-particle":"","parse-names":false,"suffix":""},{"dropping-particle":"","family":"Daniel","given":"Janice C","non-dropping-particle":"","parse-names":false,"suffix":""}],"container-title":"Acta Ethologica","id":"ITEM-1","issued":{"date-parts":[["2003"]]},"page":"95-99","title":"Red kangaroos (&lt;i&gt;Macropus rufus&lt;/i&gt;) receive an antipredator benefit from aggregation","type":"article-journal","volume":"5"},"uris":["http://www.mendeley.com/documents/?uuid=6a7bb477-30c2-4926-a850-516061a4da3e"]}],"mendeley":{"formattedCitation":"(Blumstein &amp; Daniel, 2003)","plainTextFormattedCitation":"(Blumstein &amp; Daniel, 2003)","previouslyFormattedCitation":"(Blumstein &amp; Daniel, 2003)"},"properties":{"noteIndex":0},"schema":"https://github.com/citation-style-language/schema/raw/master/csl-citation.json"}</w:instrText>
      </w:r>
      <w:r w:rsidR="00057220">
        <w:fldChar w:fldCharType="separate"/>
      </w:r>
      <w:r w:rsidR="00057220" w:rsidRPr="00057220">
        <w:rPr>
          <w:noProof/>
        </w:rPr>
        <w:t>(Blumstein &amp; Daniel, 2003)</w:t>
      </w:r>
      <w:r w:rsidR="00057220">
        <w:fldChar w:fldCharType="end"/>
      </w:r>
      <w:r w:rsidR="007811BB">
        <w:t xml:space="preserve">. </w:t>
      </w:r>
      <w:r w:rsidR="007B40CD">
        <w:t>Therefore, o</w:t>
      </w:r>
      <w:r w:rsidR="00A10584">
        <w:t xml:space="preserve">ur threshold of 60 m </w:t>
      </w:r>
      <w:r w:rsidR="00BC230E">
        <w:t xml:space="preserve">could have impacted our results. However, individuals performing high-quality vigilance were located on average more than 1 m above ground, </w:t>
      </w:r>
      <w:r w:rsidR="007B40CD">
        <w:t xml:space="preserve">suggesting that </w:t>
      </w:r>
      <w:r w:rsidR="00BC230E">
        <w:t>their field of view</w:t>
      </w:r>
      <w:r w:rsidR="007B40CD">
        <w:t xml:space="preserve"> is more similar to larger mammals</w:t>
      </w:r>
      <w:r w:rsidR="00BC230E">
        <w:t xml:space="preserve">. </w:t>
      </w:r>
      <w:r w:rsidR="007B40CD">
        <w:t>Hence</w:t>
      </w:r>
      <w:r w:rsidR="00BC230E">
        <w:t xml:space="preserve">, </w:t>
      </w:r>
      <w:r w:rsidR="00A10584">
        <w:t>the impa</w:t>
      </w:r>
      <w:r w:rsidR="00155D10">
        <w:t>ct</w:t>
      </w:r>
      <w:r w:rsidR="00BC230E">
        <w:t xml:space="preserve"> of our group size definition might not be too severe </w:t>
      </w:r>
      <w:r w:rsidR="00A10584">
        <w:t>for our re</w:t>
      </w:r>
      <w:r w:rsidR="00926F8D">
        <w:t>sults on high-quality vigilance</w:t>
      </w:r>
      <w:r w:rsidR="00155D10">
        <w:t xml:space="preserve">. </w:t>
      </w:r>
      <w:r w:rsidR="00926F8D">
        <w:t xml:space="preserve">However, for individuals performing low-quality vigilance our threshold may prove too large, </w:t>
      </w:r>
      <w:r w:rsidR="007B40CD">
        <w:t>because</w:t>
      </w:r>
      <w:r w:rsidR="00926F8D">
        <w:t xml:space="preserve"> those numerous rock walls and dams </w:t>
      </w:r>
      <w:r w:rsidR="00155D10">
        <w:t>that provide lookouts</w:t>
      </w:r>
      <w:r w:rsidR="007B40CD">
        <w:t xml:space="preserve"> </w:t>
      </w:r>
      <w:r w:rsidR="007B40CD">
        <w:fldChar w:fldCharType="begin" w:fldLock="1"/>
      </w:r>
      <w:r w:rsidR="007B40CD">
        <w:instrText>ADDIN CSL_CITATION {"citationItems":[{"id":"ITEM-1","itemData":{"author":[{"dropping-particle":"","family":"Machado","given":"Antonio","non-dropping-particle":"","parse-names":false,"suffix":""}],"container-title":"Egypt. J. Wildlife Nat. Res","id":"ITEM-1","issued":{"date-parts":[["1979"]]},"page":"182-202","title":"The introduction of the Getulian squirrel (&lt;i&gt;Atlantoxerus getulus L.&lt;/i&gt;, 1758) in Fuerteventura, Canary Islands.","type":"article-journal","volume":"2"},"uris":["http://www.mendeley.com/documents/?uuid=05db2029-398c-47c5-98b9-38ab9c4d3e85"]},{"id":"ITEM-2","itemData":{"author":[{"dropping-particle":"","family":"López-Darias","given":"Marta","non-dropping-particle":"","parse-names":false,"suffix":""},{"dropping-particle":"","family":"Lobo","given":"Jorge M.","non-dropping-particle":"","parse-names":false,"suffix":""}],"container-title":"Zoological Studies","id":"ITEM-2","issue":"3","issued":{"date-parts":[["2008"]]},"page":"268-281","title":"Factors affecting invasive species abundance: the Barbary Ground Squirrel on Fuerteventura Island, Spain","type":"article-journal","volume":"47"},"uris":["http://www.mendeley.com/documents/?uuid=1a40d8fe-9b9f-4a6d-9a03-23677e6b02b5"]}],"mendeley":{"formattedCitation":"(López-Darias &amp; Lobo, 2008; Machado, 1979)","plainTextFormattedCitation":"(López-Darias &amp; Lobo, 2008; Machado, 1979)","previouslyFormattedCitation":"(López-Darias &amp; Lobo, 2008; Machado, 1979)"},"properties":{"noteIndex":0},"schema":"https://github.com/citation-style-language/schema/raw/master/csl-citation.json"}</w:instrText>
      </w:r>
      <w:r w:rsidR="007B40CD">
        <w:fldChar w:fldCharType="separate"/>
      </w:r>
      <w:r w:rsidR="007B40CD" w:rsidRPr="001E3EEF">
        <w:rPr>
          <w:noProof/>
        </w:rPr>
        <w:t>(López-Darias &amp; Lobo, 2008; Machado, 1979)</w:t>
      </w:r>
      <w:r w:rsidR="007B40CD">
        <w:fldChar w:fldCharType="end"/>
      </w:r>
      <w:r w:rsidR="00155D10">
        <w:t xml:space="preserve">, </w:t>
      </w:r>
      <w:r w:rsidR="009B7963">
        <w:t>prevent</w:t>
      </w:r>
      <w:r w:rsidR="00926F8D">
        <w:t xml:space="preserve"> squirrels on the groun</w:t>
      </w:r>
      <w:r w:rsidR="009B7963">
        <w:t xml:space="preserve">d from </w:t>
      </w:r>
      <w:r w:rsidR="003D6949">
        <w:t xml:space="preserve">seeing in the distance. </w:t>
      </w:r>
      <w:r w:rsidR="007B40CD">
        <w:t xml:space="preserve">Consequently, </w:t>
      </w:r>
      <w:r w:rsidR="003D6949">
        <w:t xml:space="preserve">this </w:t>
      </w:r>
      <w:r w:rsidR="007B40CD">
        <w:t>scenario</w:t>
      </w:r>
      <w:r w:rsidR="003D6949">
        <w:t xml:space="preserve"> may </w:t>
      </w:r>
      <w:r w:rsidR="007B40CD">
        <w:t xml:space="preserve">also </w:t>
      </w:r>
      <w:r w:rsidR="003D6949">
        <w:t xml:space="preserve">explain the result that Barbary ground squirrels only allocated 2 % of their activity budget to low-quality vigilance. </w:t>
      </w:r>
      <w:r w:rsidR="00774E71">
        <w:t>Hence,</w:t>
      </w:r>
      <w:r w:rsidR="007B40CD">
        <w:t xml:space="preserve"> the squirrels may need to perform high-quality vigilance from raised positions to see in the distance resulting in natural selection strongly favouring high-quality vigilance </w:t>
      </w:r>
      <w:r w:rsidR="007B40CD" w:rsidRPr="008479C8">
        <w:t xml:space="preserve">despite the trade-off it imposes </w:t>
      </w:r>
      <w:r w:rsidR="007B40CD">
        <w:t xml:space="preserve">with foraging. </w:t>
      </w:r>
      <w:r w:rsidR="003D6949">
        <w:t xml:space="preserve">The time allocated to low- and high-quality vigilance is in </w:t>
      </w:r>
      <w:r w:rsidR="003D6949" w:rsidRPr="00E226AF">
        <w:rPr>
          <w:color w:val="000000"/>
        </w:rPr>
        <w:t>contrast to</w:t>
      </w:r>
      <w:r w:rsidR="003D6949">
        <w:t xml:space="preserve"> the closely-related Cape ground squirrels, </w:t>
      </w:r>
      <w:r w:rsidR="003D6949">
        <w:rPr>
          <w:i/>
        </w:rPr>
        <w:t>Xerus inauris</w:t>
      </w:r>
      <w:r w:rsidR="003D6949">
        <w:t xml:space="preserve">, where individuals </w:t>
      </w:r>
      <w:r w:rsidR="003D6949" w:rsidRPr="000358C6">
        <w:t>perform</w:t>
      </w:r>
      <w:r w:rsidR="003D6949">
        <w:t xml:space="preserve"> mainly low-quality vigilance, but increase their high-quality vigilance in higher risk habitat </w:t>
      </w:r>
      <w:r w:rsidR="003D6949">
        <w:fldChar w:fldCharType="begin" w:fldLock="1"/>
      </w:r>
      <w:r w:rsidR="003D6949">
        <w:instrText>ADDIN CSL_CITATION {"citationItems":[{"id":"ITEM-1","itemData":{"DOI":"10.1016/j.anbehav.2009.05.028","ISSN":"00033472","author":[{"dropping-particle":"","family":"Unck","given":"C.E.","non-dropping-particle":"","parse-names":false,"suffix":""},{"dropping-particle":"","family":"Waterman","given":"J.M.","non-dropping-particle":"","parse-names":false,"suffix":""},{"dropping-particle":"","family":"Verburgt","given":"L.","non-dropping-particle":"","parse-names":false,"suffix":""},{"dropping-particle":"","family":"Bateman","given":"P.W.","non-dropping-particle":"","parse-names":false,"suffix":""}],"container-title":"Animal Behaviour","id":"ITEM-1","issue":"3","issued":{"date-parts":[["2009","9"]]},"page":"625-632","publisher":"Elsevier Ltd","title":"Quantity versus quality: how does level of predation threat affect Cape ground squirrel vigilance?","type":"article-journal","volume":"78"},"uris":["http://www.mendeley.com/documents/?uuid=8bcb7620-9681-4e8d-8aac-f3bf5141508e"]}],"mendeley":{"formattedCitation":"(Unck et al., 2009)","plainTextFormattedCitation":"(Unck et al., 2009)","previouslyFormattedCitation":"(Unck et al., 2009)"},"properties":{"noteIndex":0},"schema":"https://github.com/citation-style-language/schema/raw/master/csl-citation.json"}</w:instrText>
      </w:r>
      <w:r w:rsidR="003D6949">
        <w:fldChar w:fldCharType="separate"/>
      </w:r>
      <w:r w:rsidR="003D6949" w:rsidRPr="00FB2B64">
        <w:rPr>
          <w:noProof/>
        </w:rPr>
        <w:t>(Unck et al., 2009)</w:t>
      </w:r>
      <w:r w:rsidR="003D6949">
        <w:fldChar w:fldCharType="end"/>
      </w:r>
      <w:r w:rsidR="003D6949">
        <w:t xml:space="preserve">. This disparity in time allocation is possibly due to habitat differences. Cape ground squirrels live in very open habitats </w:t>
      </w:r>
      <w:r w:rsidR="003D6949">
        <w:fldChar w:fldCharType="begin" w:fldLock="1"/>
      </w:r>
      <w:r w:rsidR="003D6949">
        <w:instrText>ADDIN CSL_CITATION {"citationItems":[{"id":"ITEM-1","itemData":{"author":[{"dropping-particle":"","family":"Waterman","given":"Jane M.","non-dropping-particle":"","parse-names":false,"suffix":""}],"container-title":"Ethology","id":"ITEM-1","issue":"101","issued":{"date-parts":[["1995"]]},"page":"130-147","title":"The social organization of the Cape ground squirrel (&lt;i&gt;Xerus inauris&lt;/i&gt;; Rodentia: Sciuridae)","type":"article-journal","volume":"101"},"uris":["http://www.mendeley.com/documents/?uuid=b8be5e1c-9f65-4797-b824-ef8cfefa58ec"]}],"mendeley":{"formattedCitation":"(Waterman, 1995)","plainTextFormattedCitation":"(Waterman, 1995)","previouslyFormattedCitation":"(Waterman, 1995)"},"properties":{"noteIndex":0},"schema":"https://github.com/citation-style-language/schema/raw/master/csl-citation.json"}</w:instrText>
      </w:r>
      <w:r w:rsidR="003D6949">
        <w:fldChar w:fldCharType="separate"/>
      </w:r>
      <w:r w:rsidR="003D6949" w:rsidRPr="001E3EEF">
        <w:rPr>
          <w:noProof/>
        </w:rPr>
        <w:t>(Waterman, 1995)</w:t>
      </w:r>
      <w:r w:rsidR="003D6949">
        <w:fldChar w:fldCharType="end"/>
      </w:r>
      <w:r w:rsidR="003D6949">
        <w:t>, while the habitat of Barbary ground squirrels is interspersed with rock walls</w:t>
      </w:r>
      <w:r>
        <w:t xml:space="preserve">. </w:t>
      </w:r>
    </w:p>
    <w:p w14:paraId="1403F6C3" w14:textId="77777777" w:rsidR="00774E71" w:rsidRDefault="00C95A45" w:rsidP="00F73F32">
      <w:pPr>
        <w:pStyle w:val="NoSpacing"/>
        <w:spacing w:line="480" w:lineRule="auto"/>
        <w:ind w:firstLine="720"/>
      </w:pPr>
      <w:r>
        <w:t>Second</w:t>
      </w:r>
      <w:r w:rsidR="009B7963">
        <w:t xml:space="preserve">, the lack of relationship for individual and collective low-quality vigilance and group size </w:t>
      </w:r>
      <w:r w:rsidR="00774E71">
        <w:t>may</w:t>
      </w:r>
      <w:r w:rsidR="009B7963">
        <w:t xml:space="preserve"> </w:t>
      </w:r>
      <w:r>
        <w:t xml:space="preserve">also </w:t>
      </w:r>
      <w:r w:rsidR="009B7963">
        <w:t xml:space="preserve">be explained by our behavioural sampling method </w:t>
      </w:r>
      <w:r w:rsidR="009B7963">
        <w:fldChar w:fldCharType="begin" w:fldLock="1"/>
      </w:r>
      <w:r w:rsidR="009B7963">
        <w:instrText>ADDIN CSL_CITATION {"citationItems":[{"id":"ITEM-1","itemData":{"DOI":"10.1016/j.anbehav.2016.09.003","ISBN":"0003-3472","ISSN":"00033472","abstract":"Vigilance is important for survivorship and reproductive success and is common and conspicuous within hundreds of species across a diverse array of taxa. Vigilance can involve either scanning for predators (antipredator vigilance) or watching conspecifics (social vigilance). From observations of marked Gunnison's prairie dogs, Cynomys gunnisoni (Sciuridae), living under natural conditions at Valles Caldera National Preserve, New Mexico, U.S.A., we compared results from the two most common sampling methods used by behavioural ecologists to measure vigilance: focal sampling (i.e. observing an individual for a specific amount of time and recording the amount of time spent vigilant) and scan sampling (i.e. observing all individuals in an area at a single moment and recording whether each individual at that moment is vigilant or nonvigilant). Information from different individuals and from the same individuals over time both revealed that estimates of vigilance from scan sampling were consistently and significantly higher than estimates from focal sampling. These differences probably resulted because nonvigilant behaviours were more difficult to detect in scan samples than in focal samples. Our results have important implications for behavioural ecologists who want to make intraspecific or interspecific comparisons of vigilance.","author":[{"dropping-particle":"","family":"Hirschler","given":"Ian M.","non-dropping-particle":"","parse-names":false,"suffix":""},{"dropping-particle":"","family":"Gedert","given":"Jennifer L.","non-dropping-particle":"","parse-names":false,"suffix":""},{"dropping-particle":"","family":"Majors","given":"Jessica","non-dropping-particle":"","parse-names":false,"suffix":""},{"dropping-particle":"","family":"Townsend","given":"Tucker","non-dropping-particle":"","parse-names":false,"suffix":""},{"dropping-particle":"","family":"Hoogland","given":"John L.","non-dropping-particle":"","parse-names":false,"suffix":""}],"container-title":"Animal Behaviour","id":"ITEM-1","issued":{"date-parts":[["2016"]]},"page":"117-122","publisher":"Elsevier Ltd","title":"What is the best way to estimate vigilance? A comparison of two methods for Gunnison's prairie dogs, &lt;i&gt;Cynomys gunnisoni&lt;/i&gt;","type":"article-journal","volume":"121"},"uris":["http://www.mendeley.com/documents/?uuid=b9f32655-f7e6-43a6-b52b-6f5746a09b99"]}],"mendeley":{"formattedCitation":"(Hirschler, Gedert, Majors, Townsend, &amp; Hoogland, 2016)","plainTextFormattedCitation":"(Hirschler, Gedert, Majors, Townsend, &amp; Hoogland, 2016)","previouslyFormattedCitation":"(Hirschler, Gedert, Majors, Townsend, &amp; Hoogland, 2016)"},"properties":{"noteIndex":0},"schema":"https://github.com/citation-style-language/schema/raw/master/csl-citation.json"}</w:instrText>
      </w:r>
      <w:r w:rsidR="009B7963">
        <w:fldChar w:fldCharType="separate"/>
      </w:r>
      <w:r w:rsidR="009B7963" w:rsidRPr="00FB2B64">
        <w:rPr>
          <w:noProof/>
        </w:rPr>
        <w:t>(Hirschler, Gedert, Majors, Townsend, &amp; Hoogland, 2016)</w:t>
      </w:r>
      <w:r w:rsidR="009B7963">
        <w:fldChar w:fldCharType="end"/>
      </w:r>
      <w:r w:rsidR="009B7963">
        <w:t>. During a 10-minute scan, the observer may have missed a low-quality vigilance event, but not</w:t>
      </w:r>
      <w:r w:rsidR="00774E71">
        <w:t xml:space="preserve"> a high-quality vigilance event. I</w:t>
      </w:r>
      <w:r w:rsidR="009B7963">
        <w:t xml:space="preserve">ndividuals performing high-quality vigilance were more conspicuous, e.g., </w:t>
      </w:r>
      <w:r w:rsidR="00774E71">
        <w:t>high-quality</w:t>
      </w:r>
      <w:r w:rsidR="009B7963">
        <w:t xml:space="preserve"> vigilant squirrels were situated on top of a rock wall for extended periods of time (&gt; 30 s). Thus, the scan sampling method could have resulted in the low proportion of individual and collective low-quality vigilance and, consequently, reduced statistical power </w:t>
      </w:r>
      <w:r w:rsidR="009B7963">
        <w:fldChar w:fldCharType="begin" w:fldLock="1"/>
      </w:r>
      <w:r w:rsidR="009B7963">
        <w:instrText>ADDIN CSL_CITATION {"citationItems":[{"id":"ITEM-1","itemData":{"DOI":"10.1093/beheco/arn096","ISBN":"1045-2249","ISSN":"10452249","abstract":"Vigilance has been predicted to decrease with group size due to increased predator detection and dilution of predation risk in larger groups. Although earlier literature reviews have provided ample support for this prediction, an increasing number of studies have failed to document a decline in vigilance with group size. In addition, support for this prediction has been based thus far on the P value of the relationship between vigilance and group size rather than on a quantitative assessment of effect magnitude. Here, I use a meta-analysis of empirical relationships between vigilance and group size in birds published in the last 35 years to provide a reassessment of the group-size effect on vigilance. Nearly one-third of all published relationships between vigilance and group size were not significant (n = 172). Results from the meta-analysis indicate weak to moderate negative correlations between group size and time spent vigilant (n = 43), scan frequency (n = 29), or scan duration (n = 20). The magnitude of the relationship was stronger in studies that controlled the amount of food available to birds. A funnel plot of the relationship between correlation coefficients and sample size failed to reveal an obvious publication bias. Although the meta-analysis results generally support the prediction that vigilance should decline with group size, a large amount of variation in vigilance remains unexplained in avian studies.","author":[{"dropping-particle":"","family":"Beauchamp","given":"Guy","non-dropping-particle":"","parse-names":false,"suffix":""}],"container-title":"Animal Behaviour","id":"ITEM-1","issued":{"date-parts":[["2013"]]},"page":"281-285","publisher":"Elsevier Ltd","title":"Is the magnitude of the group-size effect on vigilance underestimated?","type":"article-journal","volume":"85"},"uris":["http://www.mendeley.com/documents/?uuid=5ee17b42-3fcc-4d98-8557-edd74380b8ce"]}],"mendeley":{"formattedCitation":"(Beauchamp, 2013)","plainTextFormattedCitation":"(Beauchamp, 2013)","previouslyFormattedCitation":"(Beauchamp, 2013)"},"properties":{"noteIndex":0},"schema":"https://github.com/citation-style-language/schema/raw/master/csl-citation.json"}</w:instrText>
      </w:r>
      <w:r w:rsidR="009B7963">
        <w:fldChar w:fldCharType="separate"/>
      </w:r>
      <w:r w:rsidR="009B7963" w:rsidRPr="00FB2B64">
        <w:rPr>
          <w:noProof/>
        </w:rPr>
        <w:t>(Beauchamp, 2013)</w:t>
      </w:r>
      <w:r w:rsidR="009B7963">
        <w:fldChar w:fldCharType="end"/>
      </w:r>
      <w:r w:rsidR="009B7963">
        <w:t xml:space="preserve">. </w:t>
      </w:r>
      <w:r>
        <w:t xml:space="preserve">Therefore, additional sampling may have been necessary to detect group size effects on low-quality vigilance. </w:t>
      </w:r>
    </w:p>
    <w:p w14:paraId="19B8C724" w14:textId="3E1C9463" w:rsidR="002C15B6" w:rsidRDefault="009B7963" w:rsidP="00F73F32">
      <w:pPr>
        <w:pStyle w:val="NoSpacing"/>
        <w:spacing w:line="480" w:lineRule="auto"/>
        <w:ind w:firstLine="720"/>
      </w:pPr>
      <w:r>
        <w:lastRenderedPageBreak/>
        <w:t>Besides our caveats, t</w:t>
      </w:r>
      <w:r w:rsidR="00337C4D">
        <w:t xml:space="preserve">here are multiple </w:t>
      </w:r>
      <w:r w:rsidR="002C7379">
        <w:t xml:space="preserve">explanations </w:t>
      </w:r>
      <w:r w:rsidR="00AB0C6F">
        <w:t>for</w:t>
      </w:r>
      <w:r w:rsidR="002C7379">
        <w:t xml:space="preserve"> the absence of the group-size effect</w:t>
      </w:r>
      <w:r w:rsidR="00AB0C6F">
        <w:t xml:space="preserve"> and for </w:t>
      </w:r>
      <w:r w:rsidR="00030423">
        <w:t xml:space="preserve">the </w:t>
      </w:r>
      <w:r w:rsidR="00AB0C6F">
        <w:t xml:space="preserve">result </w:t>
      </w:r>
      <w:r w:rsidR="007E5124">
        <w:t>that</w:t>
      </w:r>
      <w:r w:rsidR="00AB0C6F">
        <w:t xml:space="preserve"> individuals or groups at the extremes of the vigilance level</w:t>
      </w:r>
      <w:r w:rsidR="00C6201D">
        <w:t>s</w:t>
      </w:r>
      <w:r w:rsidR="00AB0C6F">
        <w:t xml:space="preserve"> </w:t>
      </w:r>
      <w:r w:rsidR="00030423">
        <w:t xml:space="preserve">(0.2 and 0.8 quantiles) </w:t>
      </w:r>
      <w:r w:rsidR="00AB0C6F">
        <w:t>are more affected by group size</w:t>
      </w:r>
      <w:r w:rsidR="00337C4D">
        <w:t xml:space="preserve">. </w:t>
      </w:r>
      <w:r w:rsidR="002C15B6">
        <w:t xml:space="preserve">For example, sex has been found to influence vigilance in some group-living species </w:t>
      </w:r>
      <w:r w:rsidR="008850F2">
        <w:fldChar w:fldCharType="begin" w:fldLock="1"/>
      </w:r>
      <w:r w:rsidR="007C7EDC">
        <w:instrText>ADDIN CSL_CITATION {"citationItems":[{"id":"ITEM-1","itemData":{"DOI":"10.1371/journal.pone.0044801","ISBN":"0272-4987 (Print)\\r0272-4987 (Linking)","ISSN":"19326203","PMID":"19170484","abstract":"Aggregation is thought to enhance an animal’s security through effective predator detection and the dilution of risk. A decline in individual vigilance as group size increases is commonly reported in the literature and called the group size effect. However, to date, most of the research has only been directed toward examining whether this effect occurs at the population level. Few studies have explored the specific contributions of predator detection and risk dilution and the basis of individual differences in the use of vigilance tactics. We tested whether male and female (non-reproductive or with young) eastern grey kangaroos (Macropus giganteus) adopted different vigilance tactics when in mixed-sex groups and varied in their reliance on predator detection and/or risk dilution as group size changed. This species exhibits pronounced sexual dimorphism with females being much smaller than males, making them differentially vulnerable toward predators. We combined field observations with vigilance models describing the effects of detection and dilution on scanning rates as group size increased. We found that females with and without juveniles relied on predator detection and risk dilution, but the latter adjusted their vigilance to the proportion of females with juveniles within their group. Two models appeared to equally support the data for males suggesting that males, similarly to females, relied on predator detection and risk dilution but may also have adjusted their vigilance according to the proportion of mothers within their group. Differential vulnerability may cause sex differences in vigilance tactic use in this species. The presence of males within a group that do not, or only partially, contribute to predator detection and are less at risk may cause additional security costs to females. Our results call for reexamination of the classical view of the safety advantages of grouping to provide a more detailed functional interpretation of gregariousness.","author":[{"dropping-particle":"","family":"Rieucau","given":"Guillaume","non-dropping-particle":"","parse-names":false,"suffix":""},{"dropping-particle":"","family":"Blanchard","given":"Pierrick","non-dropping-particle":"","parse-names":false,"suffix":""},{"dropping-particle":"","family":"Martin","given":"Julien G. A.","non-dropping-particle":"","parse-names":false,"suffix":""},{"dropping-particle":"","family":"Favreau","given":"François-René","non-dropping-particle":"","parse-names":false,"suffix":""},{"dropping-particle":"","family":"Goldizen","given":"Anne W.","non-dropping-particle":"","parse-names":false,"suffix":""},{"dropping-particle":"","family":"Pays","given":"Olivier","non-dropping-particle":"","parse-names":false,"suffix":""}],"container-title":"PLoS ONE","id":"ITEM-1","issue":"9","issued":{"date-parts":[["2012"]]},"title":"Investigating differences in vigilance tactic use within and between the sexes in eastern grey kangaroos","type":"article-journal","volume":"7"},"uris":["http://www.mendeley.com/documents/?uuid=f9afcdf9-c1e8-43ef-b821-b2f4203241b7"]},{"id":"ITEM-2","itemData":{"DOI":"10.1371/journal.pone.0032607","ISBN":"1932-6203","ISSN":"19326203","PMID":"22389714","abstract":"BACKGROUND: Quantifying vigilance and exploring the underlying mechanisms has been the subject of numerous studies. Less attention has focused on the complex interplay between contributing factors such as reproductive status, social rank, sex and group size. Reproductive status and social rank are of particular interest due to their association with mating behavior. Mating activities in rutting season may interfere with typical patterns of vigilance and possibly interact with social rank. In addition, balancing the tradeoff between vigilance and life maintenance may represent a challenge for gregarious ungulate species rutting under harsh winter conditions. We studied vigilance patterns in the endangered Przewalski's gazelle (Procapra przewalskii) during both the rutting and non-rutting seasons to examine these issues.\\n\\nMETHODOLOGY/PRINCIPAL FINDINGS: Field observations were carried out with focal sampling during rutting and non-rutting season in 2008-2009. Results indicated a complex interplay between reproductive status, social rank, sex and group size in determining vigilance in this species. Vigilance decreased with group size in female but not in male gazelles. Males scanned more frequently and thus spent more time vigilant than females. Compared to non-rutting season, gazelles increased time spent scanning at the expense of bedding in rutting season. During the rutting season, territorial males spent a large proportion of time on rutting activities and were less vigilant than non-territorial males. Although territorial males may share collective risk detection with harem females, we suggest that they are probably more vulnerable to predation because they seemed reluctant to leave rut stands under threats.\\n\\nCONCLUSIONS/SIGNIFICANCE: Vigilance behavior in Przewalski's gazelle was significantly affected by reproductive status, social rank, sex, group size and their complex interactions. These findings shed light on the mechanisms underlying vigilance patterns and the tradeoff between vigilance and other crucial activities.","author":[{"dropping-particle":"","family":"Li","given":"Chunlin","non-dropping-particle":"","parse-names":false,"suffix":""},{"dropping-particle":"","family":"Jiang","given":"Zhigang","non-dropping-particle":"","parse-names":false,"suffix":""},{"dropping-particle":"","family":"Li","given":"Linlin","non-dropping-particle":"","parse-names":false,"suffix":""},{"dropping-particle":"","family":"Li","given":"Zhongqiu","non-dropping-particle":"","parse-names":false,"suffix":""},{"dropping-particle":"","family":"Fang","given":"Hongxia","non-dropping-particle":"","parse-names":false,"suffix":""},{"dropping-particle":"","family":"Li","given":"Chunwang","non-dropping-particle":"","parse-names":false,"suffix":""},{"dropping-particle":"","family":"Beauchamp","given":"Guy","non-dropping-particle":"","parse-names":false,"suffix":""}],"container-title":"PLoS ONE","id":"ITEM-2","issue":"2","issued":{"date-parts":[["2012"]]},"page":"1-7","title":"Effects of reproductive status, social rank, sex and group size on vigilance patterns in Przewalski's Gazelle","type":"article-journal","volume":"7"},"uris":["http://www.mendeley.com/documents/?uuid=1abe0402-7d05-4314-86cb-68d7ccf1ceea"]},{"id":"ITEM-3","itemData":{"DOI":"10.1016/j.anbehav.2016.04.025","ISSN":"00033472","abstract":"A strong motivation for one individual to aggregate with others is to reduce their vigilance because other group members provide coverage and warning of approaching predators. This collective vigilance means that a focal individual is usually less susceptible to predation than when alone. However, individuals differ in their vigilance levels depending on status and context. They may also differ in how they adjust their vigilance levels as group size changes. This flexibility in response means that the collective vigilance of a group, and hence its optimal size, is not intuitive. We demonstrate, in both natural and experimental systems, that male and female pheasants, Phasianus colchicus, in harems differentially adjusted their vigilance levels as harem size changed. Females became less vigilant as harems became larger, and benefited by increasing their foraging time. Conversely, males became more vigilant as harems became larger. We calculated the collective probability that a harem would detect a predator. Within natural harem sizes, a male and two females exhibited the highest probability of collective detection, with decreases as more females joined. This optimal harem size matched the average harem size observed at our study site. Females may join harems for benefits of collective vigilance. Despite both sexes having a shared interest in larger harems for mating benefits, optimal harem size is influenced by trade-offs in a nonsexual behaviour, vigilance. This results in males with relatively small harems, females associating with less preferred males and each male being surrounded by fewer females than he could mate with.","author":[{"dropping-particle":"","family":"Whiteside","given":"Mark A.","non-dropping-particle":"","parse-names":false,"suffix":""},{"dropping-particle":"","family":"Langley","given":"Ellis J.G.","non-dropping-particle":"","parse-names":false,"suffix":""},{"dropping-particle":"","family":"Madden","given":"Joah R.","non-dropping-particle":"","parse-names":false,"suffix":""}],"container-title":"Animal Behaviour","id":"ITEM-3","issued":{"date-parts":[["2016"]]},"page":"11-18","publisher":"Elsevier Ltd","title":"Males and females differentially adjust vigilance levels as group size increases: effect on optimal group size","type":"article-journal","volume":"118"},"uris":["http://www.mendeley.com/documents/?uuid=b7e9393b-574d-44b2-b228-38823a2f6293"]},{"id":"ITEM-4","itemData":{"DOI":"10.1111/j.1439-0310.2011.01974.x","ISBN":"1439-0310","ISSN":"01791613","abstract":"Collective detection of predators is one of the main advantages of living in groups in prey species. However, the mechanisms linking individual and collective vigilance remain largely unknown. Here, we investigated individual and collective vigilance in a natural population of greater kudu (Tragelaphus strepsiceros), a gregarious ruminant living under high predation risk. Controlling for environmental, individual and group fac- tors, we show that the proportion of time during which at least one individual was vigilant increased with group size, whereas individual investment in vigilance decreased. We also show that individuals tended to synchronize both vigilance and feeding activities. More generally, and whatever the considered group size, we demonstrate how the indepen- dent scanning assumption underestimated both the proportion of time during which no individual was vigilant and the proportion of time dur- ing which all individuals were simultaneously vigilant, but overesti- mated the proportion of time during which one vigilant individual only was present. Our results thus contrast with the point of view that the alternative to independent vigilance is coordinated vigilance and plead for a better description of the processes whereby reciprocal influences between individuals shape collective patterns of vigilance.","author":[{"dropping-particle":"","family":"Pays","given":"Olivier","non-dropping-particle":"","parse-names":false,"suffix":""},{"dropping-particle":"","family":"Sirot","given":"Etienne","non-dropping-particle":"","parse-names":false,"suffix":""},{"dropping-particle":"","family":"Fritz","given":"Hervé","non-dropping-particle":"","parse-names":false,"suffix":""}],"container-title":"Ethology","id":"ITEM-4","issue":"1","issued":{"date-parts":[["2012"]]},"page":"1-9","title":"Collective vigilance in the greater kudu: Towards a better understanding of synchronization patterns","type":"article-journal","volume":"118"},"uris":["http://www.mendeley.com/documents/?uuid=d6f33d15-356a-4e00-94e2-f37cf4722c6d"]}],"mendeley":{"formattedCitation":"(Li et al., 2012; Pays et al., 2012; Rieucau et al., 2012; Whiteside, Langley, &amp; Madden, 2016)","plainTextFormattedCitation":"(Li et al., 2012; Pays et al., 2012; Rieucau et al., 2012; Whiteside, Langley, &amp; Madden, 2016)","previouslyFormattedCitation":"(Li et al., 2012; Pays et al., 2012; Rieucau et al., 2012; Whiteside, Langley, &amp; Madden, 2016)"},"properties":{"noteIndex":0},"schema":"https://github.com/citation-style-language/schema/raw/master/csl-citation.json"}</w:instrText>
      </w:r>
      <w:r w:rsidR="008850F2">
        <w:fldChar w:fldCharType="separate"/>
      </w:r>
      <w:r w:rsidR="00276ABE" w:rsidRPr="00276ABE">
        <w:rPr>
          <w:noProof/>
        </w:rPr>
        <w:t>(Li et al., 2012; Pays et al., 2012; Rieucau et al., 2012; Whiteside, Langley, &amp; Madden, 2016)</w:t>
      </w:r>
      <w:r w:rsidR="008850F2">
        <w:fldChar w:fldCharType="end"/>
      </w:r>
      <w:r w:rsidR="008850F2">
        <w:t>.</w:t>
      </w:r>
      <w:r w:rsidR="008850F2" w:rsidRPr="0011064C">
        <w:t xml:space="preserve"> </w:t>
      </w:r>
      <w:r w:rsidR="002C15B6">
        <w:t>However, we found no sex differences in low-</w:t>
      </w:r>
      <w:r w:rsidR="006474A1">
        <w:t xml:space="preserve"> </w:t>
      </w:r>
      <w:r w:rsidR="002C15B6">
        <w:t xml:space="preserve">or high-quality vigilance, suggesting that sex does not interact with vigilance and group size in Barbary ground squirrels. </w:t>
      </w:r>
      <w:r w:rsidR="00B115C1">
        <w:t xml:space="preserve">Wind may also affect vigilance levels, </w:t>
      </w:r>
      <w:r w:rsidR="008802D8">
        <w:t xml:space="preserve">because wind can be considered an ambient noise that affects the signal-to-noise ratio of sound </w:t>
      </w:r>
      <w:r w:rsidR="008802D8">
        <w:fldChar w:fldCharType="begin" w:fldLock="1"/>
      </w:r>
      <w:r w:rsidR="0008368F">
        <w:instrText>ADDIN CSL_CITATION {"citationItems":[{"id":"ITEM-1","itemData":{"author":[{"dropping-particle":"","family":"Bradbury","given":"JW","non-dropping-particle":"","parse-names":false,"suffix":""},{"dropping-particle":"","family":"Vehrencamp","given":"Sandra L.","non-dropping-particle":"","parse-names":false,"suffix":""}],"id":"ITEM-1","issued":{"date-parts":[["1998"]]},"publisher":"Sinauer Associates Inc.","publisher-place":"Sunderland, Mass","title":"Principles of animal communication","type":"book"},"uris":["http://www.mendeley.com/documents/?uuid=88631d0c-3c84-4f19-9ae0-49600e7badbe"]},{"id":"ITEM-2","itemData":{"DOI":"10.1644/1545-1542(2005)86[974:EOWOTB]2.0.CO;2","ISBN":"0022-2372","ISSN":"0022-2372","abstract":"It has been suggested that pikas are less active during inclement weather. We hypothesized that this decrease in activity is a predator-avoidance response to wind conditions that decrease the effectiveness of the alarm calls of pikas. We examined this hypothesis by broadcasting and rerecording the prominent frequencies (900-5,500 Hz) of pikas' calls and by observing behavior of focal pikas during varying weather conditions. Both attenuation of pure tones and the amount of wind noise increased significantly as wind speed increased. Additionally, wind direction created asymmetrical patterns of attenuation of pure tones, potentially distorting and degrading the call. Further, pikas spent significantly more time inactive at higher wind speeds, with nonvigilant active behaviors decreasing at a higher rate than vigilant active behaviors. Examination of these data supports the hypothesis and suggests that wind influences the behavior of animals that rely on alarm calls.","author":[{"dropping-particle":"","family":"Hayes","given":"Ashley R.","non-dropping-particle":"","parse-names":false,"suffix":""},{"dropping-particle":"","family":"Huntly","given":"Nancy J.","non-dropping-particle":"","parse-names":false,"suffix":""}],"container-title":"Journal of Mammalogy","id":"ITEM-2","issue":"5","issued":{"date-parts":[["2005"]]},"page":"974-981","title":"Effects of wind on the behavior and call transmission of pikas (Ochotona Princeps)","type":"article-journal","volume":"86"},"uris":["http://www.mendeley.com/documents/?uuid=2f5fa9e1-6b76-4154-bc1b-d948c15cfc17"]}],"mendeley":{"formattedCitation":"(Bradbury &amp; Vehrencamp, 1998; Hayes &amp; Huntly, 2005)","plainTextFormattedCitation":"(Bradbury &amp; Vehrencamp, 1998; Hayes &amp; Huntly, 2005)","previouslyFormattedCitation":"(Bradbury &amp; Vehrencamp, 1998; Hayes &amp; Huntly, 2005)"},"properties":{"noteIndex":0},"schema":"https://github.com/citation-style-language/schema/raw/master/csl-citation.json"}</w:instrText>
      </w:r>
      <w:r w:rsidR="008802D8">
        <w:fldChar w:fldCharType="separate"/>
      </w:r>
      <w:r w:rsidR="008802D8" w:rsidRPr="008802D8">
        <w:rPr>
          <w:noProof/>
        </w:rPr>
        <w:t>(Bradbury &amp; Vehrencamp, 1998; Hayes &amp; Huntly, 2005)</w:t>
      </w:r>
      <w:r w:rsidR="008802D8">
        <w:fldChar w:fldCharType="end"/>
      </w:r>
      <w:r w:rsidR="008802D8">
        <w:t xml:space="preserve">, and therefore may affect the ability of prey animals to hear predators. The island is known for its strong trade-winds </w:t>
      </w:r>
      <w:r w:rsidR="008802D8">
        <w:fldChar w:fldCharType="begin" w:fldLock="1"/>
      </w:r>
      <w:r w:rsidR="008802D8">
        <w:instrText>ADDIN CSL_CITATION {"citationItems":[{"id":"ITEM-1","itemData":{"author":[{"dropping-particle":"","family":"Marzol Jaén","given":"M.V.","non-dropping-particle":"","parse-names":false,"suffix":""}],"id":"ITEM-1","issued":{"date-parts":[["1988"]]},"publisher":"Servicio de Publicaciones de la Caja General de Ahorro de Canarias.","publisher-place":"Santa Cruz de Tenerife","title":"La Lluvia: un recurso natural para Canarias [The Rain: a natural resource for the Canaries].","type":"book"},"uris":["http://www.mendeley.com/documents/?uuid=1c4711d8-95b6-43d3-ab49-eb91dc63640e"]}],"mendeley":{"formattedCitation":"(Marzol Jaén, 1988)","plainTextFormattedCitation":"(Marzol Jaén, 1988)","previouslyFormattedCitation":"(Marzol Jaén, 1988)"},"properties":{"noteIndex":0},"schema":"https://github.com/citation-style-language/schema/raw/master/csl-citation.json"}</w:instrText>
      </w:r>
      <w:r w:rsidR="008802D8">
        <w:fldChar w:fldCharType="separate"/>
      </w:r>
      <w:r w:rsidR="008802D8" w:rsidRPr="00FB2B64">
        <w:rPr>
          <w:noProof/>
        </w:rPr>
        <w:t>(Marzol Jaén, 1988)</w:t>
      </w:r>
      <w:r w:rsidR="008802D8">
        <w:fldChar w:fldCharType="end"/>
      </w:r>
      <w:r w:rsidR="008802D8">
        <w:t xml:space="preserve">, with an average wind speed during our field work of 16.4 km/h. However, wind did not affect individual vigilance levels in our focal follows, </w:t>
      </w:r>
      <w:r w:rsidR="0074622E">
        <w:t xml:space="preserve">suggesting </w:t>
      </w:r>
      <w:r w:rsidR="008802D8">
        <w:t xml:space="preserve">that wind </w:t>
      </w:r>
      <w:r w:rsidR="0074622E">
        <w:t xml:space="preserve">does not have a large </w:t>
      </w:r>
      <w:r w:rsidR="005247A3">
        <w:t>effect</w:t>
      </w:r>
      <w:r w:rsidR="008802D8">
        <w:t xml:space="preserve"> </w:t>
      </w:r>
      <w:r w:rsidR="0074622E">
        <w:t xml:space="preserve">on </w:t>
      </w:r>
      <w:r w:rsidR="008802D8">
        <w:t xml:space="preserve">vigilance in Barbary ground squirrels. </w:t>
      </w:r>
    </w:p>
    <w:p w14:paraId="69E4DA6C" w14:textId="697563C4" w:rsidR="00337C4D" w:rsidRDefault="002C15B6" w:rsidP="00F73F32">
      <w:pPr>
        <w:pStyle w:val="NoSpacing"/>
        <w:spacing w:line="480" w:lineRule="auto"/>
        <w:ind w:firstLine="720"/>
      </w:pPr>
      <w:r>
        <w:t>Another explanation</w:t>
      </w:r>
      <w:r w:rsidR="008D241A">
        <w:t xml:space="preserve"> for the absence of a group-size effect on the level of vigilance</w:t>
      </w:r>
      <w:r>
        <w:t xml:space="preserve"> is that</w:t>
      </w:r>
      <w:r w:rsidR="00337C4D">
        <w:t xml:space="preserve"> </w:t>
      </w:r>
      <w:r w:rsidR="0013053C" w:rsidRPr="004770A6">
        <w:t>individuals may not only monitor for predators, but also</w:t>
      </w:r>
      <w:r w:rsidR="0013053C" w:rsidRPr="001E43B3">
        <w:t xml:space="preserve"> </w:t>
      </w:r>
      <w:r w:rsidR="00774E71">
        <w:t>their group members, i.e., social vigilance</w:t>
      </w:r>
      <w:r w:rsidR="0013053C" w:rsidRPr="001E43B3">
        <w:t xml:space="preserve"> (Bekoff</w:t>
      </w:r>
      <w:r w:rsidR="00AC3844">
        <w:t>,</w:t>
      </w:r>
      <w:r w:rsidR="0013053C" w:rsidRPr="001E43B3">
        <w:t xml:space="preserve"> 1995</w:t>
      </w:r>
      <w:r w:rsidR="00AC3844">
        <w:t>;</w:t>
      </w:r>
      <w:r w:rsidR="0013053C" w:rsidRPr="001E43B3">
        <w:t xml:space="preserve"> Lima</w:t>
      </w:r>
      <w:r w:rsidR="00AC3844">
        <w:t>,</w:t>
      </w:r>
      <w:r w:rsidR="0013053C" w:rsidRPr="001E43B3">
        <w:t xml:space="preserve"> 1995</w:t>
      </w:r>
      <w:r w:rsidR="00AC3844">
        <w:t>;</w:t>
      </w:r>
      <w:r w:rsidR="0013053C" w:rsidRPr="001E43B3">
        <w:t xml:space="preserve"> Fer</w:t>
      </w:r>
      <w:r w:rsidR="0013053C" w:rsidRPr="00733907">
        <w:t>nández-Juricic</w:t>
      </w:r>
      <w:r w:rsidR="00AC3844">
        <w:t>,</w:t>
      </w:r>
      <w:r w:rsidR="0013053C" w:rsidRPr="00733907">
        <w:t xml:space="preserve"> et al.</w:t>
      </w:r>
      <w:r w:rsidR="00AC3844">
        <w:t>,</w:t>
      </w:r>
      <w:r w:rsidR="0013053C" w:rsidRPr="00733907">
        <w:t xml:space="preserve"> 2005</w:t>
      </w:r>
      <w:r w:rsidR="00AC3844">
        <w:t>;</w:t>
      </w:r>
      <w:r w:rsidR="0013053C" w:rsidRPr="00733907">
        <w:t xml:space="preserve"> Favreau et al.</w:t>
      </w:r>
      <w:r w:rsidR="00AC3844">
        <w:t>,</w:t>
      </w:r>
      <w:r w:rsidR="0013053C" w:rsidRPr="00733907">
        <w:t xml:space="preserve"> 2010</w:t>
      </w:r>
      <w:r w:rsidR="00AC3844">
        <w:t>;</w:t>
      </w:r>
      <w:r w:rsidR="0013053C" w:rsidRPr="00733907">
        <w:t xml:space="preserve"> Beauchamp</w:t>
      </w:r>
      <w:r w:rsidR="00AC3844">
        <w:t>,</w:t>
      </w:r>
      <w:r w:rsidR="0013053C" w:rsidRPr="00733907">
        <w:t xml:space="preserve"> 2013).</w:t>
      </w:r>
      <w:r w:rsidR="0013053C" w:rsidRPr="00ED413F">
        <w:t xml:space="preserve"> Unfortunately, we cannot disentangle predator from social vigilance in our study, because we did not take gaze </w:t>
      </w:r>
      <w:r w:rsidR="009F3022">
        <w:t xml:space="preserve">or head </w:t>
      </w:r>
      <w:r w:rsidR="0013053C" w:rsidRPr="00ED413F">
        <w:t>direction in consideration. However, gaze direction would have been difficult to tell apart due to the eye position of Barbary ground squirrels, as is seen in Gunnison's prairie dogs (</w:t>
      </w:r>
      <w:r w:rsidR="0013053C" w:rsidRPr="001731ED">
        <w:rPr>
          <w:i/>
        </w:rPr>
        <w:t>Cynomys gunnisoni</w:t>
      </w:r>
      <w:r w:rsidR="0013053C" w:rsidRPr="00ED413F">
        <w:t>, Hirschler et al.</w:t>
      </w:r>
      <w:r w:rsidR="00AC3844">
        <w:t>,</w:t>
      </w:r>
      <w:r w:rsidR="0013053C" w:rsidRPr="00ED413F">
        <w:t xml:space="preserve"> 2016).</w:t>
      </w:r>
    </w:p>
    <w:p w14:paraId="2CE65E8F" w14:textId="17610B04" w:rsidR="00666C6A" w:rsidRDefault="001E77A9" w:rsidP="00666C6A">
      <w:pPr>
        <w:pStyle w:val="NoSpacing"/>
        <w:spacing w:line="480" w:lineRule="auto"/>
        <w:ind w:firstLine="720"/>
        <w:rPr>
          <w:rFonts w:ascii="Segoe UI" w:hAnsi="Segoe UI" w:cs="Segoe UI"/>
          <w:color w:val="000000"/>
          <w:sz w:val="20"/>
          <w:szCs w:val="20"/>
        </w:rPr>
      </w:pPr>
      <w:r>
        <w:t>In addition</w:t>
      </w:r>
      <w:r w:rsidR="00AD2DB5">
        <w:t xml:space="preserve"> to monitoring group members </w:t>
      </w:r>
      <w:r w:rsidR="003B74D0">
        <w:t>and scanning for</w:t>
      </w:r>
      <w:r w:rsidR="00AD2DB5">
        <w:t xml:space="preserve"> predators</w:t>
      </w:r>
      <w:r w:rsidR="00337C4D">
        <w:t xml:space="preserve">, </w:t>
      </w:r>
      <w:r w:rsidR="00337C4D" w:rsidRPr="00E226AF">
        <w:rPr>
          <w:color w:val="000000"/>
        </w:rPr>
        <w:t>private information may be</w:t>
      </w:r>
      <w:r w:rsidR="002C7379" w:rsidRPr="00E226AF">
        <w:rPr>
          <w:color w:val="000000"/>
        </w:rPr>
        <w:t xml:space="preserve"> more valuable than public information</w:t>
      </w:r>
      <w:r w:rsidR="003B74D0" w:rsidRPr="00E226AF">
        <w:rPr>
          <w:color w:val="000000"/>
        </w:rPr>
        <w:t>, which can explain the absence of a group-size effect</w:t>
      </w:r>
      <w:r w:rsidR="005F4B86" w:rsidRPr="00E226AF">
        <w:rPr>
          <w:color w:val="000000"/>
        </w:rPr>
        <w:t>. Public information is often used in</w:t>
      </w:r>
      <w:r w:rsidR="00113A25" w:rsidRPr="00E226AF">
        <w:rPr>
          <w:color w:val="000000"/>
        </w:rPr>
        <w:t xml:space="preserve"> social foraging species, where individuals use information </w:t>
      </w:r>
      <w:r w:rsidR="008850F2" w:rsidRPr="00E226AF">
        <w:rPr>
          <w:color w:val="000000"/>
        </w:rPr>
        <w:t xml:space="preserve">from </w:t>
      </w:r>
      <w:r w:rsidR="00113A25" w:rsidRPr="00E226AF">
        <w:rPr>
          <w:color w:val="000000"/>
        </w:rPr>
        <w:t xml:space="preserve">group members </w:t>
      </w:r>
      <w:r w:rsidR="008850F2" w:rsidRPr="00E226AF">
        <w:rPr>
          <w:color w:val="000000"/>
        </w:rPr>
        <w:t>to assess their environment, e.g.,</w:t>
      </w:r>
      <w:r w:rsidR="00113A25" w:rsidRPr="00E226AF">
        <w:rPr>
          <w:color w:val="000000"/>
        </w:rPr>
        <w:t xml:space="preserve"> food patch quality </w:t>
      </w:r>
      <w:r w:rsidR="00113A25" w:rsidRPr="00E226AF">
        <w:rPr>
          <w:color w:val="000000"/>
        </w:rPr>
        <w:fldChar w:fldCharType="begin" w:fldLock="1"/>
      </w:r>
      <w:r w:rsidR="007C7EDC">
        <w:rPr>
          <w:color w:val="000000"/>
        </w:rPr>
        <w:instrText>ADDIN CSL_CITATION {"citationItems":[{"id":"ITEM-1","itemData":{"author":[{"dropping-particle":"","family":"Valone","given":"Thomas J","non-dropping-particle":"","parse-names":false,"suffix":""}],"container-title":"Oikos","id":"ITEM-1","issue":"3","issued":{"date-parts":[["1989"]]},"page":"357-363","title":"Group foraging, public information, and patch estimation","type":"article-journal","volume":"56"},"uris":["http://www.mendeley.com/documents/?uuid=2d3afb3b-818b-4f19-94af-4a68763515d5"]}],"mendeley":{"formattedCitation":"(Valone, 1989)","plainTextFormattedCitation":"(Valone, 1989)","previouslyFormattedCitation":"(Valone, 1989)"},"properties":{"noteIndex":0},"schema":"https://github.com/citation-style-language/schema/raw/master/csl-citation.json"}</w:instrText>
      </w:r>
      <w:r w:rsidR="00113A25" w:rsidRPr="00E226AF">
        <w:rPr>
          <w:color w:val="000000"/>
        </w:rPr>
        <w:fldChar w:fldCharType="separate"/>
      </w:r>
      <w:r w:rsidR="00FB2B64" w:rsidRPr="00E226AF">
        <w:rPr>
          <w:noProof/>
          <w:color w:val="000000"/>
        </w:rPr>
        <w:t>(Valone, 1989)</w:t>
      </w:r>
      <w:r w:rsidR="00113A25" w:rsidRPr="00E226AF">
        <w:rPr>
          <w:color w:val="000000"/>
        </w:rPr>
        <w:fldChar w:fldCharType="end"/>
      </w:r>
      <w:r w:rsidR="009A406B" w:rsidRPr="00E226AF">
        <w:rPr>
          <w:color w:val="000000"/>
        </w:rPr>
        <w:t xml:space="preserve">. </w:t>
      </w:r>
      <w:r w:rsidR="003D6964" w:rsidRPr="00E226AF">
        <w:rPr>
          <w:color w:val="000000"/>
        </w:rPr>
        <w:t>If</w:t>
      </w:r>
      <w:r w:rsidR="009A406B" w:rsidRPr="00E226AF">
        <w:rPr>
          <w:color w:val="000000"/>
        </w:rPr>
        <w:t xml:space="preserve"> </w:t>
      </w:r>
      <w:r w:rsidR="00FB2B64" w:rsidRPr="00E226AF">
        <w:rPr>
          <w:color w:val="000000"/>
        </w:rPr>
        <w:t>one’s</w:t>
      </w:r>
      <w:r w:rsidR="008850F2" w:rsidRPr="00E226AF">
        <w:rPr>
          <w:color w:val="000000"/>
        </w:rPr>
        <w:t xml:space="preserve"> </w:t>
      </w:r>
      <w:r w:rsidR="009A406B" w:rsidRPr="00E226AF">
        <w:rPr>
          <w:color w:val="000000"/>
        </w:rPr>
        <w:t xml:space="preserve">own experience </w:t>
      </w:r>
      <w:r w:rsidR="008850F2" w:rsidRPr="00E226AF">
        <w:rPr>
          <w:color w:val="000000"/>
        </w:rPr>
        <w:t>with</w:t>
      </w:r>
      <w:r w:rsidR="009A406B" w:rsidRPr="00E226AF">
        <w:rPr>
          <w:color w:val="000000"/>
        </w:rPr>
        <w:t xml:space="preserve"> food patch quality, i.e., private information </w:t>
      </w:r>
      <w:r w:rsidR="009A406B" w:rsidRPr="00E226AF">
        <w:rPr>
          <w:color w:val="000000"/>
        </w:rPr>
        <w:fldChar w:fldCharType="begin" w:fldLock="1"/>
      </w:r>
      <w:r w:rsidR="007C7EDC">
        <w:rPr>
          <w:color w:val="000000"/>
        </w:rPr>
        <w:instrText>ADDIN CSL_CITATION {"citationItems":[{"id":"ITEM-1","itemData":{"DOI":"10.1016/j.tree.2005.01.010","ISBN":"0169-5347","ISSN":"01695347","PMID":"16701367","abstract":"Information is a crucial currency for animals from both a behavioural and evolutionary perspective. Adaptive behaviour relies upon accurate estimation of relevant ecological parameters; the better informed an individual, the better it can develop and adjust its behaviour to meet the demands of a variable world. Here, we focus on the burgeoning interest in the impact of ecological uncertainty on adaptation, and the means by which it can be reduced by gathering information, from both 'passive' and 'responsive' sources. Our overview demonstrates the value of adopting an explicitly informational approach, and highlights the components that one needs to develop useful approaches to studying information use by animals. We propose a quantitative framework, based on statistical decision theory, for analysing animal information use in evolutionary ecology. Our purpose is to promote an integrative approach to studying information use by animals, which is itself integral to adaptive animal behaviour and organismal biology. © 2005 Elsevier Ltd. All rights reserved.","author":[{"dropping-particle":"","family":"Dall","given":"Sasha R.X.","non-dropping-particle":"","parse-names":false,"suffix":""},{"dropping-particle":"","family":"Giraldeau","given":"Luc Alain","non-dropping-particle":"","parse-names":false,"suffix":""},{"dropping-particle":"","family":"Olsson","given":"Ola","non-dropping-particle":"","parse-names":false,"suffix":""},{"dropping-particle":"","family":"McNamara","given":"John M.","non-dropping-particle":"","parse-names":false,"suffix":""},{"dropping-particle":"","family":"Stephens","given":"David W.","non-dropping-particle":"","parse-names":false,"suffix":""}],"container-title":"Trends in Ecology and Evolution","id":"ITEM-1","issue":"4","issued":{"date-parts":[["2005"]]},"page":"187-193","title":"Information and its use by animals in evolutionary ecology","type":"article-journal","volume":"20"},"uris":["http://www.mendeley.com/documents/?uuid=01fa02e3-8e73-4fdf-8b1d-3306a58d0524"]}],"mendeley":{"formattedCitation":"(Dall, Giraldeau, Olsson, McNamara, &amp; Stephens, 2005)","plainTextFormattedCitation":"(Dall, Giraldeau, Olsson, McNamara, &amp; Stephens, 2005)","previouslyFormattedCitation":"(Dall, Giraldeau, Olsson, McNamara, &amp; Stephens, 2005)"},"properties":{"noteIndex":0},"schema":"https://github.com/citation-style-language/schema/raw/master/csl-citation.json"}</w:instrText>
      </w:r>
      <w:r w:rsidR="009A406B" w:rsidRPr="00E226AF">
        <w:rPr>
          <w:color w:val="000000"/>
        </w:rPr>
        <w:fldChar w:fldCharType="separate"/>
      </w:r>
      <w:r w:rsidR="00FB2B64" w:rsidRPr="00E226AF">
        <w:rPr>
          <w:noProof/>
          <w:color w:val="000000"/>
        </w:rPr>
        <w:t>(Dall, Giraldeau, Olsson, McNamara, &amp; Stephens, 2005)</w:t>
      </w:r>
      <w:r w:rsidR="009A406B" w:rsidRPr="00E226AF">
        <w:rPr>
          <w:color w:val="000000"/>
        </w:rPr>
        <w:fldChar w:fldCharType="end"/>
      </w:r>
      <w:r w:rsidR="00086EBD" w:rsidRPr="00E226AF">
        <w:rPr>
          <w:color w:val="000000"/>
        </w:rPr>
        <w:t>,</w:t>
      </w:r>
      <w:r w:rsidR="009A406B" w:rsidRPr="00E226AF">
        <w:rPr>
          <w:color w:val="000000"/>
        </w:rPr>
        <w:t xml:space="preserve"> </w:t>
      </w:r>
      <w:r w:rsidR="009A406B" w:rsidRPr="00E226AF">
        <w:rPr>
          <w:color w:val="000000"/>
        </w:rPr>
        <w:lastRenderedPageBreak/>
        <w:t>is more beneficial than observing group members</w:t>
      </w:r>
      <w:r w:rsidR="008850F2" w:rsidRPr="00E226AF">
        <w:rPr>
          <w:color w:val="000000"/>
        </w:rPr>
        <w:t>,</w:t>
      </w:r>
      <w:r w:rsidR="009A406B" w:rsidRPr="00E226AF">
        <w:rPr>
          <w:color w:val="000000"/>
        </w:rPr>
        <w:t xml:space="preserve"> </w:t>
      </w:r>
      <w:r w:rsidR="008F3B69" w:rsidRPr="00E226AF">
        <w:rPr>
          <w:color w:val="000000"/>
        </w:rPr>
        <w:t>then the group</w:t>
      </w:r>
      <w:r w:rsidR="008D241A" w:rsidRPr="00E226AF">
        <w:rPr>
          <w:color w:val="000000"/>
        </w:rPr>
        <w:t>-</w:t>
      </w:r>
      <w:r w:rsidR="008F3B69" w:rsidRPr="00E226AF">
        <w:rPr>
          <w:color w:val="000000"/>
        </w:rPr>
        <w:t xml:space="preserve">size effect may be absent. </w:t>
      </w:r>
      <w:r w:rsidR="00DA26DD" w:rsidRPr="00E226AF">
        <w:rPr>
          <w:color w:val="000000"/>
        </w:rPr>
        <w:t>V</w:t>
      </w:r>
      <w:r w:rsidR="00DD3BEC" w:rsidRPr="00E226AF">
        <w:rPr>
          <w:color w:val="000000"/>
        </w:rPr>
        <w:t xml:space="preserve">igilance in eastern grey kangaroo is used both in social and antipredator </w:t>
      </w:r>
      <w:r w:rsidR="00DA26DD" w:rsidRPr="00E226AF">
        <w:rPr>
          <w:color w:val="000000"/>
        </w:rPr>
        <w:t>context</w:t>
      </w:r>
      <w:r w:rsidR="008850F2" w:rsidRPr="00E226AF">
        <w:rPr>
          <w:color w:val="000000"/>
        </w:rPr>
        <w:t>s.</w:t>
      </w:r>
      <w:r w:rsidR="004A508E" w:rsidRPr="00E226AF">
        <w:rPr>
          <w:color w:val="000000"/>
        </w:rPr>
        <w:t xml:space="preserve"> When patch quality </w:t>
      </w:r>
      <w:r w:rsidR="008850F2" w:rsidRPr="00E226AF">
        <w:rPr>
          <w:color w:val="000000"/>
        </w:rPr>
        <w:t xml:space="preserve">is </w:t>
      </w:r>
      <w:r w:rsidR="004A508E" w:rsidRPr="00E226AF">
        <w:rPr>
          <w:color w:val="000000"/>
        </w:rPr>
        <w:t xml:space="preserve">rich, social low-quality vigilance </w:t>
      </w:r>
      <w:r w:rsidR="008850F2" w:rsidRPr="00E226AF">
        <w:rPr>
          <w:color w:val="000000"/>
        </w:rPr>
        <w:t>increases</w:t>
      </w:r>
      <w:r w:rsidR="004A508E" w:rsidRPr="00E226AF">
        <w:rPr>
          <w:color w:val="000000"/>
        </w:rPr>
        <w:t>, but</w:t>
      </w:r>
      <w:r w:rsidR="00297388" w:rsidRPr="00E226AF">
        <w:rPr>
          <w:color w:val="000000"/>
        </w:rPr>
        <w:t xml:space="preserve"> when food patch quality </w:t>
      </w:r>
      <w:r w:rsidR="008850F2" w:rsidRPr="00E226AF">
        <w:rPr>
          <w:color w:val="000000"/>
        </w:rPr>
        <w:t xml:space="preserve">is </w:t>
      </w:r>
      <w:r w:rsidR="00297388" w:rsidRPr="00E226AF">
        <w:rPr>
          <w:color w:val="000000"/>
        </w:rPr>
        <w:t>poor,</w:t>
      </w:r>
      <w:r w:rsidR="004A508E" w:rsidRPr="00E226AF">
        <w:rPr>
          <w:color w:val="000000"/>
        </w:rPr>
        <w:t xml:space="preserve"> </w:t>
      </w:r>
      <w:r w:rsidR="00297388" w:rsidRPr="00E226AF">
        <w:rPr>
          <w:color w:val="000000"/>
        </w:rPr>
        <w:t xml:space="preserve">antipredator low-quality vigilance </w:t>
      </w:r>
      <w:r w:rsidR="008850F2" w:rsidRPr="00E226AF">
        <w:rPr>
          <w:color w:val="000000"/>
        </w:rPr>
        <w:t xml:space="preserve">decreases </w:t>
      </w:r>
      <w:r w:rsidR="00DD3BEC" w:rsidRPr="00E226AF">
        <w:rPr>
          <w:color w:val="000000"/>
        </w:rPr>
        <w:fldChar w:fldCharType="begin" w:fldLock="1"/>
      </w:r>
      <w:r w:rsidR="007C7EDC">
        <w:rPr>
          <w:color w:val="000000"/>
        </w:rPr>
        <w:instrText>ADDIN CSL_CITATION {"citationItems":[{"id":"ITEM-1","itemData":{"DOI":"10.1016/j.anbehav.2014.11.001","ISBN":"00033472","ISSN":"00033472","abstract":"Vigilance in prey species can serve many purposes, including predator detection and monitoring other group members, and is generally thought to impose a cost due to reduced food intake. However, previous studies have shown that herbivores are able to reduce the foraging cost of vigilance by chewing their food during vigilance bouts ('vigilance with chewing', as compared to 'vigilance without chewing'). How predation risk, food availability and competition affect both the functions and the foraging costs of vigilance remains an open question. We studied female eastern grey kangaroos, Macropus giganteus, during winter and summer, when available food supplies were poor and rich, respectively, to investigate how group size, distance to cover, proximity between foragers and food patch quality affected decisions of foraging female kangaroos to exhibit antipredator or social vigilance, distinguishing vigilance with and without chewing. The use of antipredator vigilance was mainly driven by the perception of predation risk, and antipredator vigilance without chewing decreased with increased group size whereas antipredator vigilance with chewing increased nonlinearly with group size in winter. Distance to cover affected both forms of antipredator vigilance in summer only but there was no effect of nearest-neighbour distance. Social vigilance was affected positively by group size, and distance between foragers affected social vigilance without chewing positively, particularly in winter, and social vigilance with chewing negatively. Finally, patch quality increased the use of social vigilance with chewing in both seasons and decreased the use of antipredator vigilance with chewing in winter. This study provides new information on how animals make decisions about the functions and foraging costs of vigilance and allows a better understanding of how social foragers respond to an ever-changing environment.","author":[{"dropping-particle":"","family":"Favreau","given":"François-René","non-dropping-particle":"","parse-names":false,"suffix":""},{"dropping-particle":"","family":"Pays","given":"Olivier","non-dropping-particle":"","parse-names":false,"suffix":""},{"dropping-particle":"","family":"Fritz","given":"Hervé","non-dropping-particle":"","parse-names":false,"suffix":""},{"dropping-particle":"","family":"Goulard","given":"Michel","non-dropping-particle":"","parse-names":false,"suffix":""},{"dropping-particle":"","family":"Best","given":"Emily C.","non-dropping-particle":"","parse-names":false,"suffix":""},{"dropping-particle":"","family":"Goldizen","given":"Anne W.","non-dropping-particle":"","parse-names":false,"suffix":""}],"container-title":"Animal Behaviour","id":"ITEM-1","issued":{"date-parts":[["2015"]]},"page":"109-121","title":"Predators, food and social context shape the types of vigilance exhibited by kangaroos","type":"article-journal","volume":"99"},"uris":["http://www.mendeley.com/documents/?uuid=7eb2fe81-3f91-4cc8-a7a6-61cb4438d4ca"]}],"mendeley":{"formattedCitation":"(Favreau et al., 2015)","manualFormatting":"(Favreau et al., 2015)","plainTextFormattedCitation":"(Favreau et al., 2015)","previouslyFormattedCitation":"(Favreau et al., 2015)"},"properties":{"noteIndex":0},"schema":"https://github.com/citation-style-language/schema/raw/master/csl-citation.json"}</w:instrText>
      </w:r>
      <w:r w:rsidR="00DD3BEC" w:rsidRPr="00E226AF">
        <w:rPr>
          <w:color w:val="000000"/>
        </w:rPr>
        <w:fldChar w:fldCharType="separate"/>
      </w:r>
      <w:r w:rsidR="006474A1" w:rsidRPr="00E226AF">
        <w:rPr>
          <w:noProof/>
          <w:color w:val="000000"/>
        </w:rPr>
        <w:t>(</w:t>
      </w:r>
      <w:r w:rsidR="00FB2B64" w:rsidRPr="00E226AF">
        <w:rPr>
          <w:noProof/>
          <w:color w:val="000000"/>
        </w:rPr>
        <w:t>Favreau et al., 2015)</w:t>
      </w:r>
      <w:r w:rsidR="00DD3BEC" w:rsidRPr="00E226AF">
        <w:rPr>
          <w:color w:val="000000"/>
        </w:rPr>
        <w:fldChar w:fldCharType="end"/>
      </w:r>
      <w:r w:rsidR="00297388" w:rsidRPr="00E226AF">
        <w:rPr>
          <w:color w:val="000000"/>
        </w:rPr>
        <w:t>.</w:t>
      </w:r>
      <w:r w:rsidR="002C15B6" w:rsidRPr="00E226AF">
        <w:rPr>
          <w:color w:val="000000"/>
        </w:rPr>
        <w:t xml:space="preserve"> </w:t>
      </w:r>
      <w:r w:rsidR="00B0075E">
        <w:t>T</w:t>
      </w:r>
      <w:r w:rsidR="002C15B6" w:rsidRPr="00E226AF">
        <w:rPr>
          <w:color w:val="000000"/>
        </w:rPr>
        <w:t>he dilution and detection hypotheses were supported in that study, because individual high-quality vigilance decreased with increasing group size</w:t>
      </w:r>
      <w:r w:rsidR="008850F2" w:rsidRPr="00E226AF">
        <w:rPr>
          <w:color w:val="000000"/>
        </w:rPr>
        <w:t xml:space="preserve">. </w:t>
      </w:r>
      <w:r w:rsidR="002C15B6" w:rsidRPr="00E226AF">
        <w:rPr>
          <w:color w:val="000000"/>
        </w:rPr>
        <w:t xml:space="preserve">However, individual low-quality vigilance increased with increasing group size when food patch quality was poor </w:t>
      </w:r>
      <w:r w:rsidR="002C15B6" w:rsidRPr="00E226AF">
        <w:rPr>
          <w:color w:val="000000"/>
        </w:rPr>
        <w:fldChar w:fldCharType="begin" w:fldLock="1"/>
      </w:r>
      <w:r w:rsidR="007C7EDC">
        <w:rPr>
          <w:color w:val="000000"/>
        </w:rPr>
        <w:instrText>ADDIN CSL_CITATION {"citationItems":[{"id":"ITEM-1","itemData":{"DOI":"10.1016/j.anbehav.2014.11.001","ISBN":"00033472","ISSN":"00033472","abstract":"Vigilance in prey species can serve many purposes, including predator detection and monitoring other group members, and is generally thought to impose a cost due to reduced food intake. However, previous studies have shown that herbivores are able to reduce the foraging cost of vigilance by chewing their food during vigilance bouts ('vigilance with chewing', as compared to 'vigilance without chewing'). How predation risk, food availability and competition affect both the functions and the foraging costs of vigilance remains an open question. We studied female eastern grey kangaroos, Macropus giganteus, during winter and summer, when available food supplies were poor and rich, respectively, to investigate how group size, distance to cover, proximity between foragers and food patch quality affected decisions of foraging female kangaroos to exhibit antipredator or social vigilance, distinguishing vigilance with and without chewing. The use of antipredator vigilance was mainly driven by the perception of predation risk, and antipredator vigilance without chewing decreased with increased group size whereas antipredator vigilance with chewing increased nonlinearly with group size in winter. Distance to cover affected both forms of antipredator vigilance in summer only but there was no effect of nearest-neighbour distance. Social vigilance was affected positively by group size, and distance between foragers affected social vigilance without chewing positively, particularly in winter, and social vigilance with chewing negatively. Finally, patch quality increased the use of social vigilance with chewing in both seasons and decreased the use of antipredator vigilance with chewing in winter. This study provides new information on how animals make decisions about the functions and foraging costs of vigilance and allows a better understanding of how social foragers respond to an ever-changing environment.","author":[{"dropping-particle":"","family":"Favreau","given":"François-René","non-dropping-particle":"","parse-names":false,"suffix":""},{"dropping-particle":"","family":"Pays","given":"Olivier","non-dropping-particle":"","parse-names":false,"suffix":""},{"dropping-particle":"","family":"Fritz","given":"Hervé","non-dropping-particle":"","parse-names":false,"suffix":""},{"dropping-particle":"","family":"Goulard","given":"Michel","non-dropping-particle":"","parse-names":false,"suffix":""},{"dropping-particle":"","family":"Best","given":"Emily C.","non-dropping-particle":"","parse-names":false,"suffix":""},{"dropping-particle":"","family":"Goldizen","given":"Anne W.","non-dropping-particle":"","parse-names":false,"suffix":""}],"container-title":"Animal Behaviour","id":"ITEM-1","issued":{"date-parts":[["2015"]]},"page":"109-121","title":"Predators, food and social context shape the types of vigilance exhibited by kangaroos","type":"article-journal","volume":"99"},"uris":["http://www.mendeley.com/documents/?uuid=7eb2fe81-3f91-4cc8-a7a6-61cb4438d4ca"]}],"mendeley":{"formattedCitation":"(Favreau et al., 2015)","manualFormatting":"(Favreau et al., 2015)","plainTextFormattedCitation":"(Favreau et al., 2015)","previouslyFormattedCitation":"(Favreau et al., 2015)"},"properties":{"noteIndex":0},"schema":"https://github.com/citation-style-language/schema/raw/master/csl-citation.json"}</w:instrText>
      </w:r>
      <w:r w:rsidR="002C15B6" w:rsidRPr="00E226AF">
        <w:rPr>
          <w:color w:val="000000"/>
        </w:rPr>
        <w:fldChar w:fldCharType="separate"/>
      </w:r>
      <w:r w:rsidR="00FB2B64" w:rsidRPr="00E226AF">
        <w:rPr>
          <w:noProof/>
          <w:color w:val="000000"/>
        </w:rPr>
        <w:t>(Favreau et al., 2015)</w:t>
      </w:r>
      <w:r w:rsidR="002C15B6" w:rsidRPr="00E226AF">
        <w:rPr>
          <w:color w:val="000000"/>
        </w:rPr>
        <w:fldChar w:fldCharType="end"/>
      </w:r>
      <w:r w:rsidR="002C15B6" w:rsidRPr="00E226AF">
        <w:rPr>
          <w:color w:val="000000"/>
        </w:rPr>
        <w:t>. This</w:t>
      </w:r>
      <w:r w:rsidR="00854B48" w:rsidRPr="00E226AF">
        <w:rPr>
          <w:color w:val="000000"/>
        </w:rPr>
        <w:t xml:space="preserve"> </w:t>
      </w:r>
      <w:r w:rsidR="008D241A" w:rsidRPr="00E226AF">
        <w:rPr>
          <w:color w:val="000000"/>
        </w:rPr>
        <w:t xml:space="preserve">latter </w:t>
      </w:r>
      <w:r w:rsidR="00854B48" w:rsidRPr="00E226AF">
        <w:rPr>
          <w:color w:val="000000"/>
        </w:rPr>
        <w:t>study</w:t>
      </w:r>
      <w:r w:rsidR="002C15B6" w:rsidRPr="00E226AF">
        <w:rPr>
          <w:color w:val="000000"/>
        </w:rPr>
        <w:t xml:space="preserve"> shows that the relationship between vigilance and group size is not straightforward. </w:t>
      </w:r>
      <w:r w:rsidR="00666C6A" w:rsidRPr="00E226AF">
        <w:rPr>
          <w:color w:val="000000"/>
        </w:rPr>
        <w:t xml:space="preserve">Information gained either privately or publicly on patch quality may </w:t>
      </w:r>
      <w:r w:rsidR="009F3022">
        <w:rPr>
          <w:color w:val="000000"/>
        </w:rPr>
        <w:t xml:space="preserve">also </w:t>
      </w:r>
      <w:r w:rsidR="00666C6A" w:rsidRPr="00E226AF">
        <w:rPr>
          <w:color w:val="000000"/>
        </w:rPr>
        <w:t>prove important in Barbary ground squirrels</w:t>
      </w:r>
      <w:r w:rsidR="008850F2" w:rsidRPr="00E226AF">
        <w:rPr>
          <w:color w:val="000000"/>
        </w:rPr>
        <w:t>.</w:t>
      </w:r>
      <w:r w:rsidR="00666C6A" w:rsidRPr="00E226AF">
        <w:rPr>
          <w:color w:val="000000"/>
        </w:rPr>
        <w:t xml:space="preserve"> </w:t>
      </w:r>
      <w:r w:rsidR="008850F2" w:rsidRPr="00E226AF">
        <w:rPr>
          <w:color w:val="000000"/>
        </w:rPr>
        <w:t xml:space="preserve">Even </w:t>
      </w:r>
      <w:r w:rsidR="00666C6A" w:rsidRPr="00E226AF">
        <w:rPr>
          <w:color w:val="000000"/>
        </w:rPr>
        <w:t xml:space="preserve">though we performed our study in winter and spring when food resources are at </w:t>
      </w:r>
      <w:r w:rsidR="00B1114D">
        <w:rPr>
          <w:color w:val="000000"/>
        </w:rPr>
        <w:t>their</w:t>
      </w:r>
      <w:r w:rsidR="00666C6A" w:rsidRPr="00E226AF">
        <w:rPr>
          <w:color w:val="000000"/>
        </w:rPr>
        <w:t xml:space="preserve"> highest on the island, </w:t>
      </w:r>
      <w:r w:rsidR="008850F2" w:rsidRPr="00E226AF">
        <w:rPr>
          <w:color w:val="000000"/>
        </w:rPr>
        <w:t xml:space="preserve">these resources </w:t>
      </w:r>
      <w:r w:rsidR="00922C2F" w:rsidRPr="00E226AF">
        <w:rPr>
          <w:color w:val="000000"/>
        </w:rPr>
        <w:t>can</w:t>
      </w:r>
      <w:r w:rsidR="00666C6A" w:rsidRPr="00E226AF">
        <w:rPr>
          <w:color w:val="000000"/>
        </w:rPr>
        <w:t xml:space="preserve"> be clumped, especially when fig and mulberry trees </w:t>
      </w:r>
      <w:r w:rsidR="00B1114D">
        <w:rPr>
          <w:color w:val="000000"/>
        </w:rPr>
        <w:t xml:space="preserve">bear </w:t>
      </w:r>
      <w:r w:rsidR="00666C6A" w:rsidRPr="00E226AF">
        <w:rPr>
          <w:color w:val="000000"/>
        </w:rPr>
        <w:t xml:space="preserve">fruit. </w:t>
      </w:r>
      <w:r w:rsidR="006474A1" w:rsidRPr="00E226AF">
        <w:rPr>
          <w:color w:val="000000"/>
        </w:rPr>
        <w:t xml:space="preserve">Thus, the spatial distribution of </w:t>
      </w:r>
      <w:r w:rsidR="0074622E" w:rsidRPr="00E226AF">
        <w:rPr>
          <w:color w:val="000000"/>
        </w:rPr>
        <w:t>re</w:t>
      </w:r>
      <w:r w:rsidR="0074622E">
        <w:rPr>
          <w:color w:val="000000"/>
        </w:rPr>
        <w:t>s</w:t>
      </w:r>
      <w:r w:rsidR="0074622E" w:rsidRPr="00E226AF">
        <w:rPr>
          <w:color w:val="000000"/>
        </w:rPr>
        <w:t>our</w:t>
      </w:r>
      <w:r w:rsidR="0008368F">
        <w:rPr>
          <w:color w:val="000000"/>
        </w:rPr>
        <w:t>c</w:t>
      </w:r>
      <w:r w:rsidR="0074622E" w:rsidRPr="00E226AF">
        <w:rPr>
          <w:color w:val="000000"/>
        </w:rPr>
        <w:t xml:space="preserve">es </w:t>
      </w:r>
      <w:r w:rsidR="006474A1" w:rsidRPr="00E226AF">
        <w:rPr>
          <w:color w:val="000000"/>
        </w:rPr>
        <w:t>could affect foraging and consequently vigilance.</w:t>
      </w:r>
      <w:r w:rsidR="006474A1" w:rsidRPr="00E226AF">
        <w:rPr>
          <w:rFonts w:ascii="Segoe UI" w:hAnsi="Segoe UI"/>
          <w:color w:val="000000"/>
        </w:rPr>
        <w:t xml:space="preserve"> </w:t>
      </w:r>
    </w:p>
    <w:p w14:paraId="1C7D5F7E" w14:textId="551021CF" w:rsidR="005D7DD5" w:rsidRDefault="003B74D0" w:rsidP="005D7DD5">
      <w:pPr>
        <w:pStyle w:val="NoSpacing"/>
        <w:spacing w:line="480" w:lineRule="auto"/>
        <w:ind w:firstLine="720"/>
        <w:rPr>
          <w:rFonts w:ascii="Segoe UI" w:hAnsi="Segoe UI" w:cs="Segoe UI"/>
          <w:color w:val="000000"/>
          <w:sz w:val="20"/>
          <w:szCs w:val="20"/>
        </w:rPr>
      </w:pPr>
      <w:r w:rsidRPr="00E226AF">
        <w:rPr>
          <w:color w:val="000000"/>
        </w:rPr>
        <w:t>Besides the spatial distribution of resources, t</w:t>
      </w:r>
      <w:r w:rsidR="00337C4D" w:rsidRPr="00E226AF">
        <w:rPr>
          <w:color w:val="000000"/>
        </w:rPr>
        <w:t>he</w:t>
      </w:r>
      <w:r w:rsidR="00337C4D" w:rsidRPr="00BB0F14">
        <w:t xml:space="preserve"> spatial distribution of group members</w:t>
      </w:r>
      <w:r w:rsidR="00337C4D" w:rsidRPr="00E226AF">
        <w:rPr>
          <w:color w:val="000000"/>
        </w:rPr>
        <w:t xml:space="preserve"> </w:t>
      </w:r>
      <w:r w:rsidRPr="00E226AF">
        <w:rPr>
          <w:color w:val="000000"/>
        </w:rPr>
        <w:t xml:space="preserve">can be </w:t>
      </w:r>
      <w:r w:rsidR="00337C4D" w:rsidRPr="00E226AF">
        <w:rPr>
          <w:color w:val="000000"/>
        </w:rPr>
        <w:t>a</w:t>
      </w:r>
      <w:r w:rsidR="00854B48" w:rsidRPr="00E226AF">
        <w:rPr>
          <w:color w:val="000000"/>
        </w:rPr>
        <w:t>nother</w:t>
      </w:r>
      <w:r w:rsidR="00337C4D" w:rsidRPr="00E226AF">
        <w:rPr>
          <w:color w:val="000000"/>
        </w:rPr>
        <w:t xml:space="preserve"> </w:t>
      </w:r>
      <w:r w:rsidRPr="00E226AF">
        <w:rPr>
          <w:color w:val="000000"/>
        </w:rPr>
        <w:t>reason for</w:t>
      </w:r>
      <w:r w:rsidR="00337C4D" w:rsidRPr="00E226AF">
        <w:rPr>
          <w:color w:val="000000"/>
        </w:rPr>
        <w:t xml:space="preserve"> the absence of the group</w:t>
      </w:r>
      <w:r w:rsidR="008D241A" w:rsidRPr="00E226AF">
        <w:rPr>
          <w:color w:val="000000"/>
        </w:rPr>
        <w:t>-</w:t>
      </w:r>
      <w:r w:rsidR="00475A6B">
        <w:rPr>
          <w:color w:val="000000"/>
        </w:rPr>
        <w:t>size effect, because p</w:t>
      </w:r>
      <w:r w:rsidR="00475A6B">
        <w:rPr>
          <w:rFonts w:cstheme="minorHAnsi"/>
          <w:color w:val="000000"/>
        </w:rPr>
        <w:t xml:space="preserve">redators may </w:t>
      </w:r>
      <w:r w:rsidR="00475A6B" w:rsidRPr="00532F0A">
        <w:rPr>
          <w:rFonts w:cstheme="minorHAnsi"/>
          <w:color w:val="000000"/>
        </w:rPr>
        <w:t xml:space="preserve">have a preference </w:t>
      </w:r>
      <w:r w:rsidR="0074622E">
        <w:rPr>
          <w:rFonts w:cstheme="minorHAnsi"/>
          <w:color w:val="000000"/>
        </w:rPr>
        <w:t>for</w:t>
      </w:r>
      <w:r w:rsidR="0074622E" w:rsidRPr="00532F0A">
        <w:rPr>
          <w:rFonts w:cstheme="minorHAnsi"/>
          <w:color w:val="000000"/>
        </w:rPr>
        <w:t xml:space="preserve"> </w:t>
      </w:r>
      <w:r w:rsidR="00475A6B" w:rsidRPr="00532F0A">
        <w:rPr>
          <w:rFonts w:cstheme="minorHAnsi"/>
          <w:color w:val="000000"/>
        </w:rPr>
        <w:t>attack</w:t>
      </w:r>
      <w:r w:rsidR="0074622E">
        <w:rPr>
          <w:rFonts w:cstheme="minorHAnsi"/>
          <w:color w:val="000000"/>
        </w:rPr>
        <w:t>ing</w:t>
      </w:r>
      <w:r w:rsidR="00475A6B" w:rsidRPr="00532F0A">
        <w:rPr>
          <w:rFonts w:cstheme="minorHAnsi"/>
          <w:color w:val="000000"/>
        </w:rPr>
        <w:t xml:space="preserve"> peripheral individuals or </w:t>
      </w:r>
      <w:r w:rsidR="00475A6B" w:rsidRPr="00B1114D">
        <w:rPr>
          <w:rFonts w:cstheme="minorHAnsi"/>
        </w:rPr>
        <w:t xml:space="preserve">may attack </w:t>
      </w:r>
      <w:r w:rsidR="00475A6B" w:rsidRPr="00B1114D">
        <w:rPr>
          <w:rFonts w:cstheme="minorHAnsi"/>
          <w:color w:val="000000"/>
        </w:rPr>
        <w:t xml:space="preserve">larger groups disproportionately. </w:t>
      </w:r>
      <w:r w:rsidR="007C47C0">
        <w:t>S</w:t>
      </w:r>
      <w:r w:rsidR="00CB0154">
        <w:t>emipalpated sandpipers (</w:t>
      </w:r>
      <w:r w:rsidR="00CB0154" w:rsidRPr="007B3CB1">
        <w:rPr>
          <w:i/>
          <w:noProof/>
        </w:rPr>
        <w:t>Calidris pusilla</w:t>
      </w:r>
      <w:r w:rsidR="00CB0154">
        <w:rPr>
          <w:noProof/>
        </w:rPr>
        <w:t>)</w:t>
      </w:r>
      <w:r w:rsidR="00CB0154">
        <w:t xml:space="preserve"> increase their vigilance at the most risky edge of the group compared to the center or the non-risky edge of the group, because predators always arrive from a similar direction </w:t>
      </w:r>
      <w:r w:rsidR="00CB0154">
        <w:fldChar w:fldCharType="begin" w:fldLock="1"/>
      </w:r>
      <w:r w:rsidR="007C7EDC">
        <w:instrText>ADDIN CSL_CITATION {"citationItems":[{"id":"ITEM-1","itemData":{"DOI":"10.1016/j.anbehav.2007.12.016","ISBN":"00033472","ISSN":"00033472","abstract":"Collective detection and predation risk dilution are two nonexclusive mechanisms that can allow a reduction in antipredator vigilance in large animal groups. The two mechanisms make remarkably similar predictions in many contexts, and disentangling their relative contribution has proven empirically difficult thus far. We examined a situation where predators are more likely to attack from one side of the group. Provided that all foragers in the group can detect the predator equally well, the collective detection hypothesis predicts that all individuals will adopt the same vigilance level if this mechanism acted alone. In terms of risk dilution, individuals that are on the riskier side of the group, namely those on the attack side, are unlikely to benefit to the same extent as other groupmates from the presence of companions, and should have a higher level of vigilance than more buffered foragers further inside the group. We show that semipalmated sandpipers on the riskier side of flocks were more vigilant and thus pecked at a lower rate than those in the centre of the flocks and those on the less risky side. The proportion of successful pecks did not vary with spatial position within the flocks, suggesting that differences in food availability did not confound the above findings. We conclude that it is unlikely that collective detection acted alone and that risk dilution, acting alone or in combination with collective detection, shaped antipredator vigilance in an avian prey under predation risk. ?? 2008 The Association for the Study of Animal Behaviour.","author":[{"dropping-particle":"","family":"Beauchamp","given":"Guy","non-dropping-particle":"","parse-names":false,"suffix":""},{"dropping-particle":"","family":"Ruxton","given":"Graeme D.","non-dropping-particle":"","parse-names":false,"suffix":""}],"container-title":"Animal Behaviour","id":"ITEM-1","issue":"6","issued":{"date-parts":[["2008"]]},"page":"1837-1842","title":"Disentangling risk dilution and collective detection in the antipredator vigilance of semipalmated sandpipers in flocks","type":"article-journal","volume":"75"},"uris":["http://www.mendeley.com/documents/?uuid=1354f4ec-7ec3-4e4b-b43b-2c134a34601d"]}],"mendeley":{"formattedCitation":"(Beauchamp &amp; Ruxton, 2008)","manualFormatting":"(Beauchamp and Ruxton 2008)","plainTextFormattedCitation":"(Beauchamp &amp; Ruxton, 2008)","previouslyFormattedCitation":"(Beauchamp &amp; Ruxton, 2008)"},"properties":{"noteIndex":0},"schema":"https://github.com/citation-style-language/schema/raw/master/csl-citation.json"}</w:instrText>
      </w:r>
      <w:r w:rsidR="00CB0154">
        <w:fldChar w:fldCharType="separate"/>
      </w:r>
      <w:r w:rsidR="00CB0154" w:rsidRPr="00F73F32">
        <w:rPr>
          <w:noProof/>
        </w:rPr>
        <w:t>(</w:t>
      </w:r>
      <w:r w:rsidR="00CB0154" w:rsidRPr="00D83B41">
        <w:rPr>
          <w:noProof/>
        </w:rPr>
        <w:t>Beauchamp and Ruxton 2008)</w:t>
      </w:r>
      <w:r w:rsidR="00CB0154">
        <w:fldChar w:fldCharType="end"/>
      </w:r>
      <w:r w:rsidR="00CB0154">
        <w:t xml:space="preserve">. </w:t>
      </w:r>
      <w:r w:rsidR="0094267A">
        <w:t>Adult female elk (</w:t>
      </w:r>
      <w:r w:rsidR="0094267A" w:rsidRPr="00F73F32">
        <w:rPr>
          <w:i/>
        </w:rPr>
        <w:t>Cervus elaphus</w:t>
      </w:r>
      <w:r w:rsidR="0094267A">
        <w:t>)</w:t>
      </w:r>
      <w:r w:rsidR="00CB0154">
        <w:t xml:space="preserve"> increase their vigilance not only with decreasing group size</w:t>
      </w:r>
      <w:r w:rsidR="0094267A">
        <w:t xml:space="preserve">, </w:t>
      </w:r>
      <w:r w:rsidR="00B1114D">
        <w:t xml:space="preserve">but </w:t>
      </w:r>
      <w:r w:rsidR="0094267A">
        <w:t>also when</w:t>
      </w:r>
      <w:r w:rsidR="007E5124">
        <w:t xml:space="preserve"> they are</w:t>
      </w:r>
      <w:r w:rsidR="0094267A">
        <w:t xml:space="preserve"> positioned</w:t>
      </w:r>
      <w:r w:rsidR="00CB0154">
        <w:t xml:space="preserve"> at the edge</w:t>
      </w:r>
      <w:r w:rsidR="007E5124">
        <w:t xml:space="preserve"> of the group</w:t>
      </w:r>
      <w:r w:rsidR="0094267A">
        <w:t xml:space="preserve"> </w:t>
      </w:r>
      <w:r w:rsidR="0074622E">
        <w:t xml:space="preserve">where there is </w:t>
      </w:r>
      <w:r w:rsidR="002A48AD">
        <w:t>increased predation ris</w:t>
      </w:r>
      <w:r w:rsidR="00624D3D">
        <w:t xml:space="preserve">k </w:t>
      </w:r>
      <w:r w:rsidR="005F5001" w:rsidRPr="004770A6">
        <w:fldChar w:fldCharType="begin" w:fldLock="1"/>
      </w:r>
      <w:r w:rsidR="007C7EDC">
        <w:instrText>ADDIN CSL_CITATION {"citationItems":[{"id":"ITEM-1","itemData":{"DOI":"10.1093/beheco/arl066","ISBN":"1045-2249","ISSN":"10452249","abstract":"Vigilance in socially foraging animals (e.g., elk) may serve to detect predators (i.e., reduce predation risk) or to monitor the behavior of conspecifics (i.e., reduce conspecific risk and/or increase reproductive benefits). These potential benefits and costs of vigilance may not be equal among different genders and age classes foraging together.We observed male and female elk from 3 age classes (yearlings, nonreproductive, reproductive) during 2 seasons (calving season, breeding season) that vary in social interactions (i.e., conspecific risk) and in 2 regions of Yellowstone National Park that varied in predation risk due to density of wolves. This study was designed to determine the potential functional benefit of vigilance across a range of herd sizes. If vigilance serves to monitor the behavior of conspecifics, we expected it to increase in the fall breeding season along with aggressive behaviors, regardless of changes in predation risk. If vigilance serves to detect predators, we expected it to increase in regions with wolves regardless of changes in conspecific risk. Adult male vigilance and aggression increased during the fall breeding season, but yearling males had significantly lower levels of vigilance. Adult female vigilance increased during the calving season, with increasing predator encounter risk, decreasing herd size, and edge position within the herd. Yearling female vigilance decreased with herd size but was lower than adult females. We conclude that the primary benefit of vigilance for male elk is to monitor conspecifics, but the primary benefit of vigilance for female elk is to detect potential predators. Key words: elk behavior, predation risk, ungulate behavior, vigilance. [Behav","author":[{"dropping-particle":"","family":"Lung","given":"Mark A.","non-dropping-particle":"","parse-names":false,"suffix":""},{"dropping-particle":"","family":"Childress","given":"Michael J.","non-dropping-particle":"","parse-names":false,"suffix":""}],"container-title":"Behavioral Ecology","id":"ITEM-1","issue":"1","issued":{"date-parts":[["2007"]]},"page":"12-20","title":"The influence of conspecifics and predation risk on the vigilance of elk (&lt;i&gt;Cervus elaphus&lt;/i&gt;) in Yellowstone National Park","type":"article-journal","volume":"18"},"uris":["http://www.mendeley.com/documents/?uuid=a26aa7c1-cd4e-4f1f-a08f-63713ec7f5ca"]}],"mendeley":{"formattedCitation":"(Lung &amp; Childress, 2007)","plainTextFormattedCitation":"(Lung &amp; Childress, 2007)","previouslyFormattedCitation":"(Lung &amp; Childress, 2007)"},"properties":{"noteIndex":0},"schema":"https://github.com/citation-style-language/schema/raw/master/csl-citation.json"}</w:instrText>
      </w:r>
      <w:r w:rsidR="005F5001" w:rsidRPr="004770A6">
        <w:fldChar w:fldCharType="separate"/>
      </w:r>
      <w:r w:rsidR="00FB2B64" w:rsidRPr="00FB2B64">
        <w:rPr>
          <w:noProof/>
        </w:rPr>
        <w:t>(Lung &amp; Childress, 2007)</w:t>
      </w:r>
      <w:r w:rsidR="005F5001" w:rsidRPr="004770A6">
        <w:fldChar w:fldCharType="end"/>
      </w:r>
      <w:r w:rsidR="002A48AD">
        <w:t xml:space="preserve">. </w:t>
      </w:r>
      <w:r w:rsidR="00922C2F">
        <w:t>Unfortunately, we did not take the position of the squirrels in</w:t>
      </w:r>
      <w:r w:rsidR="00B1114D">
        <w:t>to</w:t>
      </w:r>
      <w:r w:rsidR="00922C2F">
        <w:t xml:space="preserve"> consideration, so we </w:t>
      </w:r>
      <w:r w:rsidR="00922C2F" w:rsidRPr="00B1114D">
        <w:rPr>
          <w:rFonts w:cstheme="minorHAnsi"/>
        </w:rPr>
        <w:t xml:space="preserve">cannot answer whether vigilance levels differ per position within the group, i.e., </w:t>
      </w:r>
      <w:r w:rsidR="008A46AE" w:rsidRPr="00B1114D">
        <w:rPr>
          <w:rFonts w:cstheme="minorHAnsi"/>
        </w:rPr>
        <w:t xml:space="preserve">if </w:t>
      </w:r>
      <w:r w:rsidR="00922C2F" w:rsidRPr="00B1114D">
        <w:rPr>
          <w:rFonts w:cstheme="minorHAnsi"/>
        </w:rPr>
        <w:t>individuals at the edge of the group perform more vigilance than central individuals.</w:t>
      </w:r>
      <w:r w:rsidR="009B7963">
        <w:rPr>
          <w:rFonts w:cstheme="minorHAnsi"/>
        </w:rPr>
        <w:t xml:space="preserve"> </w:t>
      </w:r>
      <w:r w:rsidR="0096510A" w:rsidRPr="00B1114D">
        <w:rPr>
          <w:rFonts w:cstheme="minorHAnsi"/>
          <w:color w:val="000000"/>
        </w:rPr>
        <w:t>I</w:t>
      </w:r>
      <w:r w:rsidRPr="00B1114D">
        <w:rPr>
          <w:rFonts w:cstheme="minorHAnsi"/>
          <w:color w:val="000000"/>
        </w:rPr>
        <w:t>n our study</w:t>
      </w:r>
      <w:r w:rsidR="00B1114D">
        <w:rPr>
          <w:rFonts w:cstheme="minorHAnsi"/>
          <w:color w:val="000000"/>
        </w:rPr>
        <w:t>,</w:t>
      </w:r>
      <w:r w:rsidR="005D7DD5" w:rsidRPr="00B1114D">
        <w:rPr>
          <w:rFonts w:cstheme="minorHAnsi"/>
          <w:color w:val="000000"/>
        </w:rPr>
        <w:t xml:space="preserve"> the rate of predation adjusted by the hours observed in each site did not differ, suggesting that</w:t>
      </w:r>
      <w:r w:rsidR="005D7DD5" w:rsidRPr="00DE2557">
        <w:rPr>
          <w:rFonts w:cstheme="minorHAnsi"/>
          <w:color w:val="000000"/>
        </w:rPr>
        <w:t xml:space="preserve"> habitat</w:t>
      </w:r>
      <w:r w:rsidR="005D7DD5" w:rsidRPr="00E226AF">
        <w:rPr>
          <w:color w:val="000000"/>
        </w:rPr>
        <w:t xml:space="preserve"> risk in terms of predation pressure does not explain the absence of a group</w:t>
      </w:r>
      <w:r w:rsidR="008D241A" w:rsidRPr="00E226AF">
        <w:rPr>
          <w:color w:val="000000"/>
        </w:rPr>
        <w:t>-</w:t>
      </w:r>
      <w:r w:rsidR="005D7DD5" w:rsidRPr="00E226AF">
        <w:rPr>
          <w:color w:val="000000"/>
        </w:rPr>
        <w:t xml:space="preserve">size effect. </w:t>
      </w:r>
    </w:p>
    <w:p w14:paraId="6071C370" w14:textId="26AE5C9F" w:rsidR="0013053C" w:rsidRDefault="00AE43EB" w:rsidP="0013053C">
      <w:pPr>
        <w:pStyle w:val="NoSpacing"/>
        <w:spacing w:line="480" w:lineRule="auto"/>
        <w:ind w:firstLine="720"/>
      </w:pPr>
      <w:r w:rsidRPr="00E226AF">
        <w:rPr>
          <w:color w:val="000000"/>
        </w:rPr>
        <w:lastRenderedPageBreak/>
        <w:t>A</w:t>
      </w:r>
      <w:r w:rsidR="00854B48" w:rsidRPr="00E226AF">
        <w:rPr>
          <w:color w:val="000000"/>
        </w:rPr>
        <w:t xml:space="preserve"> final explanation of the absence</w:t>
      </w:r>
      <w:r w:rsidR="00FF2F4C" w:rsidRPr="00E226AF">
        <w:rPr>
          <w:color w:val="000000"/>
        </w:rPr>
        <w:t xml:space="preserve"> of a group</w:t>
      </w:r>
      <w:r w:rsidR="008D241A" w:rsidRPr="00E226AF">
        <w:rPr>
          <w:color w:val="000000"/>
        </w:rPr>
        <w:t>-</w:t>
      </w:r>
      <w:r w:rsidR="00FF2F4C" w:rsidRPr="00E226AF">
        <w:rPr>
          <w:color w:val="000000"/>
        </w:rPr>
        <w:t>size effect is that</w:t>
      </w:r>
      <w:r w:rsidR="0013053C" w:rsidRPr="00E226AF">
        <w:rPr>
          <w:rFonts w:ascii="Segoe UI" w:hAnsi="Segoe UI"/>
          <w:color w:val="000000"/>
        </w:rPr>
        <w:t xml:space="preserve"> </w:t>
      </w:r>
      <w:r w:rsidR="0013053C">
        <w:t xml:space="preserve">individuals may imitate one another in the group </w:t>
      </w:r>
      <w:r w:rsidR="0013053C">
        <w:fldChar w:fldCharType="begin" w:fldLock="1"/>
      </w:r>
      <w:r w:rsidR="007C7EDC">
        <w:instrText>ADDIN CSL_CITATION {"citationItems":[{"id":"ITEM-1","itemData":{"DOI":"10.1371/journal.pone.0018631","ISBN":"1932-6203","ISSN":"19326203","PMID":"21525987","abstract":"In the context of social foraging, predator detection has been the subject of numerous studies, which acknowledge the adaptive response of the individual to the trade-off between feeding and vigilance. Typically, animals gain energy by increasing their feeding time and decreasing their vigilance effort with increasing group size, without increasing their risk of predation ('group size effect'). Research on the biological utility of vigilance has prevailed over considerations of the mechanistic rules that link individual decisions to group behavior. With sheep as a model species, we identified how the behaviors of conspecifics affect the individual decisions to switch activity. We highlight a simple mechanism whereby the group size effect on collective vigilance dynamics is shaped by two key features: the magnitude of social amplification and intrinsic differences between foraging and scanning bout durations. Our results highlight a positive correlation between the duration of scanning and foraging bouts at the level of the group. This finding reveals the existence of groups with high and low rates of transition between activities, suggesting individual variations in the transition rate, or 'tempo'. We present a mathematical model based on behavioral rules derived from experiments. Our theoretical predictions show that the system is robust in respect to variations in the propensity to imitate scanning and foraging, yet flexible in respect to differences in the duration of activity bouts. The model shows how individual decisions contribute to collective behavior patterns and how the group, in turn, facilitates individual-level adaptive responses.","author":[{"dropping-particle":"","family":"Michelena","given":"Pablo","non-dropping-particle":"","parse-names":false,"suffix":""},{"dropping-particle":"","family":"Deneubourg","given":"Jean Louis","non-dropping-particle":"","parse-names":false,"suffix":""}],"container-title":"PLoS ONE","id":"ITEM-1","issue":"4","issued":{"date-parts":[["2011"]]},"title":"How group size affects vigilance dynamics and time allocation patterns: The key role of imitation and tempo","type":"article-journal","volume":"6"},"uris":["http://www.mendeley.com/documents/?uuid=67987120-dcd6-43c4-8353-e2c71d2f7af6"]},{"id":"ITEM-2","itemData":{"DOI":"10.1098/rspb.2006.0204","ISBN":"0962-8452\\n1471-2954","ISSN":"0962-8452","PMID":"17341457","abstract":"It is generally assumed that an individual of a prey species can benefit from an increase in the number of its group's members by reducing its own investment in vigilance. But what behaviour should group members adopt in relation to both the risk of being preyed upon and the individual investment in vigilance? Most models assume that individuals scan independently of one another. It is generally argued that it is more profitable for each group member owing to the cost that coordination of individual scans in non-overlapping bouts of vigilance would require. We studied the relationships between both individual and collective vigilance and group size in Defassa waterbuck, Kobus ellipsiprymnus defassa, in a population living under a predation risk. Our results confirmed that the proportion of time an individual spent in vigilance decreased with group size. However, the time during which at least one individual in the group scanned the environment (collective vigilance) increased. Analyses showed that individuals neither coordinated their scanning in an asynchronous way nor scanned independently of one another. On the contrary, scanning and non-scanning bouts were synchronized between group members, producing waves of collective vigilance. We claim that these waves are triggered by allelomimetic effects i.e. they are a phenomenon produced by an individual copying its neighbour's behaviour.","author":[{"dropping-particle":"","family":"Pays","given":"Olivier","non-dropping-particle":"","parse-names":false,"suffix":""},{"dropping-particle":"","family":"Renaud","given":"P. C.","non-dropping-particle":"","parse-names":false,"suffix":""},{"dropping-particle":"","family":"Loisel","given":"P.","non-dropping-particle":"","parse-names":false,"suffix":""},{"dropping-particle":"","family":"Petit","given":"M.","non-dropping-particle":"","parse-names":false,"suffix":""},{"dropping-particle":"","family":"Gerard","given":"J. F.","non-dropping-particle":"","parse-names":false,"suffix":""},{"dropping-particle":"","family":"Jarman","given":"P. J","non-dropping-particle":"","parse-names":false,"suffix":""}],"container-title":"Proceedings of the Royal Society B: Biological Sciences","id":"ITEM-2","issued":{"date-parts":[["2007"]]},"page":"1287-1291","title":"Prey synchronize their vigilant behaviour with other group members","type":"article-journal","volume":"274"},"uris":["http://www.mendeley.com/documents/?uuid=66cc911f-65e0-48c8-bebc-c89155ce5946"]}],"mendeley":{"formattedCitation":"(Michelena &amp; Deneubourg, 2011; Pays, Renaud, et al., 2007)","manualFormatting":"(Michelena &amp; Deneubourg, 2011; Pays et al., 2007)","plainTextFormattedCitation":"(Michelena &amp; Deneubourg, 2011; Pays, Renaud, et al., 2007)","previouslyFormattedCitation":"(Michelena &amp; Deneubourg, 2011; Pays, Renaud, et al., 2007)"},"properties":{"noteIndex":0},"schema":"https://github.com/citation-style-language/schema/raw/master/csl-citation.json"}</w:instrText>
      </w:r>
      <w:r w:rsidR="0013053C">
        <w:fldChar w:fldCharType="separate"/>
      </w:r>
      <w:r w:rsidR="00FB2B64" w:rsidRPr="00FB2B64">
        <w:rPr>
          <w:noProof/>
        </w:rPr>
        <w:t>(M</w:t>
      </w:r>
      <w:r w:rsidR="006474A1">
        <w:rPr>
          <w:noProof/>
        </w:rPr>
        <w:t xml:space="preserve">ichelena &amp; Deneubourg, 2011; </w:t>
      </w:r>
      <w:r w:rsidR="00FB2B64" w:rsidRPr="00FB2B64">
        <w:rPr>
          <w:noProof/>
        </w:rPr>
        <w:t>Pays et al., 2007)</w:t>
      </w:r>
      <w:r w:rsidR="0013053C">
        <w:fldChar w:fldCharType="end"/>
      </w:r>
      <w:r w:rsidR="0013053C">
        <w:t xml:space="preserve">, and synchronise their vigilance bouts </w:t>
      </w:r>
      <w:r w:rsidR="0013053C">
        <w:fldChar w:fldCharType="begin" w:fldLock="1"/>
      </w:r>
      <w:r w:rsidR="007C7EDC">
        <w:instrText>ADDIN CSL_CITATION {"citationItems":[{"id":"ITEM-1","itemData":{"DOI":"10.1098/rspb.2009.2337","ISBN":"1471-2954 (Electronic)\\r0962-8452 (Linking)","ISSN":"0962-8452","PMID":"20219737","abstract":"Group size is known to affect both the amount of time that prey animals spend in vigilance and the degree to which the vigilance of group members is synchronized. However, the variation in group-size effects reported in the literature is not yet understood. Prey animals exhibit vigilance both to protect themselves against predators and to monitor other group members, and both forms of vigilance presumably influence group-size effects on vigilance. However, our understanding of the patterns of individual investment underlying the time sharing between anti-predator and social vigilance is still limited. We studied patterns of variation in individual vigilance and the synchronization of vigilance with group size in a wild population of eastern grey kangaroos (Macropus giganteus) subject to predation, in particular focusing on peripheral females because we expected that they would exhibit both social and anti-predator vigilance. There was no global effect of group size on individual vigilance. The lack of group-size effect was the result of two compensating effects. The proportion of time individuals spent looking at other group members increased, whereas the proportion of time they spent scanning the environment decreased with group size; as a result, overall vigilance levels did not change with group size. Moreover, a degree of synchrony of vigilance occurred within groups and that degree increased with the proportion of vigilance time peripheral females spent in anti-predator vigilance. Our results highlight the crucial roles of both social and anti-predator components of vigilance in the understanding of the relationship between group size and vigilance, as well as in the synchronization of vigilance among group members.","author":[{"dropping-particle":"","family":"Favreau","given":"François-René","non-dropping-particle":"","parse-names":false,"suffix":""},{"dropping-particle":"","family":"Goldizen","given":"Anne W.","non-dropping-particle":"","parse-names":false,"suffix":""},{"dropping-particle":"","family":"Pays","given":"Olivier","non-dropping-particle":"","parse-names":false,"suffix":""}],"container-title":"Proceedings of the Royal Society B: Biological Sciences","id":"ITEM-1","issue":"1690","issued":{"date-parts":[["2010"]]},"page":"2089-2095","title":"Interactions among social monitoring, anti-predator vigilance and group size in eastern grey kangaroos","type":"article-journal","volume":"277"},"uris":["http://www.mendeley.com/documents/?uuid=7656b815-f4c9-406a-9e49-13b38dc08f2f"]},{"id":"ITEM-2","itemData":{"DOI":"10.1046/j.1439-0310.2003.00887.x","ISBN":"0179-1613","ISSN":"01791613","abstract":"We studied the effect of group size on the proportion of time that greater rheas, Rhea americana, allocated to vigilance and feeding during the non-breeding season. We tested whether: (1) the proportion oftime that one bird allocates to vigilance (individual vigilance) decreases with group size, and (2) the proportion oftime that at least one bird ofthe group is vigilant (collective vigilance) increases with group size. We analyzed video-recordings ofbirds that were foraging alone or in groups from two to 12 birds. The proportion of time allocated to individual vigilance decreased and the proportion oftime spent feeding increased with group size. In both cases the main significant difference was between birds foraging alone and in groups. Collective vigilance did not vary with group size and it was lower than expected ifvigi lance bouts were random or sequential. Our results indicate that rheas foraging in large groups would not receive the benefit of an increase in collective vigilance, although they could still benefit from a reduction of predation risk by the dilution effect. Corresponding author: Gustavo J. Ferna´ ndez, Departamento de Ecologı´ a, Gene´ tica y Evolucio´ n, Facultad de Ciencias Exactas y Naturales, Universidad de Buenos Aires, Pabello´ n II Ciudad Universitaria, C1428EHA Buenos Aires, Argentina. E-mail: gjf@bg.fcen.uba.ar","author":[{"dropping-particle":"","family":"Fernández","given":"Gustavo J.","non-dropping-particle":"","parse-names":false,"suffix":""},{"dropping-particle":"","family":"Capurro","given":"Angel F.","non-dropping-particle":"","parse-names":false,"suffix":""},{"dropping-particle":"","family":"Reboreda","given":"Juan C.","non-dropping-particle":"","parse-names":false,"suffix":""}],"container-title":"Ethology","id":"ITEM-2","issue":"5","issued":{"date-parts":[["2003"]]},"page":"413-425","title":"Effect of group size on individual and collective vigilance in greater rheas","type":"article-journal","volume":"109"},"uris":["http://www.mendeley.com/documents/?uuid=49836eec-3b00-4240-b341-dc357924a0c7"]},{"id":"ITEM-3","itemData":{"DOI":"10.1111/eth.12570","ISSN":"14390310","abstract":"Vigilance achieved at the group level, known as collective vigilance, can enhance the ability to assess threats and confer benefits to gregarious prey species. Examining the factors that influence collective vigilance and exploring how individual vigilance is organized at the group level can help to understand how prey groups respond to potential threats. We quantified collective vigilance and determined its temporal pattern in a natural wintering population of the hooded crane Grus monacha in the Shengjin Lake reserve in China. We examined the role of flock size and anthropogenic disturbances in the human-dominated landscape on collective vigilance and level of synchronization. The proportion of time during which at least one individual scanned the surroundings (collective vigilance) increased with flock size and was higher in the more disturbed buffer zone of the lake. Synchronization of vigilance occurred more frequently in the smaller flocks but was not related to the risk of disturbance. Synchronization implies that individuals tend to monitor and copy the vigilance of neighbors. In the degraded wetlands, the wintering hooded crane benefits from foraging in groups and synchronizing their vigilance in response to human disturbances.","author":[{"dropping-particle":"","family":"Li","given":"Chunlin","non-dropping-particle":"","parse-names":false,"suffix":""},{"dropping-particle":"","family":"Beauchamp","given":"Guy","non-dropping-particle":"","parse-names":false,"suffix":""},{"dropping-particle":"","family":"Wang","given":"Zhen","non-dropping-particle":"","parse-names":false,"suffix":""},{"dropping-particle":"","family":"Cui","given":"Peng","non-dropping-particle":"","parse-names":false,"suffix":""}],"container-title":"Ethology","id":"ITEM-3","issue":"12","issued":{"date-parts":[["2016"]]},"page":"999-1008","title":"Collective vigilance in the wintering hooded crane: The role of flock size and anthropogenic disturbances in a human-dominated landscape","type":"article-journal","volume":"122"},"uris":["http://www.mendeley.com/documents/?uuid=e23ee229-c6c5-4f3d-a79a-0045824f43eb"]},{"id":"ITEM-4","itemData":{"DOI":"10.1111/j.1439-0310.2011.01974.x","ISBN":"1439-0310","ISSN":"01791613","abstract":"Collective detection of predators is one of the main advantages of living in groups in prey species. However, the mechanisms linking individual and collective vigilance remain largely unknown. Here, we investigated individual and collective vigilance in a natural population of greater kudu (Tragelaphus strepsiceros), a gregarious ruminant living under high predation risk. Controlling for environmental, individual and group fac- tors, we show that the proportion of time during which at least one individual was vigilant increased with group size, whereas individual investment in vigilance decreased. We also show that individuals tended to synchronize both vigilance and feeding activities. More generally, and whatever the considered group size, we demonstrate how the indepen- dent scanning assumption underestimated both the proportion of time during which no individual was vigilant and the proportion of time dur- ing which all individuals were simultaneously vigilant, but overesti- mated the proportion of time during which one vigilant individual only was present. Our results thus contrast with the point of view that the alternative to independent vigilance is coordinated vigilance and plead for a better description of the processes whereby reciprocal influences between individuals shape collective patterns of vigilance.","author":[{"dropping-particle":"","family":"Pays","given":"Olivier","non-dropping-particle":"","parse-names":false,"suffix":""},{"dropping-particle":"","family":"Sirot","given":"Etienne","non-dropping-particle":"","parse-names":false,"suffix":""},{"dropping-particle":"","family":"Fritz","given":"Hervé","non-dropping-particle":"","parse-names":false,"suffix":""}],"container-title":"Ethology","id":"ITEM-4","issue":"1","issued":{"date-parts":[["2012"]]},"page":"1-9","title":"Collective vigilance in the greater kudu: Towards a better understanding of synchronization patterns","type":"article-journal","volume":"118"},"uris":["http://www.mendeley.com/documents/?uuid=d6f33d15-356a-4e00-94e2-f37cf4722c6d"]},{"id":"ITEM-5","itemData":{"DOI":"10.1093/beheco/arn110","ISBN":"1045-2249","ISSN":"10452249","abstract":"Several adaptive functions, including gaining information from other group members and detecting predators, are generally ascribed to vigilance in groups of animals subject to predation. Most studies of the effects of neighbors on vigilance have focused on individual vigilance. We investigated the effects of neighbors on vigilance in wild red-necked pademelons Thylogale thetis foraging at night in nonpersistent aggregations in a clearing in rain forest. Neither the total number of pademelons in the clearing nor the numbers at various distances around focal individuals affected the individual vigilance of focal animals. However, focal animals' individual vigilance did change with the distance to their nearest neighbor and also with distance to cover. Pairs of individuals closer than 10 m apart tended to synchronize their bouts of individual vigilance and foraging. The degree of synchrony within pairs increased with both distance to cover and the total number of pademelons foraging in the area and decreased with increasing distance to the pair's nearest neighbor but did not vary with the distance separating the members of the pair. Thus, despite their individual vigilance being unaffected by the number of other pademelons in the feeding aggregation, pademelons were nonetheless sensitive to the presence of conspecifics and adjusted their behavior in relation to their separation from neighbors. Thus, some vigilance benefits may be obtained from the presence of conspecifics even in species that aggregate only temporarily on food patches without forming more permanent social groups.","author":[{"dropping-particle":"","family":"Pays","given":"Olivier","non-dropping-particle":"","parse-names":false,"suffix":""},{"dropping-particle":"","family":"Dubot","given":"Anne Laure","non-dropping-particle":"","parse-names":false,"suffix":""},{"dropping-particle":"","family":"Jarman","given":"Peter J.","non-dropping-particle":"","parse-names":false,"suffix":""},{"dropping-particle":"","family":"Loisel","given":"Patrice","non-dropping-particle":"","parse-names":false,"suffix":""},{"dropping-particle":"","family":"Goldizen","given":"Anne W.","non-dropping-particle":"","parse-names":false,"suffix":""}],"container-title":"Behavioral Ecology","id":"ITEM-5","issue":"1","issued":{"date-parts":[["2009"]]},"page":"22-29","title":"Vigilance and its complex synchrony in the red-necked pademelon, &lt;i&gt;Thylogale thetis&lt;/i&gt;","type":"article-journal","volume":"20"},"uris":["http://www.mendeley.com/documents/?uuid=7c81d864-e835-43e1-ac7b-9003ac2cb80d"]},{"id":"ITEM-6","itemData":{"DOI":"10.1093/beheco/arw016","author":[{"dropping-particle":"","family":"Podgórski","given":"Tomasz","non-dropping-particle":"","parse-names":false,"suffix":""},{"dropping-particle":"de","family":"Jong","given":"Sanne","non-dropping-particle":"","parse-names":false,"suffix":""},{"dropping-particle":"","family":"Bubnicki","given":"Jakub W","non-dropping-particle":"","parse-names":false,"suffix":""},{"dropping-particle":"","family":"Kuijper","given":"Dries P J","non-dropping-particle":"","parse-names":false,"suffix":""},{"dropping-particle":"","family":"Churski","given":"M","non-dropping-particle":"","parse-names":false,"suffix":""},{"dropping-particle":"","family":"Jedrzejewska","given":"B","non-dropping-particle":"","parse-names":false,"suffix":""}],"container-title":"Behavioral Ecology","id":"ITEM-6","issue":"4","issued":{"date-parts":[["2016"]]},"page":"1097-1103","title":"Drivers of synchronized vigilance in wild boar groups","type":"article-journal","volume":"27"},"uris":["http://www.mendeley.com/documents/?uuid=3d9ab5b6-7a9c-45fc-ad7d-19cd258f2106"]}],"mendeley":{"formattedCitation":"(Favreau et al., 2010; Fernández et al., 2003; Li et al., 2016; Pays, Dubot, Jarman, Loisel, &amp; Goldizen, 2009; Pays et al., 2012; Podgórski et al., 2016)","manualFormatting":"(Favreau et al., 2010; Fernández et al., 2003; Li et al., 2016; Pays, Dubot, Jarman, Loisel, &amp; Goldizen, 2009; Pays et al., 2012; Podgórski et al., 2016)","plainTextFormattedCitation":"(Favreau et al., 2010; Fernández et al., 2003; Li et al., 2016; Pays, Dubot, Jarman, Loisel, &amp; Goldizen, 2009; Pays et al., 2012; Podgórski et al., 2016)","previouslyFormattedCitation":"(Favreau et al., 2010; Fernández et al., 2003; Li et al., 2016; Pays, Dubot, Jarman, Loisel, &amp; Goldizen, 2009; Pays et al., 2012; Podgórski et al., 2016)"},"properties":{"noteIndex":0},"schema":"https://github.com/citation-style-language/schema/raw/master/csl-citation.json"}</w:instrText>
      </w:r>
      <w:r w:rsidR="0013053C">
        <w:fldChar w:fldCharType="separate"/>
      </w:r>
      <w:r w:rsidR="006474A1">
        <w:rPr>
          <w:noProof/>
        </w:rPr>
        <w:t>(</w:t>
      </w:r>
      <w:r w:rsidR="00FB2B64" w:rsidRPr="00FB2B64">
        <w:rPr>
          <w:noProof/>
        </w:rPr>
        <w:t>Favreau et al., 2010; Fernández et al.,</w:t>
      </w:r>
      <w:r w:rsidR="006474A1">
        <w:rPr>
          <w:noProof/>
        </w:rPr>
        <w:t xml:space="preserve"> 2003; Li et al., 2016; </w:t>
      </w:r>
      <w:r w:rsidR="00FB2B64" w:rsidRPr="00FB2B64">
        <w:rPr>
          <w:noProof/>
        </w:rPr>
        <w:t>Pays, Dubot, Jarman</w:t>
      </w:r>
      <w:r w:rsidR="006474A1">
        <w:rPr>
          <w:noProof/>
        </w:rPr>
        <w:t xml:space="preserve">, Loisel, &amp; Goldizen, 2009; </w:t>
      </w:r>
      <w:r w:rsidR="00FB2B64" w:rsidRPr="00FB2B64">
        <w:rPr>
          <w:noProof/>
        </w:rPr>
        <w:t>Pays et al., 2012; Podgórski et al., 2016)</w:t>
      </w:r>
      <w:r w:rsidR="0013053C">
        <w:fldChar w:fldCharType="end"/>
      </w:r>
      <w:r w:rsidR="0013053C">
        <w:t xml:space="preserve">. </w:t>
      </w:r>
      <w:r w:rsidR="0013053C">
        <w:rPr>
          <w:rFonts w:eastAsia="Times New Roman" w:cs="Times New Roman"/>
        </w:rPr>
        <w:t xml:space="preserve">Synchronisation may occur because </w:t>
      </w:r>
      <w:r w:rsidR="0013053C">
        <w:t>vigilance level</w:t>
      </w:r>
      <w:r w:rsidR="00491E62">
        <w:t>s</w:t>
      </w:r>
      <w:r w:rsidR="0013053C">
        <w:t xml:space="preserve"> of group members convey the group’s fear level (</w:t>
      </w:r>
      <w:r w:rsidR="003717CF">
        <w:t>‘</w:t>
      </w:r>
      <w:r w:rsidR="0013053C">
        <w:rPr>
          <w:rFonts w:eastAsia="Times New Roman" w:cs="Times New Roman"/>
        </w:rPr>
        <w:t>contagion-of-fear</w:t>
      </w:r>
      <w:r w:rsidR="003717CF">
        <w:rPr>
          <w:rFonts w:eastAsia="Times New Roman" w:cs="Times New Roman"/>
        </w:rPr>
        <w:t>’</w:t>
      </w:r>
      <w:r w:rsidR="0013053C">
        <w:rPr>
          <w:rFonts w:eastAsia="Times New Roman" w:cs="Times New Roman"/>
        </w:rPr>
        <w:t xml:space="preserve"> hypothesis)</w:t>
      </w:r>
      <w:r w:rsidR="00532F0A">
        <w:rPr>
          <w:rFonts w:eastAsia="Times New Roman" w:cs="Times New Roman"/>
        </w:rPr>
        <w:t xml:space="preserve"> </w:t>
      </w:r>
      <w:r w:rsidR="00532F0A">
        <w:rPr>
          <w:rFonts w:eastAsia="Times New Roman" w:cs="Times New Roman"/>
        </w:rPr>
        <w:fldChar w:fldCharType="begin" w:fldLock="1"/>
      </w:r>
      <w:r w:rsidR="007C7EDC">
        <w:rPr>
          <w:rFonts w:eastAsia="Times New Roman" w:cs="Times New Roman"/>
        </w:rPr>
        <w:instrText>ADDIN CSL_CITATION {"citationItems":[{"id":"ITEM-1","itemData":{"ISBN":"9780128019832","author":[{"dropping-particle":"","family":"Beauchamp","given":"Guy","non-dropping-particle":"","parse-names":false,"suffix":""}],"chapter-number":"7","container-title":"Animal Vigilance: Monitoring Predators and Competitors","id":"ITEM-1","issued":{"date-parts":[["2015"]]},"page":"155-172","publisher":"Elsevier Science","title":"Synchronization and coordination of animal vigilance","type":"chapter"},"uris":["http://www.mendeley.com/documents/?uuid=bc64651b-dd23-423d-9b04-d573596c34b1"]}],"mendeley":{"formattedCitation":"(Beauchamp, 2015b)","plainTextFormattedCitation":"(Beauchamp, 2015b)","previouslyFormattedCitation":"(Beauchamp, 2015b)"},"properties":{"noteIndex":0},"schema":"https://github.com/citation-style-language/schema/raw/master/csl-citation.json"}</w:instrText>
      </w:r>
      <w:r w:rsidR="00532F0A">
        <w:rPr>
          <w:rFonts w:eastAsia="Times New Roman" w:cs="Times New Roman"/>
        </w:rPr>
        <w:fldChar w:fldCharType="separate"/>
      </w:r>
      <w:r w:rsidR="00532F0A" w:rsidRPr="00532F0A">
        <w:rPr>
          <w:rFonts w:eastAsia="Times New Roman" w:cs="Times New Roman"/>
          <w:noProof/>
        </w:rPr>
        <w:t>(Beauchamp, 2015b)</w:t>
      </w:r>
      <w:r w:rsidR="00532F0A">
        <w:rPr>
          <w:rFonts w:eastAsia="Times New Roman" w:cs="Times New Roman"/>
        </w:rPr>
        <w:fldChar w:fldCharType="end"/>
      </w:r>
      <w:r w:rsidR="00854B48">
        <w:rPr>
          <w:rFonts w:eastAsia="Times New Roman" w:cs="Times New Roman"/>
        </w:rPr>
        <w:t xml:space="preserve">. Synchronisation can also occur when </w:t>
      </w:r>
      <w:r w:rsidR="0013053C">
        <w:t xml:space="preserve">predators target individuals that </w:t>
      </w:r>
      <w:r w:rsidR="00491E62">
        <w:t xml:space="preserve">are </w:t>
      </w:r>
      <w:r w:rsidR="0013053C">
        <w:t>last to find cover</w:t>
      </w:r>
      <w:r w:rsidR="00854B48">
        <w:t xml:space="preserve">. </w:t>
      </w:r>
      <w:r w:rsidR="005E2CAC">
        <w:t xml:space="preserve">In this situation, </w:t>
      </w:r>
      <w:r w:rsidR="0013053C">
        <w:t xml:space="preserve">individuals benefit </w:t>
      </w:r>
      <w:r w:rsidR="00491E62">
        <w:t xml:space="preserve">by </w:t>
      </w:r>
      <w:r w:rsidR="0013053C">
        <w:t>detect</w:t>
      </w:r>
      <w:r w:rsidR="00491E62">
        <w:t>ing</w:t>
      </w:r>
      <w:r w:rsidR="0013053C">
        <w:t xml:space="preserve"> predators before </w:t>
      </w:r>
      <w:r w:rsidR="00491E62">
        <w:t>others do</w:t>
      </w:r>
      <w:r w:rsidR="00854B48">
        <w:t>,</w:t>
      </w:r>
      <w:r w:rsidR="0013053C">
        <w:t xml:space="preserve"> so they can reach safety first (</w:t>
      </w:r>
      <w:r w:rsidR="003717CF">
        <w:t>‘</w:t>
      </w:r>
      <w:r w:rsidR="0013053C">
        <w:t>predator targeting behaviour</w:t>
      </w:r>
      <w:r w:rsidR="003717CF">
        <w:t>’</w:t>
      </w:r>
      <w:r w:rsidR="0013053C">
        <w:t xml:space="preserve"> hypothesis) </w:t>
      </w:r>
      <w:r w:rsidR="0013053C">
        <w:fldChar w:fldCharType="begin" w:fldLock="1"/>
      </w:r>
      <w:r w:rsidR="007C7EDC">
        <w:instrText>ADDIN CSL_CITATION {"citationItems":[{"id":"ITEM-1","itemData":{"ISBN":"9780128019832","author":[{"dropping-particle":"","family":"Beauchamp","given":"Guy","non-dropping-particle":"","parse-names":false,"suffix":""}],"chapter-number":"7","container-title":"Animal Vigilance: Monitoring Predators and Competitors","id":"ITEM-1","issued":{"date-parts":[["2015"]]},"page":"155-172","publisher":"Elsevier Science","title":"Synchronization and coordination of animal vigilance","type":"chapter"},"uris":["http://www.mendeley.com/documents/?uuid=bc64651b-dd23-423d-9b04-d573596c34b1"]},{"id":"ITEM-2","itemData":{"DOI":"10.1086/593358","ISSN":"0003-0147","PMID":"19090707","abstract":"Prey living in groups often partly rely on companions to detect predators. Accordingly, individuals having vigilant neighbors could decrease their own vigilance, engendering a certain level of vigilance coordination in the group. However, when a predator attacks, individuals that spot it react quicker than individuals that follow them and have less chance of being targeted. Individuals with vigilant neighbors may then be particularly exposed, since they risk lagging behind their companions in an attack. Here, we incorporate this effect in a spatially explicit model of vigilance. A first version of the model derives the evolutionarily stable proportion of time allocated to vigilance for each position in the group. A second version considers the real alternation of feeding and vigilance and allows individuals to respond immediately when their neighbors raise their head or resume feeding. The model confirms then that the collective detection effect tends to coordinate vigilance. However, when predators display marked preferences for stragglers, adaptive response by prey generates waves of collective vigilance that may spread and circulate over the group. The overall level of vigilance in the group strongly oscillates, sometimes far away from the evolutionarily stable values, and the stabilizing effect of vigilance coordination is thwarted. These results illustrate real patterns of vigilance, in particular, the fact that group members often synchronize their vigilance.","author":[{"dropping-particle":"","family":"Sirot","given":"Etienne","non-dropping-particle":"","parse-names":false,"suffix":""},{"dropping-particle":"","family":"Touzalin","given":"Frédéric","non-dropping-particle":"","parse-names":false,"suffix":""}],"container-title":"The American Naturalist","id":"ITEM-2","issue":"1","issued":{"date-parts":[["2009"]]},"page":"47-59","title":"Coordination and synchronization of vigilance in groups of prey: The role of collective detection and predators’ preference for stragglers","type":"article-journal","volume":"173"},"uris":["http://www.mendeley.com/documents/?uuid=358d2b23-be27-4e65-b772-4d88b3730789"]}],"mendeley":{"formattedCitation":"(Beauchamp, 2015b; Sirot &amp; Touzalin, 2009)","plainTextFormattedCitation":"(Beauchamp, 2015b; Sirot &amp; Touzalin, 2009)","previouslyFormattedCitation":"(Beauchamp, 2015b; Sirot &amp; Touzalin, 2009)"},"properties":{"noteIndex":0},"schema":"https://github.com/citation-style-language/schema/raw/master/csl-citation.json"}</w:instrText>
      </w:r>
      <w:r w:rsidR="0013053C">
        <w:fldChar w:fldCharType="separate"/>
      </w:r>
      <w:r w:rsidR="00FB2B64" w:rsidRPr="00FB2B64">
        <w:rPr>
          <w:noProof/>
        </w:rPr>
        <w:t>(Beauchamp, 2015b; Sirot &amp; Touzalin, 2009)</w:t>
      </w:r>
      <w:r w:rsidR="0013053C">
        <w:fldChar w:fldCharType="end"/>
      </w:r>
      <w:r w:rsidR="0013053C">
        <w:t>.</w:t>
      </w:r>
      <w:r w:rsidR="0034086E">
        <w:t xml:space="preserve"> </w:t>
      </w:r>
      <w:r w:rsidR="00FF2F4C">
        <w:t xml:space="preserve">Synchronisation of vigilance bouts may also explain </w:t>
      </w:r>
      <w:r w:rsidR="00495877">
        <w:t>our result that at the 0.8 quantile</w:t>
      </w:r>
      <w:r w:rsidR="003717CF">
        <w:t>,</w:t>
      </w:r>
      <w:r w:rsidR="00495877">
        <w:t xml:space="preserve"> individual high-quality vigilance increases with increasing group size. </w:t>
      </w:r>
    </w:p>
    <w:p w14:paraId="279D5895" w14:textId="5E9BA954" w:rsidR="00086EBD" w:rsidRDefault="00FF2F4C" w:rsidP="00B5340C">
      <w:pPr>
        <w:pStyle w:val="NoSpacing"/>
        <w:spacing w:line="480" w:lineRule="auto"/>
        <w:ind w:firstLine="720"/>
      </w:pPr>
      <w:r>
        <w:t xml:space="preserve">Even though </w:t>
      </w:r>
      <w:r w:rsidR="005E2CAC">
        <w:t xml:space="preserve">a </w:t>
      </w:r>
      <w:r>
        <w:t>group</w:t>
      </w:r>
      <w:r w:rsidR="008D241A">
        <w:t>-</w:t>
      </w:r>
      <w:r>
        <w:t>size effect was absent for individual low- and high</w:t>
      </w:r>
      <w:r w:rsidR="006474A1">
        <w:t>-</w:t>
      </w:r>
      <w:r w:rsidR="00495877">
        <w:t xml:space="preserve">quality and collective low-quality vigilance, </w:t>
      </w:r>
      <w:r>
        <w:t xml:space="preserve">collective high-quality vigilance </w:t>
      </w:r>
      <w:r w:rsidR="00495877">
        <w:t>increased with larger groups</w:t>
      </w:r>
      <w:r w:rsidR="00F77640">
        <w:t>,</w:t>
      </w:r>
      <w:r w:rsidR="00495877">
        <w:t xml:space="preserve"> and a</w:t>
      </w:r>
      <w:r w:rsidR="00264975">
        <w:t>larm communication was important in Barbary ground squirrels</w:t>
      </w:r>
      <w:r w:rsidR="00495877">
        <w:t>, supporting the</w:t>
      </w:r>
      <w:r w:rsidR="00F77640">
        <w:t xml:space="preserve"> presence of</w:t>
      </w:r>
      <w:r w:rsidR="00495877">
        <w:t xml:space="preserve"> collective detection as an anti-predator strategy</w:t>
      </w:r>
      <w:r w:rsidR="00491E62">
        <w:t xml:space="preserve">. </w:t>
      </w:r>
      <w:r w:rsidR="00264975">
        <w:t>Vigilance</w:t>
      </w:r>
      <w:r w:rsidR="00B5340C">
        <w:t xml:space="preserve"> increased upon hearing an alarm call in </w:t>
      </w:r>
      <w:r w:rsidR="002456A0">
        <w:t>presence of a predator</w:t>
      </w:r>
      <w:r w:rsidR="00B5340C">
        <w:t xml:space="preserve">. </w:t>
      </w:r>
      <w:r w:rsidR="00671465">
        <w:t xml:space="preserve">We found that mainly terrestrial predators elicited repeated barks in Barbary ground squirrels. A single alarm vocalisation (whistle) was heard when an aerial predator attacked. </w:t>
      </w:r>
      <w:r w:rsidR="008A46AE">
        <w:t>Thus, ou</w:t>
      </w:r>
      <w:r w:rsidR="00671465">
        <w:t>r findings suggest that alarm calls reflect the urgency to respond</w:t>
      </w:r>
      <w:r w:rsidR="00E671DB">
        <w:t xml:space="preserve"> </w:t>
      </w:r>
      <w:r w:rsidR="00E671DB">
        <w:fldChar w:fldCharType="begin" w:fldLock="1"/>
      </w:r>
      <w:r w:rsidR="007C7EDC">
        <w:instrText>ADDIN CSL_CITATION {"citationItems":[{"id":"ITEM-1","itemData":{"author":[{"dropping-particle":"","family":"Macedonia","given":"J.M.","non-dropping-particle":"","parse-names":false,"suffix":""},{"dropping-particle":"","family":"Evans","given":"C.S.","non-dropping-particle":"","parse-names":false,"suffix":""}],"container-title":"Ethology","id":"ITEM-1","issued":{"date-parts":[["1993"]]},"page":"177-197","title":"Variation among mammalian alarm call systems and the problem of meaning in animal signals","type":"article-journal","volume":"93"},"uris":["http://www.mendeley.com/documents/?uuid=6209b047-abe7-4c10-9ee1-a2d371c8f258"]},{"id":"ITEM-2","itemData":{"DOI":"10.1098/rspb.2001.1773","author":[{"dropping-particle":"","family":"Manser","given":"Marta B","non-dropping-particle":"","parse-names":false,"suffix":""}],"container-title":"Proceedings of the Royal Society B: Biological Sciences","id":"ITEM-2","issued":{"date-parts":[["2001"]]},"title":"The acoustic structure of suricates’ alarm calls varies with predator type and the level of response urgency","type":"article-journal"},"uris":["http://www.mendeley.com/documents/?uuid=42fa4b80-ef29-4ab4-b8e9-345e9b26fd88"]}],"mendeley":{"formattedCitation":"(Macedonia &amp; Evans, 1993; Manser, 2001)","plainTextFormattedCitation":"(Macedonia &amp; Evans, 1993; Manser, 2001)","previouslyFormattedCitation":"(Macedonia &amp; Evans, 1993; Manser, 2001)"},"properties":{"noteIndex":0},"schema":"https://github.com/citation-style-language/schema/raw/master/csl-citation.json"}</w:instrText>
      </w:r>
      <w:r w:rsidR="00E671DB">
        <w:fldChar w:fldCharType="separate"/>
      </w:r>
      <w:r w:rsidR="003C0777" w:rsidRPr="003C0777">
        <w:rPr>
          <w:noProof/>
        </w:rPr>
        <w:t>(Macedonia &amp; Evans, 1993; Manser, 2001)</w:t>
      </w:r>
      <w:r w:rsidR="00E671DB">
        <w:fldChar w:fldCharType="end"/>
      </w:r>
      <w:r w:rsidR="00671465">
        <w:t xml:space="preserve">, and is consistent with the literature for species living in open habitats </w:t>
      </w:r>
      <w:r w:rsidR="00671465" w:rsidRPr="00AD56FC">
        <w:fldChar w:fldCharType="begin" w:fldLock="1"/>
      </w:r>
      <w:r w:rsidR="007C7EDC">
        <w:instrText>ADDIN CSL_CITATION {"citationItems":[{"id":"ITEM-1","itemData":{"DOI":"10.1086/596541","ISSN":"0003-0147","abstract":"A major evolutionary force driving functionally referential alarm calls is the need for different strategies to escape various predator types in complex structured habitats. In contrast, a single escape strategy appears to be sufficient in less ... structured open habitats, and under such conditions urgency ... dependent alarm calls may be favored. Nevertheless, some species, such as meerkats (Suricata suricatta), have evolved functionally referential alarm calls despite living in open areas, using only bolt ... holes for retreat. To understand the evolution of different alarm call systems, we investigated the calls of sympatric Cape ground squirrels (Xerus inauris) and compared their antipredator and foraging behavior with that of meerkats. Cape ground squirrels emitted urgency ... dependent alarm calls and responded to playbacks depending on urgency, not predator type. Vigilance behavior and habitat use differed between the two species. Meerkats roam widely to find prey and for efficient foraging depend on coordinated predator vigilance and escape behavior. As herbivores with smaller territories, Cape ground squirrels depend less on coordinated antipredator behavior, and urgency ... dependent alarm calls encode all essential information. We conclude that habitat complexity does not explain the evolution of functionally referential alarm calls in all species, and other constraints, such as the need to coordinate group movements to maintain foraging efficiency, could be more relevant. (ProQuest: ... denotes formulae/symbols omitted.)","author":[{"dropping-particle":"","family":"Furrer","given":"Roman D.","non-dropping-particle":"","parse-names":false,"suffix":""},{"dropping-particle":"","family":"Manser","given":"Marta B","non-dropping-particle":"","parse-names":false,"suffix":""}],"container-title":"The American Naturalist","id":"ITEM-1","issue":"3","issued":{"date-parts":[["2009"]]},"page":"400-410","title":"The evolution of urgency based and functionally referential alarm calls in ground dwelling species","type":"article-journal","volume":"173"},"uris":["http://www.mendeley.com/documents/?uuid=9430bad4-6d1d-428c-9ebb-b4623a72f7d3","http://www.mendeley.com/documents/?uuid=5d418dbe-25b9-49e3-a48d-241c37aa5e7e"]},{"id":"ITEM-2","itemData":{"ISSN":"0003-3472","PMID":"5918244","author":[{"dropping-particle":"","family":"Waring","given":"G H","non-dropping-particle":"","parse-names":false,"suffix":""}],"container-title":"Animal behaviour","id":"ITEM-2","issue":"1","issued":{"date-parts":[["1966","1"]]},"page":"177-83","title":"Sounds and communications of the yellow-bellied marmot (&lt;i&gt;Marmota flaviventris&lt;/i&gt;).","type":"article-journal","volume":"14"},"uris":["http://www.mendeley.com/documents/?uuid=ff570854-8e14-4334-b034-f09bdf334c23","http://www.mendeley.com/documents/?uuid=65ea03a8-44d1-4629-bfe2-88baa19fe8c0"]},{"id":"ITEM-3","itemData":{"author":[{"dropping-particle":"","family":"Frederiksen","given":"J.K.","non-dropping-particle":"","parse-names":false,"suffix":""},{"dropping-particle":"","family":"Slobodchikoff","given":"C.N.","non-dropping-particle":"","parse-names":false,"suffix":""}],"container-title":"Ethology Ecology &amp; Evolution","id":"ITEM-3","issue":"2","issued":{"date-parts":[["2007"]]},"page":"87-99","title":"Referential specificity in the alarm calls of the black tailed prairie dog","type":"article-journal","volume":"19"},"uris":["http://www.mendeley.com/documents/?uuid=c0063481-0bd1-3a7b-834d-faeaf5614d77","http://www.mendeley.com/documents/?uuid=59f6af51-a1f4-4cd1-a967-3961f77e2f8a"]},{"id":"ITEM-4","itemData":{"DOI":"10.1111/j.1439-0310.1983.tb00747.x","ISSN":"14390310","author":[{"dropping-particle":"","family":"Harris","given":"M. A.","non-dropping-particle":"","parse-names":false,"suffix":""},{"dropping-particle":"","family":"Murie","given":"J. O.","non-dropping-particle":"","parse-names":false,"suffix":""},{"dropping-particle":"","family":"Duncan","given":"J. A.","non-dropping-particle":"","parse-names":false,"suffix":""}],"container-title":"Zeitschrift für Tierpsychologie","id":"ITEM-4","issue":"4","issued":{"date-parts":[["1983"]]},"page":"318-330","title":"Responses of Columbian ground squirrels to playback of recorded calls","type":"article-journal","volume":"63"},"uris":["http://www.mendeley.com/documents/?uuid=f9302255-6ea5-4cd4-87c2-2a83e5a6033e","http://www.mendeley.com/documents/?uuid=a9eec905-a411-415a-90ac-62608c2b8bb9","http://www.mendeley.com/documents/?uuid=38771bd3-5aac-4843-8d97-8f30462363e0"]}],"mendeley":{"formattedCitation":"(Frederiksen &amp; Slobodchikoff, 2007; Furrer &amp; Manser, 2009; Harris, Murie, &amp; Duncan, 1983; Waring, 1966)","manualFormatting":"(Waring 1966; Harris et al., 1983; Furrer and Manser, 2009)","plainTextFormattedCitation":"(Frederiksen &amp; Slobodchikoff, 2007; Furrer &amp; Manser, 2009; Harris, Murie, &amp; Duncan, 1983; Waring, 1966)","previouslyFormattedCitation":"(Frederiksen &amp; Slobodchikoff, 2007; Furrer &amp; Manser, 2009; Harris, Murie, &amp; Duncan, 1983; Waring, 1966)"},"properties":{"noteIndex":0},"schema":"https://github.com/citation-style-language/schema/raw/master/csl-citation.json"}</w:instrText>
      </w:r>
      <w:r w:rsidR="00671465" w:rsidRPr="00AD56FC">
        <w:fldChar w:fldCharType="separate"/>
      </w:r>
      <w:r w:rsidR="00671465" w:rsidRPr="00517211">
        <w:rPr>
          <w:noProof/>
        </w:rPr>
        <w:t>(Waring 1966</w:t>
      </w:r>
      <w:r w:rsidR="00671465">
        <w:rPr>
          <w:noProof/>
        </w:rPr>
        <w:t>;</w:t>
      </w:r>
      <w:r w:rsidR="00671465" w:rsidRPr="00517211">
        <w:rPr>
          <w:noProof/>
        </w:rPr>
        <w:t xml:space="preserve"> </w:t>
      </w:r>
      <w:r w:rsidR="00671465">
        <w:rPr>
          <w:noProof/>
        </w:rPr>
        <w:t>Harris et al.</w:t>
      </w:r>
      <w:r w:rsidR="00F77640">
        <w:rPr>
          <w:noProof/>
        </w:rPr>
        <w:t>,</w:t>
      </w:r>
      <w:r w:rsidR="00671465">
        <w:rPr>
          <w:noProof/>
        </w:rPr>
        <w:t xml:space="preserve"> 1983; </w:t>
      </w:r>
      <w:r w:rsidR="00671465" w:rsidRPr="00517211">
        <w:rPr>
          <w:noProof/>
        </w:rPr>
        <w:t>Furrer and Manser</w:t>
      </w:r>
      <w:r w:rsidR="00F77640">
        <w:rPr>
          <w:noProof/>
        </w:rPr>
        <w:t>,</w:t>
      </w:r>
      <w:r w:rsidR="00671465" w:rsidRPr="00517211">
        <w:rPr>
          <w:noProof/>
        </w:rPr>
        <w:t xml:space="preserve"> 2009)</w:t>
      </w:r>
      <w:r w:rsidR="00671465" w:rsidRPr="00AD56FC">
        <w:fldChar w:fldCharType="end"/>
      </w:r>
      <w:r w:rsidR="00671465">
        <w:t xml:space="preserve">. </w:t>
      </w:r>
      <w:r w:rsidR="00B5340C">
        <w:t>Barbary ground squirrels emit tonic calls (repeated barks), which can last up to 30 minutes</w:t>
      </w:r>
      <w:r w:rsidR="004C6125">
        <w:t>.</w:t>
      </w:r>
      <w:r w:rsidR="001E77A9">
        <w:t xml:space="preserve"> </w:t>
      </w:r>
      <w:r w:rsidR="004C6125" w:rsidRPr="00FB412D">
        <w:t>The function of tonic calling might be an adaptation to predators that pose a longer threat (i.e., ambush predators) (Owings et al.</w:t>
      </w:r>
      <w:r w:rsidR="00F77640">
        <w:t>,</w:t>
      </w:r>
      <w:r w:rsidR="004C6125" w:rsidRPr="00FB412D">
        <w:t xml:space="preserve"> 1986, Owings and Coss</w:t>
      </w:r>
      <w:r w:rsidR="00F77640">
        <w:t>,</w:t>
      </w:r>
      <w:r w:rsidR="004C6125" w:rsidRPr="00FB412D">
        <w:t xml:space="preserve"> 2007).</w:t>
      </w:r>
      <w:r w:rsidR="004C6125">
        <w:t xml:space="preserve"> In our study sites, domestic cats are the terrestrial predators that hide in ambush and pose a persisting threat. A long repeated bark may also be necessary to determine if another squirrel has actually seen a threat </w:t>
      </w:r>
      <w:r w:rsidR="004C6125">
        <w:fldChar w:fldCharType="begin" w:fldLock="1"/>
      </w:r>
      <w:r w:rsidR="007C7EDC">
        <w:instrText>ADDIN CSL_CITATION {"citationItems":[{"id":"ITEM-1","itemData":{"DOI":"10.1111/j.1439-0310.2003.00955.x","ISSN":"01791613","abstract":"The repetition of elements within an alarm signal is commonly thought to ensure that receivers have detected that signal, or to promote residual vigilance in light of the dangerous circumstances prompting the signal's initial production (tonic communication). Beyond alerting others and maintaining that state of alertness, however, repetitive signal elements may be parsed so as to encode information about the nature of potential threats. To determine how call length and variation in intersyllable latency might prove informative in the repetitive alarm vocalizations of Richardson's ground squirrels (Spermophilus richardsonii), we conducted a field-based playback experiment quantifying antipredator responses to manipulated alarm calls. Free-living juvenile squirrels were exposed to playbacks of 12 syllable (long) and six syllable (short) calls with a constant (monotonous) or changing (variable) call rate. The length of calls had no significant effect on the behaviour of call recipients during and immediately after call production; however, call recipients showed greater vigilance after the playback of monotonous calls than after variable calls. The absence of a call length effect is not consistent with tonic communication in the strict sense; rather, enhanced responsiveness to monotonous relative to variable calls suggests that multiple syllables, and the emergent patterns of intersyllable latency, communicate information about response urgency or the distance to a predatory threat. Only monotonous calls convey those aspects with any certainty on the part of the signaller and hence are selectively attended to by receivers.","author":[{"dropping-particle":"","family":"Sloan","given":"Jennifer L.","non-dropping-particle":"","parse-names":false,"suffix":""},{"dropping-particle":"","family":"Hare","given":"James F.","non-dropping-particle":"","parse-names":false,"suffix":""}],"container-title":"Ethology","id":"ITEM-1","issue":"2","issued":{"date-parts":[["2004"]]},"page":"147-156","title":"Monotony and the information content of Richardson's ground squirrel (&lt;i&gt;Spermophilus richardsonii&lt;/i&gt;) repeated calls: Tonic communication or signal certainty?","type":"article-journal","volume":"110"},"uris":["http://www.mendeley.com/documents/?uuid=9d592a38-59c3-400f-bf6a-2fb62a204693"]}],"mendeley":{"formattedCitation":"(Sloan &amp; Hare, 2004)","plainTextFormattedCitation":"(Sloan &amp; Hare, 2004)","previouslyFormattedCitation":"(Sloan &amp; Hare, 2004)"},"properties":{"noteIndex":0},"schema":"https://github.com/citation-style-language/schema/raw/master/csl-citation.json"}</w:instrText>
      </w:r>
      <w:r w:rsidR="004C6125">
        <w:fldChar w:fldCharType="separate"/>
      </w:r>
      <w:r w:rsidR="00FB2B64" w:rsidRPr="00FB2B64">
        <w:rPr>
          <w:noProof/>
        </w:rPr>
        <w:t>(Sloan &amp; Hare, 2004)</w:t>
      </w:r>
      <w:r w:rsidR="004C6125">
        <w:fldChar w:fldCharType="end"/>
      </w:r>
      <w:r w:rsidR="004C6125">
        <w:t xml:space="preserve">, or reflect the arousal state of the caller </w:t>
      </w:r>
      <w:r w:rsidR="004C6125">
        <w:fldChar w:fldCharType="begin" w:fldLock="1"/>
      </w:r>
      <w:r w:rsidR="007C7EDC">
        <w:instrText>ADDIN CSL_CITATION {"citationItems":[{"id":"ITEM-1","itemData":{"DOI":"10.1007/s10071-013-0660-9","author":[{"dropping-particle":"","family":"Price","given":"Tabitha","non-dropping-particle":"","parse-names":false,"suffix":""},{"dropping-particle":"","family":"Fischer","given":"Julia","non-dropping-particle":"","parse-names":false,"suffix":""}],"container-title":"Animal cognition","id":"ITEM-1","issued":{"date-parts":[["2014"]]},"page":"277-286","title":"Meaning attribution in the West African green monkey: influence of call type and context","type":"article-journal","volume":"17"},"uris":["http://www.mendeley.com/documents/?uuid=2c7a5a60-5fb6-4d38-971c-4f17f2149c84"]},{"id":"ITEM-2","itemData":{"DOI":"10.1111/j.1469-7998.2012.00920.x","ISBN":"0952-8369","ISSN":"09528369","abstract":"Emotions play a crucial role in an animal’s life because they facilitate responses to external or internal events of significance for the organism. In social species, one of the main functions of emotional expression is to regulate social interactions. There has recently been a surge of interest in animal emotions in several disci- plines, ranging from neuroscience to evolutionary zoology. Because measure- ments of subjective emotional experiences are not possible in animals, researchers use neurophysiological, behavioural and cognitive indicators. However, good indicators, particularly of positive emotions, are still lacking. Vocalizations are linked to the inner state of the caller. The emotional state of the caller causes changes in the muscular tension and action of its vocal apparatus, which in turn, impacts on vocal parameters of vocalizations. By considering the mode of production of vocalizations, we can understand and predict how vocal parameters should change according to the arousal (intensity) or valence (positive/negative) of emotional states. In this paper, I review the existing literature on vocal correlates of emotions in mammals. Non-human mammals could serve as ideal models to study vocal expression of emotions, because, contrary to human speech, animal vocalizations are assumed to be largely free of control and therefore direct expressions of underlying emotions. Furthermore, a comparative approach between humans and other animals would give us a better understanding of how emotion expression evolved. Additionally, these non-invasive indicators could serve various disciplines that require animal emotions to be clearly identified, including psychopharmacology and animal welfare science.","author":[{"dropping-particle":"","family":"Briefer","given":"E. F.","non-dropping-particle":"","parse-names":false,"suffix":""}],"container-title":"Journal of Zoology","id":"ITEM-2","issue":"1","issued":{"date-parts":[["2012"]]},"page":"1-20","title":"Vocal expression of emotions in mammals: Mechanisms of production and evidence","type":"article-journal","volume":"288"},"uris":["http://www.mendeley.com/documents/?uuid=be3abb09-fbb3-448b-897b-9cd4e87d5f6e"]}],"mendeley":{"formattedCitation":"(Briefer, 2012; Price &amp; Fischer, 2014)","plainTextFormattedCitation":"(Briefer, 2012; Price &amp; Fischer, 2014)","previouslyFormattedCitation":"(Briefer, 2012; Price &amp; Fischer, 2014)"},"properties":{"noteIndex":0},"schema":"https://github.com/citation-style-language/schema/raw/master/csl-citation.json"}</w:instrText>
      </w:r>
      <w:r w:rsidR="004C6125">
        <w:fldChar w:fldCharType="separate"/>
      </w:r>
      <w:r w:rsidR="00FB2B64" w:rsidRPr="00FB2B64">
        <w:rPr>
          <w:noProof/>
        </w:rPr>
        <w:t>(Briefer, 2012; Price &amp; Fischer, 2014)</w:t>
      </w:r>
      <w:r w:rsidR="004C6125">
        <w:fldChar w:fldCharType="end"/>
      </w:r>
      <w:r w:rsidR="004C6125">
        <w:t xml:space="preserve">. </w:t>
      </w:r>
      <w:r w:rsidR="00FB412D" w:rsidRPr="00FB412D">
        <w:t xml:space="preserve">Emitting repeated alarm calls during </w:t>
      </w:r>
      <w:r w:rsidR="00FB412D" w:rsidRPr="00FB412D">
        <w:lastRenderedPageBreak/>
        <w:t>or continuing after a threat (i.e., tonic calling) seems counter</w:t>
      </w:r>
      <w:r w:rsidR="00F77640">
        <w:t>-</w:t>
      </w:r>
      <w:r w:rsidR="00FB412D" w:rsidRPr="00FB412D">
        <w:t>intuitive</w:t>
      </w:r>
      <w:r w:rsidR="00F77640">
        <w:t>,</w:t>
      </w:r>
      <w:r w:rsidR="00FB412D" w:rsidRPr="00FB412D">
        <w:t xml:space="preserve"> as tonic calls are the most costly </w:t>
      </w:r>
      <w:r w:rsidR="00A96DC9">
        <w:t xml:space="preserve">calls </w:t>
      </w:r>
      <w:r w:rsidR="00FB412D" w:rsidRPr="00FB412D">
        <w:t>in terms of energy (Owings and Coss</w:t>
      </w:r>
      <w:r w:rsidR="00F77640">
        <w:t>,</w:t>
      </w:r>
      <w:r w:rsidR="00FB412D" w:rsidRPr="00FB412D">
        <w:t xml:space="preserve"> 2007)</w:t>
      </w:r>
      <w:r w:rsidR="00C8789B">
        <w:t>,</w:t>
      </w:r>
      <w:r w:rsidR="00FB412D" w:rsidRPr="00FB412D">
        <w:t xml:space="preserve"> and can be costly in terms of fitness (Sherman</w:t>
      </w:r>
      <w:r w:rsidR="00F77640">
        <w:t>,</w:t>
      </w:r>
      <w:r w:rsidR="00FB412D" w:rsidRPr="00FB412D">
        <w:t xml:space="preserve"> 1977). </w:t>
      </w:r>
      <w:r w:rsidR="004C6125">
        <w:t>However, we never observed a successful predator attack on a caller</w:t>
      </w:r>
      <w:r w:rsidR="00FD3DA7">
        <w:t xml:space="preserve">, suggesting </w:t>
      </w:r>
      <w:r w:rsidR="004C6125">
        <w:t xml:space="preserve">that mortality costs associated with calling are low in </w:t>
      </w:r>
      <w:r w:rsidR="00FD3DA7">
        <w:t>Barbary ground squirrels.</w:t>
      </w:r>
      <w:r w:rsidR="004C6125">
        <w:t xml:space="preserve"> </w:t>
      </w:r>
    </w:p>
    <w:p w14:paraId="376CC5C7" w14:textId="13017796" w:rsidR="00DC31D5" w:rsidRDefault="00DC31D5" w:rsidP="00DC31D5">
      <w:pPr>
        <w:spacing w:line="480" w:lineRule="auto"/>
        <w:ind w:firstLine="720"/>
      </w:pPr>
    </w:p>
    <w:p w14:paraId="62EC3CE8" w14:textId="77777777" w:rsidR="00DC31D5" w:rsidRDefault="00DC31D5" w:rsidP="00F73F32">
      <w:pPr>
        <w:pStyle w:val="Heading3"/>
        <w:spacing w:line="480" w:lineRule="auto"/>
        <w:rPr>
          <w:color w:val="auto"/>
          <w:sz w:val="22"/>
        </w:rPr>
      </w:pPr>
      <w:r>
        <w:rPr>
          <w:color w:val="auto"/>
          <w:sz w:val="22"/>
        </w:rPr>
        <w:t>Concluding remarks and future studies</w:t>
      </w:r>
    </w:p>
    <w:p w14:paraId="65FD68E5" w14:textId="3320F7DA" w:rsidR="00DC31D5" w:rsidRDefault="00DB0BDB" w:rsidP="00DC31D5">
      <w:pPr>
        <w:spacing w:line="480" w:lineRule="auto"/>
        <w:ind w:firstLine="720"/>
      </w:pPr>
      <w:r>
        <w:t>Our results suggest that</w:t>
      </w:r>
      <w:r w:rsidR="003D4159">
        <w:t xml:space="preserve"> the</w:t>
      </w:r>
      <w:r>
        <w:t xml:space="preserve"> dilution of predation risk does not explain grouping in Barbary ground squirrel</w:t>
      </w:r>
      <w:r w:rsidR="003D4159">
        <w:t>s</w:t>
      </w:r>
      <w:r>
        <w:t>, because individual vigilance did not decrease with increasing group size. Collective detection of predators is partly supported, because collective vigilance increased with increasing group size, and alarm calling was important for this species</w:t>
      </w:r>
      <w:r w:rsidR="00307F9D">
        <w:t xml:space="preserve">. Alarm calls </w:t>
      </w:r>
      <w:r>
        <w:t>convey information about predation risk</w:t>
      </w:r>
      <w:r w:rsidR="00FD3DA7">
        <w:t>,</w:t>
      </w:r>
      <w:r>
        <w:t xml:space="preserve"> </w:t>
      </w:r>
      <w:r w:rsidR="00307F9D">
        <w:t xml:space="preserve">but can also </w:t>
      </w:r>
      <w:r>
        <w:t xml:space="preserve">serve as an </w:t>
      </w:r>
      <w:r w:rsidRPr="00040D2C">
        <w:t>association between call and reflex alertness</w:t>
      </w:r>
      <w:r w:rsidR="00FD3DA7">
        <w:t>, or as a recruitment tool</w:t>
      </w:r>
      <w:r>
        <w:t xml:space="preserve">. </w:t>
      </w:r>
      <w:r w:rsidR="00C4593B">
        <w:t xml:space="preserve">Barbary ground squirrels perform low-quality vigilance but spend a greater proportion of </w:t>
      </w:r>
      <w:r w:rsidR="008C1F4F">
        <w:t xml:space="preserve">their </w:t>
      </w:r>
      <w:r w:rsidR="00C4593B">
        <w:t>time being exclusively vigilant from raised positions</w:t>
      </w:r>
      <w:r w:rsidR="003157FA">
        <w:t xml:space="preserve"> indicating that natural selection favours high-quality vigilance</w:t>
      </w:r>
      <w:r w:rsidR="00C4593B">
        <w:t xml:space="preserve">. </w:t>
      </w:r>
      <w:r w:rsidR="00DC31D5">
        <w:t>Future research on vigilance in the Barbary ground squirrel could record all behaviours of the individuals in sight to gain complete information on an individual’s or a group’s activity budget, or to test whether vigilance is</w:t>
      </w:r>
      <w:r w:rsidR="00DC31D5">
        <w:rPr>
          <w:rFonts w:eastAsia="Times New Roman" w:cs="Times New Roman"/>
        </w:rPr>
        <w:t xml:space="preserve"> dependent, i.e., either synchronised or coordinated, which may also explain the partial lack </w:t>
      </w:r>
      <w:r w:rsidR="00AB5369">
        <w:rPr>
          <w:rFonts w:eastAsia="Times New Roman" w:cs="Times New Roman"/>
        </w:rPr>
        <w:t>of a</w:t>
      </w:r>
      <w:r w:rsidR="00DC31D5">
        <w:rPr>
          <w:rFonts w:eastAsia="Times New Roman" w:cs="Times New Roman"/>
        </w:rPr>
        <w:t xml:space="preserve"> relationship between vigilance and group size in this species</w:t>
      </w:r>
      <w:r w:rsidR="00DC31D5">
        <w:t xml:space="preserve">. </w:t>
      </w:r>
      <w:r w:rsidR="007966AB">
        <w:t>In future studies a smaller radius should be used to define a group for two reasons. First, Barbary ground squirrels may not perceive individuals further away to be in the same group. Second, larger distances between</w:t>
      </w:r>
      <w:r w:rsidR="0002039B">
        <w:t xml:space="preserve"> alarm call signallers and receivers would make collective detection less effective </w:t>
      </w:r>
      <w:r w:rsidR="0002039B">
        <w:fldChar w:fldCharType="begin" w:fldLock="1"/>
      </w:r>
      <w:r w:rsidR="007C7EDC">
        <w:instrText>ADDIN CSL_CITATION {"citationItems":[{"id":"ITEM-1","itemData":{"DOI":"10.1016/B978-0-12-801983-2/00005-X","ISBN":"9780128019832","author":[{"dropping-particle":"","family":"Beauchamp","given":"Guy","non-dropping-particle":"","parse-names":false,"suffix":""}],"chapter-number":"5","container-title":"Animal Vigilance: Monitoring Predators and Competitors","id":"ITEM-1","issued":{"date-parts":[["2015"]]},"page":"117-139","publisher":"Elsevier Science","title":"Animal vigilance and group size: theory","type":"chapter"},"uris":["http://www.mendeley.com/documents/?uuid=f9a71b07-1f83-4692-b075-6249600d386f"]},{"id":"ITEM-2","itemData":{"DOI":"10.1016/j.anbehav.2006.09.014","ISSN":"00033472","author":[{"dropping-particle":"","family":"Fernández-Juricic","given":"Esteban","non-dropping-particle":"","parse-names":false,"suffix":""},{"dropping-particle":"","family":"Beauchamp","given":"Guy","non-dropping-particle":"","parse-names":false,"suffix":""},{"dropping-particle":"","family":"Bastain","given":"Bret","non-dropping-particle":"","parse-names":false,"suffix":""}],"container-title":"Animal Behaviour","id":"ITEM-2","issue":"5","issued":{"date-parts":[["2007","5"]]},"page":"771-778","title":"Group-size and distance-to-neighbour effects on feeding and vigilance in brown-headed cowbirds","type":"article-journal","volume":"73"},"uris":["http://www.mendeley.com/documents/?uuid=8df06765-8cba-41c4-b95e-3a625b644b2e"]}],"mendeley":{"formattedCitation":"(Beauchamp, 2015a; Fernández-Juricic, Beauchamp, &amp; Bastain, 2007)","plainTextFormattedCitation":"(Beauchamp, 2015a; Fernández-Juricic, Beauchamp, &amp; Bastain, 2007)","previouslyFormattedCitation":"(Beauchamp, 2015a; Fernández-Juricic, Beauchamp, &amp; Bastain, 2007)"},"properties":{"noteIndex":0},"schema":"https://github.com/citation-style-language/schema/raw/master/csl-citation.json"}</w:instrText>
      </w:r>
      <w:r w:rsidR="0002039B">
        <w:fldChar w:fldCharType="separate"/>
      </w:r>
      <w:r w:rsidR="00FB2B64" w:rsidRPr="00FB2B64">
        <w:rPr>
          <w:noProof/>
        </w:rPr>
        <w:t>(Beauchamp, 2015a; Fernández-Juricic, Beauchamp, &amp; Bastain, 2007)</w:t>
      </w:r>
      <w:r w:rsidR="0002039B">
        <w:fldChar w:fldCharType="end"/>
      </w:r>
      <w:r w:rsidR="0002039B">
        <w:t xml:space="preserve">. </w:t>
      </w:r>
      <w:r w:rsidR="00887768">
        <w:t xml:space="preserve">This latter point is especially important, </w:t>
      </w:r>
      <w:r w:rsidR="0002039B">
        <w:t>since a greater distance between signaller</w:t>
      </w:r>
      <w:r w:rsidR="003D4159">
        <w:t xml:space="preserve"> </w:t>
      </w:r>
      <w:r w:rsidR="0002039B">
        <w:t xml:space="preserve">and receiver results in lower predation risk perception for the receiver </w:t>
      </w:r>
      <w:r w:rsidR="0002039B">
        <w:fldChar w:fldCharType="begin" w:fldLock="1"/>
      </w:r>
      <w:r w:rsidR="007C7EDC">
        <w:instrText>ADDIN CSL_CITATION {"citationItems":[{"id":"ITEM-1","itemData":{"DOI":"10.1007/s00265-010-0914-3","author":[{"dropping-particle":"","family":"Wheeler","given":"Brandon C","non-dropping-particle":"","parse-names":false,"suffix":""}],"container-title":"Behavioral Ecology and Sociobiology","id":"ITEM-1","issued":{"date-parts":[["2010"]]},"page":"989-1000","title":"Production and perception of situationally variable alarm calls in wild tufted capuchin monkeys (&lt;i&gt;Cebus apella nigritus&lt;/i&gt;)","type":"article-journal","volume":"64"},"uris":["http://www.mendeley.com/documents/?uuid=d4da30ce-dba1-472a-9464-85540749cd4c"]},{"id":"ITEM-2","itemData":{"DOI":"10.1093/beheco/aru151","author":[{"dropping-particle":"","family":"Ducheminsky","given":"Nicholas","non-dropping-particle":"","parse-names":false,"suffix":""},{"dropping-particle":"","family":"Henzi","given":"S Peter","non-dropping-particle":"","parse-names":false,"suffix":""},{"dropping-particle":"","family":"Barrett","given":"Louise","non-dropping-particle":"","parse-names":false,"suffix":""}],"container-title":"Behavioral Ecology","id":"ITEM-2","issued":{"date-parts":[["2014"]]},"page":"1474-1484","title":"Responses of vervet monkeys in large troops to terrestrial and aerial predator alarm calls","type":"article-journal","volume":"25"},"uris":["http://www.mendeley.com/documents/?uuid=127b1b61-cf6f-47a7-a7ca-a4fe52c893c4"]}],"mendeley":{"formattedCitation":"(Ducheminsky et al., 2014; Wheeler, 2010)","plainTextFormattedCitation":"(Ducheminsky et al., 2014; Wheeler, 2010)","previouslyFormattedCitation":"(Ducheminsky et al., 2014; Wheeler, 2010)"},"properties":{"noteIndex":0},"schema":"https://github.com/citation-style-language/schema/raw/master/csl-citation.json"}</w:instrText>
      </w:r>
      <w:r w:rsidR="0002039B">
        <w:fldChar w:fldCharType="separate"/>
      </w:r>
      <w:r w:rsidR="002456A0" w:rsidRPr="002456A0">
        <w:rPr>
          <w:noProof/>
        </w:rPr>
        <w:t>(Ducheminsky et al., 2014; Wheeler, 2010)</w:t>
      </w:r>
      <w:r w:rsidR="0002039B">
        <w:fldChar w:fldCharType="end"/>
      </w:r>
      <w:r w:rsidR="0002039B">
        <w:t xml:space="preserve">. </w:t>
      </w:r>
      <w:r w:rsidR="00AB0C6F">
        <w:t xml:space="preserve">Finally, a major question still remains: </w:t>
      </w:r>
      <w:r w:rsidR="00AB5369">
        <w:t>w</w:t>
      </w:r>
      <w:r w:rsidR="00AB0C6F">
        <w:t xml:space="preserve">hich individuals and groups are at the extremes </w:t>
      </w:r>
      <w:r w:rsidR="004C6125">
        <w:t>(</w:t>
      </w:r>
      <w:r w:rsidR="0062468B">
        <w:t xml:space="preserve">i.e., </w:t>
      </w:r>
      <w:r w:rsidR="004C6125">
        <w:t xml:space="preserve">0.2 and 0.8 quantile) </w:t>
      </w:r>
      <w:r w:rsidR="00AB0C6F">
        <w:t>of the vigilance level</w:t>
      </w:r>
      <w:r w:rsidR="003E1773">
        <w:t>s</w:t>
      </w:r>
      <w:r w:rsidR="00AB0C6F">
        <w:t xml:space="preserve">? Social network analysis may prove useful </w:t>
      </w:r>
      <w:r w:rsidR="00AB0C6F">
        <w:lastRenderedPageBreak/>
        <w:t xml:space="preserve">to answer </w:t>
      </w:r>
      <w:r w:rsidR="00CE670B">
        <w:t xml:space="preserve">this </w:t>
      </w:r>
      <w:r w:rsidR="00AB0C6F">
        <w:t xml:space="preserve">question. </w:t>
      </w:r>
      <w:r w:rsidR="00DC31D5">
        <w:t xml:space="preserve">Overall, our results show that collective detection is one of the benefits of grouping in the Barbary ground squirrel. </w:t>
      </w:r>
    </w:p>
    <w:p w14:paraId="45AE0CA8" w14:textId="77777777" w:rsidR="00DC31D5" w:rsidRPr="007D78B8" w:rsidRDefault="00DC31D5" w:rsidP="00DC31D5">
      <w:pPr>
        <w:pStyle w:val="NoSpacing"/>
        <w:spacing w:line="480" w:lineRule="auto"/>
      </w:pPr>
    </w:p>
    <w:p w14:paraId="7FFFA86C" w14:textId="77777777" w:rsidR="00DC31D5" w:rsidRDefault="00DC31D5" w:rsidP="001E2AF5">
      <w:pPr>
        <w:pStyle w:val="Heading2"/>
      </w:pPr>
      <w:r w:rsidRPr="001E2AF5">
        <w:rPr>
          <w:color w:val="auto"/>
          <w:sz w:val="22"/>
        </w:rPr>
        <w:t>References</w:t>
      </w:r>
    </w:p>
    <w:p w14:paraId="5376431D" w14:textId="55C2FFB6" w:rsidR="004D653A" w:rsidRPr="004D653A" w:rsidRDefault="00DC31D5" w:rsidP="004D653A">
      <w:pPr>
        <w:widowControl w:val="0"/>
        <w:autoSpaceDE w:val="0"/>
        <w:autoSpaceDN w:val="0"/>
        <w:adjustRightInd w:val="0"/>
        <w:spacing w:after="0" w:line="480" w:lineRule="auto"/>
        <w:ind w:left="480" w:hanging="480"/>
        <w:rPr>
          <w:rFonts w:ascii="Calibri" w:hAnsi="Calibri" w:cs="Calibri"/>
          <w:noProof/>
          <w:szCs w:val="24"/>
        </w:rPr>
      </w:pPr>
      <w:r>
        <w:fldChar w:fldCharType="begin" w:fldLock="1"/>
      </w:r>
      <w:r>
        <w:instrText xml:space="preserve">ADDIN Mendeley Bibliography CSL_BIBLIOGRAPHY </w:instrText>
      </w:r>
      <w:r>
        <w:fldChar w:fldCharType="separate"/>
      </w:r>
      <w:r w:rsidR="004D653A" w:rsidRPr="004D653A">
        <w:rPr>
          <w:rFonts w:ascii="Calibri" w:hAnsi="Calibri" w:cs="Calibri"/>
          <w:noProof/>
          <w:szCs w:val="24"/>
        </w:rPr>
        <w:t xml:space="preserve">Alexander, R. D. (1974). The evolution of social behavior. </w:t>
      </w:r>
      <w:r w:rsidR="004D653A" w:rsidRPr="004D653A">
        <w:rPr>
          <w:rFonts w:ascii="Calibri" w:hAnsi="Calibri" w:cs="Calibri"/>
          <w:i/>
          <w:iCs/>
          <w:noProof/>
          <w:szCs w:val="24"/>
        </w:rPr>
        <w:t>Annual Review of Systematic Ecology</w:t>
      </w:r>
      <w:r w:rsidR="004D653A" w:rsidRPr="004D653A">
        <w:rPr>
          <w:rFonts w:ascii="Calibri" w:hAnsi="Calibri" w:cs="Calibri"/>
          <w:noProof/>
          <w:szCs w:val="24"/>
        </w:rPr>
        <w:t xml:space="preserve">, </w:t>
      </w:r>
      <w:r w:rsidR="004D653A" w:rsidRPr="004D653A">
        <w:rPr>
          <w:rFonts w:ascii="Calibri" w:hAnsi="Calibri" w:cs="Calibri"/>
          <w:i/>
          <w:iCs/>
          <w:noProof/>
          <w:szCs w:val="24"/>
        </w:rPr>
        <w:t>5</w:t>
      </w:r>
      <w:r w:rsidR="004D653A" w:rsidRPr="004D653A">
        <w:rPr>
          <w:rFonts w:ascii="Calibri" w:hAnsi="Calibri" w:cs="Calibri"/>
          <w:noProof/>
          <w:szCs w:val="24"/>
        </w:rPr>
        <w:t>, 325–383.</w:t>
      </w:r>
    </w:p>
    <w:p w14:paraId="7AF98F97"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Altmann, J. (1974). Observational study of behavior: Sampling methods. </w:t>
      </w:r>
      <w:r w:rsidRPr="004D653A">
        <w:rPr>
          <w:rFonts w:ascii="Calibri" w:hAnsi="Calibri" w:cs="Calibri"/>
          <w:i/>
          <w:iCs/>
          <w:noProof/>
          <w:szCs w:val="24"/>
        </w:rPr>
        <w:t>Behaviour</w:t>
      </w:r>
      <w:r w:rsidRPr="004D653A">
        <w:rPr>
          <w:rFonts w:ascii="Calibri" w:hAnsi="Calibri" w:cs="Calibri"/>
          <w:noProof/>
          <w:szCs w:val="24"/>
        </w:rPr>
        <w:t xml:space="preserve">, </w:t>
      </w:r>
      <w:r w:rsidRPr="004D653A">
        <w:rPr>
          <w:rFonts w:ascii="Calibri" w:hAnsi="Calibri" w:cs="Calibri"/>
          <w:i/>
          <w:iCs/>
          <w:noProof/>
          <w:szCs w:val="24"/>
        </w:rPr>
        <w:t>49</w:t>
      </w:r>
      <w:r w:rsidRPr="004D653A">
        <w:rPr>
          <w:rFonts w:ascii="Calibri" w:hAnsi="Calibri" w:cs="Calibri"/>
          <w:noProof/>
          <w:szCs w:val="24"/>
        </w:rPr>
        <w:t>, 227–267.</w:t>
      </w:r>
    </w:p>
    <w:p w14:paraId="53068ED0"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Beauchamp, G. (2013). Is the magnitude of the group-size effect on vigilance underestimated?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85</w:t>
      </w:r>
      <w:r w:rsidRPr="004D653A">
        <w:rPr>
          <w:rFonts w:ascii="Calibri" w:hAnsi="Calibri" w:cs="Calibri"/>
          <w:noProof/>
          <w:szCs w:val="24"/>
        </w:rPr>
        <w:t>, 281–285. http://doi.org/10.1093/beheco/arn096</w:t>
      </w:r>
    </w:p>
    <w:p w14:paraId="3DA19E40"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Beauchamp, G. (2015a). Animal vigilance and group size: theory. In </w:t>
      </w:r>
      <w:r w:rsidRPr="004D653A">
        <w:rPr>
          <w:rFonts w:ascii="Calibri" w:hAnsi="Calibri" w:cs="Calibri"/>
          <w:i/>
          <w:iCs/>
          <w:noProof/>
          <w:szCs w:val="24"/>
        </w:rPr>
        <w:t>Animal Vigilance: Monitoring Predators and Competitors</w:t>
      </w:r>
      <w:r w:rsidRPr="004D653A">
        <w:rPr>
          <w:rFonts w:ascii="Calibri" w:hAnsi="Calibri" w:cs="Calibri"/>
          <w:noProof/>
          <w:szCs w:val="24"/>
        </w:rPr>
        <w:t xml:space="preserve"> (pp. 117–139). Elsevier Science. http://doi.org/10.1016/B978-0-12-801983-2/00005-X</w:t>
      </w:r>
    </w:p>
    <w:p w14:paraId="7C40CB2C"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Beauchamp, G. (2015b). Synchronization and coordination of animal vigilance. In </w:t>
      </w:r>
      <w:r w:rsidRPr="004D653A">
        <w:rPr>
          <w:rFonts w:ascii="Calibri" w:hAnsi="Calibri" w:cs="Calibri"/>
          <w:i/>
          <w:iCs/>
          <w:noProof/>
          <w:szCs w:val="24"/>
        </w:rPr>
        <w:t>Animal Vigilance: Monitoring Predators and Competitors</w:t>
      </w:r>
      <w:r w:rsidRPr="004D653A">
        <w:rPr>
          <w:rFonts w:ascii="Calibri" w:hAnsi="Calibri" w:cs="Calibri"/>
          <w:noProof/>
          <w:szCs w:val="24"/>
        </w:rPr>
        <w:t xml:space="preserve"> (pp. 155–172). Elsevier Science.</w:t>
      </w:r>
    </w:p>
    <w:p w14:paraId="5CBF5397"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Beauchamp, G. (2017). Disentangling the various mechanisms that account for the decline in vigilance with group size. </w:t>
      </w:r>
      <w:r w:rsidRPr="004D653A">
        <w:rPr>
          <w:rFonts w:ascii="Calibri" w:hAnsi="Calibri" w:cs="Calibri"/>
          <w:i/>
          <w:iCs/>
          <w:noProof/>
          <w:szCs w:val="24"/>
        </w:rPr>
        <w:t>Behavioural Processes</w:t>
      </w:r>
      <w:r w:rsidRPr="004D653A">
        <w:rPr>
          <w:rFonts w:ascii="Calibri" w:hAnsi="Calibri" w:cs="Calibri"/>
          <w:noProof/>
          <w:szCs w:val="24"/>
        </w:rPr>
        <w:t xml:space="preserve">, </w:t>
      </w:r>
      <w:r w:rsidRPr="004D653A">
        <w:rPr>
          <w:rFonts w:ascii="Calibri" w:hAnsi="Calibri" w:cs="Calibri"/>
          <w:i/>
          <w:iCs/>
          <w:noProof/>
          <w:szCs w:val="24"/>
        </w:rPr>
        <w:t>136</w:t>
      </w:r>
      <w:r w:rsidRPr="004D653A">
        <w:rPr>
          <w:rFonts w:ascii="Calibri" w:hAnsi="Calibri" w:cs="Calibri"/>
          <w:noProof/>
          <w:szCs w:val="24"/>
        </w:rPr>
        <w:t>, 59–63. http://doi.org/10.1016/j.beproc.2017.01.014</w:t>
      </w:r>
    </w:p>
    <w:p w14:paraId="32F6A465"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Beauchamp, G., &amp; Ruxton, G. D. (2008). Disentangling risk dilution and collective detection in the antipredator vigilance of semipalmated sandpipers in flocks.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75</w:t>
      </w:r>
      <w:r w:rsidRPr="004D653A">
        <w:rPr>
          <w:rFonts w:ascii="Calibri" w:hAnsi="Calibri" w:cs="Calibri"/>
          <w:noProof/>
          <w:szCs w:val="24"/>
        </w:rPr>
        <w:t>(6), 1837–1842. http://doi.org/10.1016/j.anbehav.2007.12.016</w:t>
      </w:r>
    </w:p>
    <w:p w14:paraId="3B0D76AE"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Bednekoff, P. A., &amp; Lima, S. L. (1998). Re-examining safety in numbers: interactions between risk dilution and collective detection depend upon predator targeting behaviour. </w:t>
      </w:r>
      <w:r w:rsidRPr="004D653A">
        <w:rPr>
          <w:rFonts w:ascii="Calibri" w:hAnsi="Calibri" w:cs="Calibri"/>
          <w:i/>
          <w:iCs/>
          <w:noProof/>
          <w:szCs w:val="24"/>
        </w:rPr>
        <w:t>Proceedings of the Royal Society B: Biological Sciences</w:t>
      </w:r>
      <w:r w:rsidRPr="004D653A">
        <w:rPr>
          <w:rFonts w:ascii="Calibri" w:hAnsi="Calibri" w:cs="Calibri"/>
          <w:noProof/>
          <w:szCs w:val="24"/>
        </w:rPr>
        <w:t xml:space="preserve">, </w:t>
      </w:r>
      <w:r w:rsidRPr="004D653A">
        <w:rPr>
          <w:rFonts w:ascii="Calibri" w:hAnsi="Calibri" w:cs="Calibri"/>
          <w:i/>
          <w:iCs/>
          <w:noProof/>
          <w:szCs w:val="24"/>
        </w:rPr>
        <w:t>265</w:t>
      </w:r>
      <w:r w:rsidRPr="004D653A">
        <w:rPr>
          <w:rFonts w:ascii="Calibri" w:hAnsi="Calibri" w:cs="Calibri"/>
          <w:noProof/>
          <w:szCs w:val="24"/>
        </w:rPr>
        <w:t>(1409), 2021–2026. http://doi.org/10.1098/rspb.1998.0535</w:t>
      </w:r>
    </w:p>
    <w:p w14:paraId="0E8ECFB3"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Bell, M. B. V., Radford, A. N., Rose, R., Wade, H. M., &amp; Ridley, A. R. (2009). The value of constant surveillance in a risky environment. </w:t>
      </w:r>
      <w:r w:rsidRPr="004D653A">
        <w:rPr>
          <w:rFonts w:ascii="Calibri" w:hAnsi="Calibri" w:cs="Calibri"/>
          <w:i/>
          <w:iCs/>
          <w:noProof/>
          <w:szCs w:val="24"/>
        </w:rPr>
        <w:t>Proceedings of the Royal Society B: Biological Sciences</w:t>
      </w:r>
      <w:r w:rsidRPr="004D653A">
        <w:rPr>
          <w:rFonts w:ascii="Calibri" w:hAnsi="Calibri" w:cs="Calibri"/>
          <w:noProof/>
          <w:szCs w:val="24"/>
        </w:rPr>
        <w:t xml:space="preserve">, </w:t>
      </w:r>
      <w:r w:rsidRPr="004D653A">
        <w:rPr>
          <w:rFonts w:ascii="Calibri" w:hAnsi="Calibri" w:cs="Calibri"/>
          <w:i/>
          <w:iCs/>
          <w:noProof/>
          <w:szCs w:val="24"/>
        </w:rPr>
        <w:lastRenderedPageBreak/>
        <w:t>276</w:t>
      </w:r>
      <w:r w:rsidRPr="004D653A">
        <w:rPr>
          <w:rFonts w:ascii="Calibri" w:hAnsi="Calibri" w:cs="Calibri"/>
          <w:noProof/>
          <w:szCs w:val="24"/>
        </w:rPr>
        <w:t>(1669), 2997–3005. http://doi.org/10.1098/rspb.2009.0276</w:t>
      </w:r>
    </w:p>
    <w:p w14:paraId="17C2BB61"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Bertram, B. C. R. (1978). Living in groups: predators and prey. In J. R. Krebs &amp; N. B. Davies (Eds.), </w:t>
      </w:r>
      <w:r w:rsidRPr="004D653A">
        <w:rPr>
          <w:rFonts w:ascii="Calibri" w:hAnsi="Calibri" w:cs="Calibri"/>
          <w:i/>
          <w:iCs/>
          <w:noProof/>
          <w:szCs w:val="24"/>
        </w:rPr>
        <w:t>Behavioural ecology: An evolutionary approach</w:t>
      </w:r>
      <w:r w:rsidRPr="004D653A">
        <w:rPr>
          <w:rFonts w:ascii="Calibri" w:hAnsi="Calibri" w:cs="Calibri"/>
          <w:noProof/>
          <w:szCs w:val="24"/>
        </w:rPr>
        <w:t xml:space="preserve"> (pp. 64–96). Oxford: Blackwell Scientific Publications.</w:t>
      </w:r>
    </w:p>
    <w:p w14:paraId="249B384E"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Bertram, B. C. R. (1980). Vigilance and group size in ostriches.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28</w:t>
      </w:r>
      <w:r w:rsidRPr="004D653A">
        <w:rPr>
          <w:rFonts w:ascii="Calibri" w:hAnsi="Calibri" w:cs="Calibri"/>
          <w:noProof/>
          <w:szCs w:val="24"/>
        </w:rPr>
        <w:t>(1), 278–286. http://doi.org/10.1016/S0003-3472(80)80030-3</w:t>
      </w:r>
    </w:p>
    <w:p w14:paraId="71CBC76C"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Blumstein, D. T. (2007). The evolution of alarm communication in rodents: Structure, function, and the puzzle of apparently altruistic calling. In J. O. Wolff &amp; P. W. Sherman (Eds.), </w:t>
      </w:r>
      <w:r w:rsidRPr="004D653A">
        <w:rPr>
          <w:rFonts w:ascii="Calibri" w:hAnsi="Calibri" w:cs="Calibri"/>
          <w:i/>
          <w:iCs/>
          <w:noProof/>
          <w:szCs w:val="24"/>
        </w:rPr>
        <w:t>Rodent societies: An ecological &amp; evolutionary perspective</w:t>
      </w:r>
      <w:r w:rsidRPr="004D653A">
        <w:rPr>
          <w:rFonts w:ascii="Calibri" w:hAnsi="Calibri" w:cs="Calibri"/>
          <w:noProof/>
          <w:szCs w:val="24"/>
        </w:rPr>
        <w:t xml:space="preserve"> (pp. 317–327). Chicago: The university of Chicago Press.</w:t>
      </w:r>
    </w:p>
    <w:p w14:paraId="31AE7831"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Blumstein, D. T., Barrow, L., &amp; Luterra, M. (2008). Olfactory predator discrimination in Yellow-Bellied marmots.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114</w:t>
      </w:r>
      <w:r w:rsidRPr="004D653A">
        <w:rPr>
          <w:rFonts w:ascii="Calibri" w:hAnsi="Calibri" w:cs="Calibri"/>
          <w:noProof/>
          <w:szCs w:val="24"/>
        </w:rPr>
        <w:t>(11), 1135–1143. http://doi.org/10.1111/j.1439-0310.2008.01563.x</w:t>
      </w:r>
    </w:p>
    <w:p w14:paraId="0D45B051"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Blumstein, D. T., &amp; Daniel, J. C. (2003). Red kangaroos (</w:t>
      </w:r>
      <w:r w:rsidRPr="004D653A">
        <w:rPr>
          <w:rFonts w:ascii="Calibri" w:hAnsi="Calibri" w:cs="Calibri"/>
          <w:i/>
          <w:iCs/>
          <w:noProof/>
          <w:szCs w:val="24"/>
        </w:rPr>
        <w:t>Macropus rufus</w:t>
      </w:r>
      <w:r w:rsidRPr="004D653A">
        <w:rPr>
          <w:rFonts w:ascii="Calibri" w:hAnsi="Calibri" w:cs="Calibri"/>
          <w:noProof/>
          <w:szCs w:val="24"/>
        </w:rPr>
        <w:t xml:space="preserve">) receive an antipredator benefit from aggregation. </w:t>
      </w:r>
      <w:r w:rsidRPr="004D653A">
        <w:rPr>
          <w:rFonts w:ascii="Calibri" w:hAnsi="Calibri" w:cs="Calibri"/>
          <w:i/>
          <w:iCs/>
          <w:noProof/>
          <w:szCs w:val="24"/>
        </w:rPr>
        <w:t>Acta Ethologica</w:t>
      </w:r>
      <w:r w:rsidRPr="004D653A">
        <w:rPr>
          <w:rFonts w:ascii="Calibri" w:hAnsi="Calibri" w:cs="Calibri"/>
          <w:noProof/>
          <w:szCs w:val="24"/>
        </w:rPr>
        <w:t xml:space="preserve">, </w:t>
      </w:r>
      <w:r w:rsidRPr="004D653A">
        <w:rPr>
          <w:rFonts w:ascii="Calibri" w:hAnsi="Calibri" w:cs="Calibri"/>
          <w:i/>
          <w:iCs/>
          <w:noProof/>
          <w:szCs w:val="24"/>
        </w:rPr>
        <w:t>5</w:t>
      </w:r>
      <w:r w:rsidRPr="004D653A">
        <w:rPr>
          <w:rFonts w:ascii="Calibri" w:hAnsi="Calibri" w:cs="Calibri"/>
          <w:noProof/>
          <w:szCs w:val="24"/>
        </w:rPr>
        <w:t>, 95–99. http://doi.org/10.1007/s10211-002-0070-5</w:t>
      </w:r>
    </w:p>
    <w:p w14:paraId="4589D5F6"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Blumstein, D. T., Daniel, J. C., &amp; Evans, C. S. (2001). Yellow-footed rock-wallaby group size effects reflect a trade-off.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107</w:t>
      </w:r>
      <w:r w:rsidRPr="004D653A">
        <w:rPr>
          <w:rFonts w:ascii="Calibri" w:hAnsi="Calibri" w:cs="Calibri"/>
          <w:noProof/>
          <w:szCs w:val="24"/>
        </w:rPr>
        <w:t>, 655–664.</w:t>
      </w:r>
    </w:p>
    <w:p w14:paraId="53E22398"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Blumstein, D. T., Verneyre, L., &amp; Daniel, J. C. (2004). Reliability and the adaptive utility of discrimination among alarm callers. </w:t>
      </w:r>
      <w:r w:rsidRPr="004D653A">
        <w:rPr>
          <w:rFonts w:ascii="Calibri" w:hAnsi="Calibri" w:cs="Calibri"/>
          <w:i/>
          <w:iCs/>
          <w:noProof/>
          <w:szCs w:val="24"/>
        </w:rPr>
        <w:t>Proceedings. Biological Sciences / The Royal Society</w:t>
      </w:r>
      <w:r w:rsidRPr="004D653A">
        <w:rPr>
          <w:rFonts w:ascii="Calibri" w:hAnsi="Calibri" w:cs="Calibri"/>
          <w:noProof/>
          <w:szCs w:val="24"/>
        </w:rPr>
        <w:t xml:space="preserve">, </w:t>
      </w:r>
      <w:r w:rsidRPr="004D653A">
        <w:rPr>
          <w:rFonts w:ascii="Calibri" w:hAnsi="Calibri" w:cs="Calibri"/>
          <w:i/>
          <w:iCs/>
          <w:noProof/>
          <w:szCs w:val="24"/>
        </w:rPr>
        <w:t>271</w:t>
      </w:r>
      <w:r w:rsidRPr="004D653A">
        <w:rPr>
          <w:rFonts w:ascii="Calibri" w:hAnsi="Calibri" w:cs="Calibri"/>
          <w:noProof/>
          <w:szCs w:val="24"/>
        </w:rPr>
        <w:t>(1550), 1851–7. http://doi.org/10.1098/rspb.2004.2808</w:t>
      </w:r>
    </w:p>
    <w:p w14:paraId="257C6745"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Bolker, B., Skaug, H., Magnusson, A., &amp; Nielsen, A. (2012). Getting started with the glmmADMB package. </w:t>
      </w:r>
      <w:r w:rsidRPr="004D653A">
        <w:rPr>
          <w:rFonts w:ascii="Calibri" w:hAnsi="Calibri" w:cs="Calibri"/>
          <w:i/>
          <w:iCs/>
          <w:noProof/>
          <w:szCs w:val="24"/>
        </w:rPr>
        <w:t>R Package Ver. 2.0–8</w:t>
      </w:r>
      <w:r w:rsidRPr="004D653A">
        <w:rPr>
          <w:rFonts w:ascii="Calibri" w:hAnsi="Calibri" w:cs="Calibri"/>
          <w:noProof/>
          <w:szCs w:val="24"/>
        </w:rPr>
        <w:t>, 12.</w:t>
      </w:r>
    </w:p>
    <w:p w14:paraId="30928EDF"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Bradbury, J., &amp; Vehrencamp, S. L. (1998). </w:t>
      </w:r>
      <w:r w:rsidRPr="004D653A">
        <w:rPr>
          <w:rFonts w:ascii="Calibri" w:hAnsi="Calibri" w:cs="Calibri"/>
          <w:i/>
          <w:iCs/>
          <w:noProof/>
          <w:szCs w:val="24"/>
        </w:rPr>
        <w:t>Principles of animal communication</w:t>
      </w:r>
      <w:r w:rsidRPr="004D653A">
        <w:rPr>
          <w:rFonts w:ascii="Calibri" w:hAnsi="Calibri" w:cs="Calibri"/>
          <w:noProof/>
          <w:szCs w:val="24"/>
        </w:rPr>
        <w:t>. Sunderland, Mass: Sinauer Associates Inc.</w:t>
      </w:r>
    </w:p>
    <w:p w14:paraId="017FBB76"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Briefer, E. F. (2012). Vocal expression of emotions in mammals: Mechanisms of production and evidence. </w:t>
      </w:r>
      <w:r w:rsidRPr="004D653A">
        <w:rPr>
          <w:rFonts w:ascii="Calibri" w:hAnsi="Calibri" w:cs="Calibri"/>
          <w:i/>
          <w:iCs/>
          <w:noProof/>
          <w:szCs w:val="24"/>
        </w:rPr>
        <w:t>Journal of Zoology</w:t>
      </w:r>
      <w:r w:rsidRPr="004D653A">
        <w:rPr>
          <w:rFonts w:ascii="Calibri" w:hAnsi="Calibri" w:cs="Calibri"/>
          <w:noProof/>
          <w:szCs w:val="24"/>
        </w:rPr>
        <w:t xml:space="preserve">, </w:t>
      </w:r>
      <w:r w:rsidRPr="004D653A">
        <w:rPr>
          <w:rFonts w:ascii="Calibri" w:hAnsi="Calibri" w:cs="Calibri"/>
          <w:i/>
          <w:iCs/>
          <w:noProof/>
          <w:szCs w:val="24"/>
        </w:rPr>
        <w:t>288</w:t>
      </w:r>
      <w:r w:rsidRPr="004D653A">
        <w:rPr>
          <w:rFonts w:ascii="Calibri" w:hAnsi="Calibri" w:cs="Calibri"/>
          <w:noProof/>
          <w:szCs w:val="24"/>
        </w:rPr>
        <w:t>(1), 1–20. http://doi.org/10.1111/j.1469-7998.2012.00920.x</w:t>
      </w:r>
    </w:p>
    <w:p w14:paraId="1C47450F"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lastRenderedPageBreak/>
        <w:t xml:space="preserve">Brown, J., Laundre, W., &amp; Gurung, M. (1999). The ecology of fear: optimal foraging, game theory, and trophic interactions. </w:t>
      </w:r>
      <w:r w:rsidRPr="004D653A">
        <w:rPr>
          <w:rFonts w:ascii="Calibri" w:hAnsi="Calibri" w:cs="Calibri"/>
          <w:i/>
          <w:iCs/>
          <w:noProof/>
          <w:szCs w:val="24"/>
        </w:rPr>
        <w:t>Journal of Mammalogy</w:t>
      </w:r>
      <w:r w:rsidRPr="004D653A">
        <w:rPr>
          <w:rFonts w:ascii="Calibri" w:hAnsi="Calibri" w:cs="Calibri"/>
          <w:noProof/>
          <w:szCs w:val="24"/>
        </w:rPr>
        <w:t xml:space="preserve">, </w:t>
      </w:r>
      <w:r w:rsidRPr="004D653A">
        <w:rPr>
          <w:rFonts w:ascii="Calibri" w:hAnsi="Calibri" w:cs="Calibri"/>
          <w:i/>
          <w:iCs/>
          <w:noProof/>
          <w:szCs w:val="24"/>
        </w:rPr>
        <w:t>80</w:t>
      </w:r>
      <w:r w:rsidRPr="004D653A">
        <w:rPr>
          <w:rFonts w:ascii="Calibri" w:hAnsi="Calibri" w:cs="Calibri"/>
          <w:noProof/>
          <w:szCs w:val="24"/>
        </w:rPr>
        <w:t>(2), 385–399.</w:t>
      </w:r>
    </w:p>
    <w:p w14:paraId="753103D9"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Cade, B. S., &amp; Noon, B. R. (2003). A gentle introduction to quantile regression for ecologists. </w:t>
      </w:r>
      <w:r w:rsidRPr="004D653A">
        <w:rPr>
          <w:rFonts w:ascii="Calibri" w:hAnsi="Calibri" w:cs="Calibri"/>
          <w:i/>
          <w:iCs/>
          <w:noProof/>
          <w:szCs w:val="24"/>
        </w:rPr>
        <w:t>Frontiers in Ecology and the Environment</w:t>
      </w:r>
      <w:r w:rsidRPr="004D653A">
        <w:rPr>
          <w:rFonts w:ascii="Calibri" w:hAnsi="Calibri" w:cs="Calibri"/>
          <w:noProof/>
          <w:szCs w:val="24"/>
        </w:rPr>
        <w:t xml:space="preserve">, </w:t>
      </w:r>
      <w:r w:rsidRPr="004D653A">
        <w:rPr>
          <w:rFonts w:ascii="Calibri" w:hAnsi="Calibri" w:cs="Calibri"/>
          <w:i/>
          <w:iCs/>
          <w:noProof/>
          <w:szCs w:val="24"/>
        </w:rPr>
        <w:t>1</w:t>
      </w:r>
      <w:r w:rsidRPr="004D653A">
        <w:rPr>
          <w:rFonts w:ascii="Calibri" w:hAnsi="Calibri" w:cs="Calibri"/>
          <w:noProof/>
          <w:szCs w:val="24"/>
        </w:rPr>
        <w:t>(8), 412–420. http://doi.org/10.2307/3868138</w:t>
      </w:r>
    </w:p>
    <w:p w14:paraId="746D9866"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Cade, B. S., Noon, B. R., &amp; Flather, C. H. (2005). Quantile regression reveals hidden bias and uncertainity in habitat models. </w:t>
      </w:r>
      <w:r w:rsidRPr="004D653A">
        <w:rPr>
          <w:rFonts w:ascii="Calibri" w:hAnsi="Calibri" w:cs="Calibri"/>
          <w:i/>
          <w:iCs/>
          <w:noProof/>
          <w:szCs w:val="24"/>
        </w:rPr>
        <w:t>Ecology</w:t>
      </w:r>
      <w:r w:rsidRPr="004D653A">
        <w:rPr>
          <w:rFonts w:ascii="Calibri" w:hAnsi="Calibri" w:cs="Calibri"/>
          <w:noProof/>
          <w:szCs w:val="24"/>
        </w:rPr>
        <w:t xml:space="preserve">, </w:t>
      </w:r>
      <w:r w:rsidRPr="004D653A">
        <w:rPr>
          <w:rFonts w:ascii="Calibri" w:hAnsi="Calibri" w:cs="Calibri"/>
          <w:i/>
          <w:iCs/>
          <w:noProof/>
          <w:szCs w:val="24"/>
        </w:rPr>
        <w:t>86</w:t>
      </w:r>
      <w:r w:rsidRPr="004D653A">
        <w:rPr>
          <w:rFonts w:ascii="Calibri" w:hAnsi="Calibri" w:cs="Calibri"/>
          <w:noProof/>
          <w:szCs w:val="24"/>
        </w:rPr>
        <w:t>(3), 786–800. http://doi.org/10.1890/04-0785</w:t>
      </w:r>
    </w:p>
    <w:p w14:paraId="2B7C6D54"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Cade, B. S., Terrell, J. W., &amp; Schroeder, R. L. (1999). Estimating effects of limiting factors with regression. </w:t>
      </w:r>
      <w:r w:rsidRPr="004D653A">
        <w:rPr>
          <w:rFonts w:ascii="Calibri" w:hAnsi="Calibri" w:cs="Calibri"/>
          <w:i/>
          <w:iCs/>
          <w:noProof/>
          <w:szCs w:val="24"/>
        </w:rPr>
        <w:t>Ecology</w:t>
      </w:r>
      <w:r w:rsidRPr="004D653A">
        <w:rPr>
          <w:rFonts w:ascii="Calibri" w:hAnsi="Calibri" w:cs="Calibri"/>
          <w:noProof/>
          <w:szCs w:val="24"/>
        </w:rPr>
        <w:t xml:space="preserve">, </w:t>
      </w:r>
      <w:r w:rsidRPr="004D653A">
        <w:rPr>
          <w:rFonts w:ascii="Calibri" w:hAnsi="Calibri" w:cs="Calibri"/>
          <w:i/>
          <w:iCs/>
          <w:noProof/>
          <w:szCs w:val="24"/>
        </w:rPr>
        <w:t>80</w:t>
      </w:r>
      <w:r w:rsidRPr="004D653A">
        <w:rPr>
          <w:rFonts w:ascii="Calibri" w:hAnsi="Calibri" w:cs="Calibri"/>
          <w:noProof/>
          <w:szCs w:val="24"/>
        </w:rPr>
        <w:t>(1), 311–323.</w:t>
      </w:r>
    </w:p>
    <w:p w14:paraId="5F7AF51F"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Catterall, C. P., Elgar, M. A., &amp; Kikkawa, J. (1992). Vigilance does not covary with group-size in an island population of silvereyes (</w:t>
      </w:r>
      <w:r w:rsidRPr="004D653A">
        <w:rPr>
          <w:rFonts w:ascii="Calibri" w:hAnsi="Calibri" w:cs="Calibri"/>
          <w:i/>
          <w:iCs/>
          <w:noProof/>
          <w:szCs w:val="24"/>
        </w:rPr>
        <w:t>Zosterops-Lateralis</w:t>
      </w:r>
      <w:r w:rsidRPr="004D653A">
        <w:rPr>
          <w:rFonts w:ascii="Calibri" w:hAnsi="Calibri" w:cs="Calibri"/>
          <w:noProof/>
          <w:szCs w:val="24"/>
        </w:rPr>
        <w:t xml:space="preserve">). </w:t>
      </w:r>
      <w:r w:rsidRPr="004D653A">
        <w:rPr>
          <w:rFonts w:ascii="Calibri" w:hAnsi="Calibri" w:cs="Calibri"/>
          <w:i/>
          <w:iCs/>
          <w:noProof/>
          <w:szCs w:val="24"/>
        </w:rPr>
        <w:t>Behavioral Ecology</w:t>
      </w:r>
      <w:r w:rsidRPr="004D653A">
        <w:rPr>
          <w:rFonts w:ascii="Calibri" w:hAnsi="Calibri" w:cs="Calibri"/>
          <w:noProof/>
          <w:szCs w:val="24"/>
        </w:rPr>
        <w:t xml:space="preserve">, </w:t>
      </w:r>
      <w:r w:rsidRPr="004D653A">
        <w:rPr>
          <w:rFonts w:ascii="Calibri" w:hAnsi="Calibri" w:cs="Calibri"/>
          <w:i/>
          <w:iCs/>
          <w:noProof/>
          <w:szCs w:val="24"/>
        </w:rPr>
        <w:t>3</w:t>
      </w:r>
      <w:r w:rsidRPr="004D653A">
        <w:rPr>
          <w:rFonts w:ascii="Calibri" w:hAnsi="Calibri" w:cs="Calibri"/>
          <w:noProof/>
          <w:szCs w:val="24"/>
        </w:rPr>
        <w:t>(3), 207–210. http://doi.org/10.1093/beheco/3.3.207</w:t>
      </w:r>
    </w:p>
    <w:p w14:paraId="0B1A9CA7"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Chamaillé-Jammes, S., &amp; Blumstein, D. T. (2012). A case for quantile regression in behavioral ecology: Getting more out of flight initiation distance data. </w:t>
      </w:r>
      <w:r w:rsidRPr="004D653A">
        <w:rPr>
          <w:rFonts w:ascii="Calibri" w:hAnsi="Calibri" w:cs="Calibri"/>
          <w:i/>
          <w:iCs/>
          <w:noProof/>
          <w:szCs w:val="24"/>
        </w:rPr>
        <w:t>Behavioral Ecology and Sociobiology</w:t>
      </w:r>
      <w:r w:rsidRPr="004D653A">
        <w:rPr>
          <w:rFonts w:ascii="Calibri" w:hAnsi="Calibri" w:cs="Calibri"/>
          <w:noProof/>
          <w:szCs w:val="24"/>
        </w:rPr>
        <w:t xml:space="preserve">, </w:t>
      </w:r>
      <w:r w:rsidRPr="004D653A">
        <w:rPr>
          <w:rFonts w:ascii="Calibri" w:hAnsi="Calibri" w:cs="Calibri"/>
          <w:i/>
          <w:iCs/>
          <w:noProof/>
          <w:szCs w:val="24"/>
        </w:rPr>
        <w:t>66</w:t>
      </w:r>
      <w:r w:rsidRPr="004D653A">
        <w:rPr>
          <w:rFonts w:ascii="Calibri" w:hAnsi="Calibri" w:cs="Calibri"/>
          <w:noProof/>
          <w:szCs w:val="24"/>
        </w:rPr>
        <w:t>(6), 985–992. http://doi.org/10.1007/s00265-012-1354-z</w:t>
      </w:r>
    </w:p>
    <w:p w14:paraId="16F865D9"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Courter, J. R., &amp; Ritchison, G. (2010). Alarm calls of tufted titmice convey information about predator size and threat. </w:t>
      </w:r>
      <w:r w:rsidRPr="004D653A">
        <w:rPr>
          <w:rFonts w:ascii="Calibri" w:hAnsi="Calibri" w:cs="Calibri"/>
          <w:i/>
          <w:iCs/>
          <w:noProof/>
          <w:szCs w:val="24"/>
        </w:rPr>
        <w:t>Behavioral Ecology</w:t>
      </w:r>
      <w:r w:rsidRPr="004D653A">
        <w:rPr>
          <w:rFonts w:ascii="Calibri" w:hAnsi="Calibri" w:cs="Calibri"/>
          <w:noProof/>
          <w:szCs w:val="24"/>
        </w:rPr>
        <w:t xml:space="preserve">, </w:t>
      </w:r>
      <w:r w:rsidRPr="004D653A">
        <w:rPr>
          <w:rFonts w:ascii="Calibri" w:hAnsi="Calibri" w:cs="Calibri"/>
          <w:i/>
          <w:iCs/>
          <w:noProof/>
          <w:szCs w:val="24"/>
        </w:rPr>
        <w:t>21</w:t>
      </w:r>
      <w:r w:rsidRPr="004D653A">
        <w:rPr>
          <w:rFonts w:ascii="Calibri" w:hAnsi="Calibri" w:cs="Calibri"/>
          <w:noProof/>
          <w:szCs w:val="24"/>
        </w:rPr>
        <w:t>, 936–942. http://doi.org/10.1093/beheco/arq086</w:t>
      </w:r>
    </w:p>
    <w:p w14:paraId="5267EBA1"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Dall, S. R. X., Giraldeau, L. A., Olsson, O., McNamara, J. M., &amp; Stephens, D. W. (2005). Information and its use by animals in evolutionary ecology. </w:t>
      </w:r>
      <w:r w:rsidRPr="004D653A">
        <w:rPr>
          <w:rFonts w:ascii="Calibri" w:hAnsi="Calibri" w:cs="Calibri"/>
          <w:i/>
          <w:iCs/>
          <w:noProof/>
          <w:szCs w:val="24"/>
        </w:rPr>
        <w:t>Trends in Ecology and Evolution</w:t>
      </w:r>
      <w:r w:rsidRPr="004D653A">
        <w:rPr>
          <w:rFonts w:ascii="Calibri" w:hAnsi="Calibri" w:cs="Calibri"/>
          <w:noProof/>
          <w:szCs w:val="24"/>
        </w:rPr>
        <w:t xml:space="preserve">, </w:t>
      </w:r>
      <w:r w:rsidRPr="004D653A">
        <w:rPr>
          <w:rFonts w:ascii="Calibri" w:hAnsi="Calibri" w:cs="Calibri"/>
          <w:i/>
          <w:iCs/>
          <w:noProof/>
          <w:szCs w:val="24"/>
        </w:rPr>
        <w:t>20</w:t>
      </w:r>
      <w:r w:rsidRPr="004D653A">
        <w:rPr>
          <w:rFonts w:ascii="Calibri" w:hAnsi="Calibri" w:cs="Calibri"/>
          <w:noProof/>
          <w:szCs w:val="24"/>
        </w:rPr>
        <w:t>(4), 187–193. http://doi.org/10.1016/j.tree.2005.01.010</w:t>
      </w:r>
    </w:p>
    <w:p w14:paraId="77C7695C"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Dall, S. R. X., Kotler, B. P., &amp; Bouskila, A. (2001). Attention, ‘apprehension’ and gerbils searching in patches. </w:t>
      </w:r>
      <w:r w:rsidRPr="004D653A">
        <w:rPr>
          <w:rFonts w:ascii="Calibri" w:hAnsi="Calibri" w:cs="Calibri"/>
          <w:i/>
          <w:iCs/>
          <w:noProof/>
          <w:szCs w:val="24"/>
        </w:rPr>
        <w:t>Ann. Zool. Fennici</w:t>
      </w:r>
      <w:r w:rsidRPr="004D653A">
        <w:rPr>
          <w:rFonts w:ascii="Calibri" w:hAnsi="Calibri" w:cs="Calibri"/>
          <w:noProof/>
          <w:szCs w:val="24"/>
        </w:rPr>
        <w:t xml:space="preserve">, </w:t>
      </w:r>
      <w:r w:rsidRPr="004D653A">
        <w:rPr>
          <w:rFonts w:ascii="Calibri" w:hAnsi="Calibri" w:cs="Calibri"/>
          <w:i/>
          <w:iCs/>
          <w:noProof/>
          <w:szCs w:val="24"/>
        </w:rPr>
        <w:t>38</w:t>
      </w:r>
      <w:r w:rsidRPr="004D653A">
        <w:rPr>
          <w:rFonts w:ascii="Calibri" w:hAnsi="Calibri" w:cs="Calibri"/>
          <w:noProof/>
          <w:szCs w:val="24"/>
        </w:rPr>
        <w:t>, 15–23.</w:t>
      </w:r>
    </w:p>
    <w:p w14:paraId="3821E183"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Dehn, M. M. (1990). Vigilance for predators: detection and dilution effects. </w:t>
      </w:r>
      <w:r w:rsidRPr="004D653A">
        <w:rPr>
          <w:rFonts w:ascii="Calibri" w:hAnsi="Calibri" w:cs="Calibri"/>
          <w:i/>
          <w:iCs/>
          <w:noProof/>
          <w:szCs w:val="24"/>
        </w:rPr>
        <w:t>Behavioral Ecology and Sociobiology</w:t>
      </w:r>
      <w:r w:rsidRPr="004D653A">
        <w:rPr>
          <w:rFonts w:ascii="Calibri" w:hAnsi="Calibri" w:cs="Calibri"/>
          <w:noProof/>
          <w:szCs w:val="24"/>
        </w:rPr>
        <w:t xml:space="preserve">, </w:t>
      </w:r>
      <w:r w:rsidRPr="004D653A">
        <w:rPr>
          <w:rFonts w:ascii="Calibri" w:hAnsi="Calibri" w:cs="Calibri"/>
          <w:i/>
          <w:iCs/>
          <w:noProof/>
          <w:szCs w:val="24"/>
        </w:rPr>
        <w:t>26</w:t>
      </w:r>
      <w:r w:rsidRPr="004D653A">
        <w:rPr>
          <w:rFonts w:ascii="Calibri" w:hAnsi="Calibri" w:cs="Calibri"/>
          <w:noProof/>
          <w:szCs w:val="24"/>
        </w:rPr>
        <w:t>(5), 337–342. http://doi.org/10.1007/BF00171099</w:t>
      </w:r>
    </w:p>
    <w:p w14:paraId="06D5386F"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Ducheminsky, N., Henzi, S. P., &amp; Barrett, L. (2014). Responses of vervet monkeys in large troops to </w:t>
      </w:r>
      <w:r w:rsidRPr="004D653A">
        <w:rPr>
          <w:rFonts w:ascii="Calibri" w:hAnsi="Calibri" w:cs="Calibri"/>
          <w:noProof/>
          <w:szCs w:val="24"/>
        </w:rPr>
        <w:lastRenderedPageBreak/>
        <w:t xml:space="preserve">terrestrial and aerial predator alarm calls. </w:t>
      </w:r>
      <w:r w:rsidRPr="004D653A">
        <w:rPr>
          <w:rFonts w:ascii="Calibri" w:hAnsi="Calibri" w:cs="Calibri"/>
          <w:i/>
          <w:iCs/>
          <w:noProof/>
          <w:szCs w:val="24"/>
        </w:rPr>
        <w:t>Behavioral Ecology</w:t>
      </w:r>
      <w:r w:rsidRPr="004D653A">
        <w:rPr>
          <w:rFonts w:ascii="Calibri" w:hAnsi="Calibri" w:cs="Calibri"/>
          <w:noProof/>
          <w:szCs w:val="24"/>
        </w:rPr>
        <w:t xml:space="preserve">, </w:t>
      </w:r>
      <w:r w:rsidRPr="004D653A">
        <w:rPr>
          <w:rFonts w:ascii="Calibri" w:hAnsi="Calibri" w:cs="Calibri"/>
          <w:i/>
          <w:iCs/>
          <w:noProof/>
          <w:szCs w:val="24"/>
        </w:rPr>
        <w:t>25</w:t>
      </w:r>
      <w:r w:rsidRPr="004D653A">
        <w:rPr>
          <w:rFonts w:ascii="Calibri" w:hAnsi="Calibri" w:cs="Calibri"/>
          <w:noProof/>
          <w:szCs w:val="24"/>
        </w:rPr>
        <w:t>, 1474–1484. http://doi.org/10.1093/beheco/aru151</w:t>
      </w:r>
    </w:p>
    <w:p w14:paraId="3CE2A5A2"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Ebensperger, L. A., Hurtado, M. J., &amp; Ramos-Jiliberto, R. (2006). Vigilance and collective detection of predators in degus (</w:t>
      </w:r>
      <w:r w:rsidRPr="004D653A">
        <w:rPr>
          <w:rFonts w:ascii="Calibri" w:hAnsi="Calibri" w:cs="Calibri"/>
          <w:i/>
          <w:iCs/>
          <w:noProof/>
          <w:szCs w:val="24"/>
        </w:rPr>
        <w:t>Octodon degus</w:t>
      </w:r>
      <w:r w:rsidRPr="004D653A">
        <w:rPr>
          <w:rFonts w:ascii="Calibri" w:hAnsi="Calibri" w:cs="Calibri"/>
          <w:noProof/>
          <w:szCs w:val="24"/>
        </w:rPr>
        <w:t xml:space="preserve">).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112</w:t>
      </w:r>
      <w:r w:rsidRPr="004D653A">
        <w:rPr>
          <w:rFonts w:ascii="Calibri" w:hAnsi="Calibri" w:cs="Calibri"/>
          <w:noProof/>
          <w:szCs w:val="24"/>
        </w:rPr>
        <w:t>(9), 879–887. http://doi.org/10.1111/j.1439-0310.2006.01242.x</w:t>
      </w:r>
    </w:p>
    <w:p w14:paraId="5DF9113D"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Edwards, S., &amp; Waterman, J. M. (2011). Vigilance and grouping in the southern African ground squirrel (</w:t>
      </w:r>
      <w:r w:rsidRPr="004D653A">
        <w:rPr>
          <w:rFonts w:ascii="Calibri" w:hAnsi="Calibri" w:cs="Calibri"/>
          <w:i/>
          <w:iCs/>
          <w:noProof/>
          <w:szCs w:val="24"/>
        </w:rPr>
        <w:t>Xerus inauris</w:t>
      </w:r>
      <w:r w:rsidRPr="004D653A">
        <w:rPr>
          <w:rFonts w:ascii="Calibri" w:hAnsi="Calibri" w:cs="Calibri"/>
          <w:noProof/>
          <w:szCs w:val="24"/>
        </w:rPr>
        <w:t xml:space="preserve">). </w:t>
      </w:r>
      <w:r w:rsidRPr="004D653A">
        <w:rPr>
          <w:rFonts w:ascii="Calibri" w:hAnsi="Calibri" w:cs="Calibri"/>
          <w:i/>
          <w:iCs/>
          <w:noProof/>
          <w:szCs w:val="24"/>
        </w:rPr>
        <w:t>African Journal of Ecology</w:t>
      </w:r>
      <w:r w:rsidRPr="004D653A">
        <w:rPr>
          <w:rFonts w:ascii="Calibri" w:hAnsi="Calibri" w:cs="Calibri"/>
          <w:noProof/>
          <w:szCs w:val="24"/>
        </w:rPr>
        <w:t xml:space="preserve">, </w:t>
      </w:r>
      <w:r w:rsidRPr="004D653A">
        <w:rPr>
          <w:rFonts w:ascii="Calibri" w:hAnsi="Calibri" w:cs="Calibri"/>
          <w:i/>
          <w:iCs/>
          <w:noProof/>
          <w:szCs w:val="24"/>
        </w:rPr>
        <w:t>49</w:t>
      </w:r>
      <w:r w:rsidRPr="004D653A">
        <w:rPr>
          <w:rFonts w:ascii="Calibri" w:hAnsi="Calibri" w:cs="Calibri"/>
          <w:noProof/>
          <w:szCs w:val="24"/>
        </w:rPr>
        <w:t>(3), 286–291. http://doi.org/10.1111/j.1365-2028.2011.01262.x</w:t>
      </w:r>
    </w:p>
    <w:p w14:paraId="371745C0"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Elgar, M. (1989). Predator vigilance and group size in mammals and birds: a critical review of the empirical evidence. </w:t>
      </w:r>
      <w:r w:rsidRPr="004D653A">
        <w:rPr>
          <w:rFonts w:ascii="Calibri" w:hAnsi="Calibri" w:cs="Calibri"/>
          <w:i/>
          <w:iCs/>
          <w:noProof/>
          <w:szCs w:val="24"/>
        </w:rPr>
        <w:t>Biological Reviews</w:t>
      </w:r>
      <w:r w:rsidRPr="004D653A">
        <w:rPr>
          <w:rFonts w:ascii="Calibri" w:hAnsi="Calibri" w:cs="Calibri"/>
          <w:noProof/>
          <w:szCs w:val="24"/>
        </w:rPr>
        <w:t xml:space="preserve">, </w:t>
      </w:r>
      <w:r w:rsidRPr="004D653A">
        <w:rPr>
          <w:rFonts w:ascii="Calibri" w:hAnsi="Calibri" w:cs="Calibri"/>
          <w:i/>
          <w:iCs/>
          <w:noProof/>
          <w:szCs w:val="24"/>
        </w:rPr>
        <w:t>64</w:t>
      </w:r>
      <w:r w:rsidRPr="004D653A">
        <w:rPr>
          <w:rFonts w:ascii="Calibri" w:hAnsi="Calibri" w:cs="Calibri"/>
          <w:noProof/>
          <w:szCs w:val="24"/>
        </w:rPr>
        <w:t>(1), 13–33. http://doi.org/10.1111/j.1469-185X.1989.tb00636.x</w:t>
      </w:r>
    </w:p>
    <w:p w14:paraId="12DBA281"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Fairbanks, B., &amp; Dobson, F. S. (2007). Mechanisms of the group-size effect on vigilance in Columbian ground squirrels: dilution versus detection.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73</w:t>
      </w:r>
      <w:r w:rsidRPr="004D653A">
        <w:rPr>
          <w:rFonts w:ascii="Calibri" w:hAnsi="Calibri" w:cs="Calibri"/>
          <w:noProof/>
          <w:szCs w:val="24"/>
        </w:rPr>
        <w:t>(1), 115–123. http://doi.org/10.1016/j.anbehav.2006.07.002</w:t>
      </w:r>
    </w:p>
    <w:p w14:paraId="0EF5FAD8"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Favreau, F.-R., Goldizen, A. W., &amp; Pays, O. (2010). Interactions among social monitoring, anti-predator vigilance and group size in eastern grey kangaroos. </w:t>
      </w:r>
      <w:r w:rsidRPr="004D653A">
        <w:rPr>
          <w:rFonts w:ascii="Calibri" w:hAnsi="Calibri" w:cs="Calibri"/>
          <w:i/>
          <w:iCs/>
          <w:noProof/>
          <w:szCs w:val="24"/>
        </w:rPr>
        <w:t>Proceedings of the Royal Society B: Biological Sciences</w:t>
      </w:r>
      <w:r w:rsidRPr="004D653A">
        <w:rPr>
          <w:rFonts w:ascii="Calibri" w:hAnsi="Calibri" w:cs="Calibri"/>
          <w:noProof/>
          <w:szCs w:val="24"/>
        </w:rPr>
        <w:t xml:space="preserve">, </w:t>
      </w:r>
      <w:r w:rsidRPr="004D653A">
        <w:rPr>
          <w:rFonts w:ascii="Calibri" w:hAnsi="Calibri" w:cs="Calibri"/>
          <w:i/>
          <w:iCs/>
          <w:noProof/>
          <w:szCs w:val="24"/>
        </w:rPr>
        <w:t>277</w:t>
      </w:r>
      <w:r w:rsidRPr="004D653A">
        <w:rPr>
          <w:rFonts w:ascii="Calibri" w:hAnsi="Calibri" w:cs="Calibri"/>
          <w:noProof/>
          <w:szCs w:val="24"/>
        </w:rPr>
        <w:t>(1690), 2089–2095. http://doi.org/10.1098/rspb.2009.2337</w:t>
      </w:r>
    </w:p>
    <w:p w14:paraId="0DA4EAFE"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Favreau, F.-R., Pays, O., Fritz, H., Goulard, M., Best, E. C., &amp; Goldizen, A. W. (2015). Predators, food and social context shape the types of vigilance exhibited by kangaroos.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99</w:t>
      </w:r>
      <w:r w:rsidRPr="004D653A">
        <w:rPr>
          <w:rFonts w:ascii="Calibri" w:hAnsi="Calibri" w:cs="Calibri"/>
          <w:noProof/>
          <w:szCs w:val="24"/>
        </w:rPr>
        <w:t>, 109–121. http://doi.org/10.1016/j.anbehav.2014.11.001</w:t>
      </w:r>
    </w:p>
    <w:p w14:paraId="0AD7C06F"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Fernández-Juricic, E., Beauchamp, G., &amp; Bastain, B. (2007). Group-size and distance-to-neighbour effects on feeding and vigilance in brown-headed cowbirds.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73</w:t>
      </w:r>
      <w:r w:rsidRPr="004D653A">
        <w:rPr>
          <w:rFonts w:ascii="Calibri" w:hAnsi="Calibri" w:cs="Calibri"/>
          <w:noProof/>
          <w:szCs w:val="24"/>
        </w:rPr>
        <w:t>(5), 771–778. http://doi.org/10.1016/j.anbehav.2006.09.014</w:t>
      </w:r>
    </w:p>
    <w:p w14:paraId="11FE119B"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Fernández, G. J., Capurro, A. F., &amp; Reboreda, J. C. (2003). Effect of group size on individual and collective </w:t>
      </w:r>
      <w:r w:rsidRPr="004D653A">
        <w:rPr>
          <w:rFonts w:ascii="Calibri" w:hAnsi="Calibri" w:cs="Calibri"/>
          <w:noProof/>
          <w:szCs w:val="24"/>
        </w:rPr>
        <w:lastRenderedPageBreak/>
        <w:t xml:space="preserve">vigilance in greater rheas.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109</w:t>
      </w:r>
      <w:r w:rsidRPr="004D653A">
        <w:rPr>
          <w:rFonts w:ascii="Calibri" w:hAnsi="Calibri" w:cs="Calibri"/>
          <w:noProof/>
          <w:szCs w:val="24"/>
        </w:rPr>
        <w:t>(5), 413–425. http://doi.org/10.1046/j.1439-0310.2003.00887.x</w:t>
      </w:r>
    </w:p>
    <w:p w14:paraId="5AF63263"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Fortin, D., Boyce, M. S., &amp; Merrill, E. H. (2004). Multi-tasking by mammalian herbivores: Overlapping processes during foraging. </w:t>
      </w:r>
      <w:r w:rsidRPr="004D653A">
        <w:rPr>
          <w:rFonts w:ascii="Calibri" w:hAnsi="Calibri" w:cs="Calibri"/>
          <w:i/>
          <w:iCs/>
          <w:noProof/>
          <w:szCs w:val="24"/>
        </w:rPr>
        <w:t>Ecology</w:t>
      </w:r>
      <w:r w:rsidRPr="004D653A">
        <w:rPr>
          <w:rFonts w:ascii="Calibri" w:hAnsi="Calibri" w:cs="Calibri"/>
          <w:noProof/>
          <w:szCs w:val="24"/>
        </w:rPr>
        <w:t xml:space="preserve">, </w:t>
      </w:r>
      <w:r w:rsidRPr="004D653A">
        <w:rPr>
          <w:rFonts w:ascii="Calibri" w:hAnsi="Calibri" w:cs="Calibri"/>
          <w:i/>
          <w:iCs/>
          <w:noProof/>
          <w:szCs w:val="24"/>
        </w:rPr>
        <w:t>85</w:t>
      </w:r>
      <w:r w:rsidRPr="004D653A">
        <w:rPr>
          <w:rFonts w:ascii="Calibri" w:hAnsi="Calibri" w:cs="Calibri"/>
          <w:noProof/>
          <w:szCs w:val="24"/>
        </w:rPr>
        <w:t>(8), 2312–2322. http://doi.org/10.1890/03-0485</w:t>
      </w:r>
    </w:p>
    <w:p w14:paraId="31F7D9F4"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Fournier, D. A., Skaug, H. J., Ancheta, J., Ianelli, J., Magnusson, A., Maunder, M. N., … Sibert, J. (2012). AD Model Builder: Using automatic differentiation for statistical inference of highly parameterized complex nonlinear models. </w:t>
      </w:r>
      <w:r w:rsidRPr="004D653A">
        <w:rPr>
          <w:rFonts w:ascii="Calibri" w:hAnsi="Calibri" w:cs="Calibri"/>
          <w:i/>
          <w:iCs/>
          <w:noProof/>
          <w:szCs w:val="24"/>
        </w:rPr>
        <w:t>Optimization Methods and Software</w:t>
      </w:r>
      <w:r w:rsidRPr="004D653A">
        <w:rPr>
          <w:rFonts w:ascii="Calibri" w:hAnsi="Calibri" w:cs="Calibri"/>
          <w:noProof/>
          <w:szCs w:val="24"/>
        </w:rPr>
        <w:t xml:space="preserve">, </w:t>
      </w:r>
      <w:r w:rsidRPr="004D653A">
        <w:rPr>
          <w:rFonts w:ascii="Calibri" w:hAnsi="Calibri" w:cs="Calibri"/>
          <w:i/>
          <w:iCs/>
          <w:noProof/>
          <w:szCs w:val="24"/>
        </w:rPr>
        <w:t>27</w:t>
      </w:r>
      <w:r w:rsidRPr="004D653A">
        <w:rPr>
          <w:rFonts w:ascii="Calibri" w:hAnsi="Calibri" w:cs="Calibri"/>
          <w:noProof/>
          <w:szCs w:val="24"/>
        </w:rPr>
        <w:t>(2), 233–249. http://doi.org/10.1080/10556788.2011.597854</w:t>
      </w:r>
    </w:p>
    <w:p w14:paraId="0C714541"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Frederiksen, J. K., &amp; Slobodchikoff, C. N. (2007). Referential specificity in the alarm calls of the black tailed prairie dog. </w:t>
      </w:r>
      <w:r w:rsidRPr="004D653A">
        <w:rPr>
          <w:rFonts w:ascii="Calibri" w:hAnsi="Calibri" w:cs="Calibri"/>
          <w:i/>
          <w:iCs/>
          <w:noProof/>
          <w:szCs w:val="24"/>
        </w:rPr>
        <w:t>Ethology Ecology &amp; Evolution</w:t>
      </w:r>
      <w:r w:rsidRPr="004D653A">
        <w:rPr>
          <w:rFonts w:ascii="Calibri" w:hAnsi="Calibri" w:cs="Calibri"/>
          <w:noProof/>
          <w:szCs w:val="24"/>
        </w:rPr>
        <w:t xml:space="preserve">, </w:t>
      </w:r>
      <w:r w:rsidRPr="004D653A">
        <w:rPr>
          <w:rFonts w:ascii="Calibri" w:hAnsi="Calibri" w:cs="Calibri"/>
          <w:i/>
          <w:iCs/>
          <w:noProof/>
          <w:szCs w:val="24"/>
        </w:rPr>
        <w:t>19</w:t>
      </w:r>
      <w:r w:rsidRPr="004D653A">
        <w:rPr>
          <w:rFonts w:ascii="Calibri" w:hAnsi="Calibri" w:cs="Calibri"/>
          <w:noProof/>
          <w:szCs w:val="24"/>
        </w:rPr>
        <w:t>(2), 87–99.</w:t>
      </w:r>
    </w:p>
    <w:p w14:paraId="707A7965"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Furrer, R. D., &amp; Manser, M. B. (2009). The evolution of urgency based and functionally referential alarm calls in ground dwelling species. </w:t>
      </w:r>
      <w:r w:rsidRPr="004D653A">
        <w:rPr>
          <w:rFonts w:ascii="Calibri" w:hAnsi="Calibri" w:cs="Calibri"/>
          <w:i/>
          <w:iCs/>
          <w:noProof/>
          <w:szCs w:val="24"/>
        </w:rPr>
        <w:t>The American Naturalist</w:t>
      </w:r>
      <w:r w:rsidRPr="004D653A">
        <w:rPr>
          <w:rFonts w:ascii="Calibri" w:hAnsi="Calibri" w:cs="Calibri"/>
          <w:noProof/>
          <w:szCs w:val="24"/>
        </w:rPr>
        <w:t xml:space="preserve">, </w:t>
      </w:r>
      <w:r w:rsidRPr="004D653A">
        <w:rPr>
          <w:rFonts w:ascii="Calibri" w:hAnsi="Calibri" w:cs="Calibri"/>
          <w:i/>
          <w:iCs/>
          <w:noProof/>
          <w:szCs w:val="24"/>
        </w:rPr>
        <w:t>173</w:t>
      </w:r>
      <w:r w:rsidRPr="004D653A">
        <w:rPr>
          <w:rFonts w:ascii="Calibri" w:hAnsi="Calibri" w:cs="Calibri"/>
          <w:noProof/>
          <w:szCs w:val="24"/>
        </w:rPr>
        <w:t>(3), 400–410. http://doi.org/10.1086/596541</w:t>
      </w:r>
    </w:p>
    <w:p w14:paraId="25900D08"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Geraci, M. (2014). Linear quantile mixed models: the lqmm package for Laplace quantile regression. </w:t>
      </w:r>
      <w:r w:rsidRPr="004D653A">
        <w:rPr>
          <w:rFonts w:ascii="Calibri" w:hAnsi="Calibri" w:cs="Calibri"/>
          <w:i/>
          <w:iCs/>
          <w:noProof/>
          <w:szCs w:val="24"/>
        </w:rPr>
        <w:t>Journal of Statistical Software</w:t>
      </w:r>
      <w:r w:rsidRPr="004D653A">
        <w:rPr>
          <w:rFonts w:ascii="Calibri" w:hAnsi="Calibri" w:cs="Calibri"/>
          <w:noProof/>
          <w:szCs w:val="24"/>
        </w:rPr>
        <w:t xml:space="preserve">, </w:t>
      </w:r>
      <w:r w:rsidRPr="004D653A">
        <w:rPr>
          <w:rFonts w:ascii="Calibri" w:hAnsi="Calibri" w:cs="Calibri"/>
          <w:i/>
          <w:iCs/>
          <w:noProof/>
          <w:szCs w:val="24"/>
        </w:rPr>
        <w:t>57</w:t>
      </w:r>
      <w:r w:rsidRPr="004D653A">
        <w:rPr>
          <w:rFonts w:ascii="Calibri" w:hAnsi="Calibri" w:cs="Calibri"/>
          <w:noProof/>
          <w:szCs w:val="24"/>
        </w:rPr>
        <w:t>(13), 1–29. http://doi.org/http://dx.doi.org/10.18637/jss.v057.i13</w:t>
      </w:r>
    </w:p>
    <w:p w14:paraId="2250B0C4"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Gouat, P., &amp; Yahyaoui, I.-E. (2001). Reproductive period and group structure variety in the Barbary ground squirrel Atlantoxerus getulus: Preliminary results. In C. Denys, L. Granjon, &amp; A. Poulet (Eds.), </w:t>
      </w:r>
      <w:r w:rsidRPr="004D653A">
        <w:rPr>
          <w:rFonts w:ascii="Calibri" w:hAnsi="Calibri" w:cs="Calibri"/>
          <w:i/>
          <w:iCs/>
          <w:noProof/>
          <w:szCs w:val="24"/>
        </w:rPr>
        <w:t>African Small Mammals</w:t>
      </w:r>
      <w:r w:rsidRPr="004D653A">
        <w:rPr>
          <w:rFonts w:ascii="Calibri" w:hAnsi="Calibri" w:cs="Calibri"/>
          <w:noProof/>
          <w:szCs w:val="24"/>
        </w:rPr>
        <w:t xml:space="preserve"> (pp. 343–352).</w:t>
      </w:r>
    </w:p>
    <w:p w14:paraId="0C9A2646"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Hamilton, W. D. (1971). Geometry for the selfish herd. </w:t>
      </w:r>
      <w:r w:rsidRPr="004D653A">
        <w:rPr>
          <w:rFonts w:ascii="Calibri" w:hAnsi="Calibri" w:cs="Calibri"/>
          <w:i/>
          <w:iCs/>
          <w:noProof/>
          <w:szCs w:val="24"/>
        </w:rPr>
        <w:t>Journal of Theoretical Biology</w:t>
      </w:r>
      <w:r w:rsidRPr="004D653A">
        <w:rPr>
          <w:rFonts w:ascii="Calibri" w:hAnsi="Calibri" w:cs="Calibri"/>
          <w:noProof/>
          <w:szCs w:val="24"/>
        </w:rPr>
        <w:t xml:space="preserve">, </w:t>
      </w:r>
      <w:r w:rsidRPr="004D653A">
        <w:rPr>
          <w:rFonts w:ascii="Calibri" w:hAnsi="Calibri" w:cs="Calibri"/>
          <w:i/>
          <w:iCs/>
          <w:noProof/>
          <w:szCs w:val="24"/>
        </w:rPr>
        <w:t>31</w:t>
      </w:r>
      <w:r w:rsidRPr="004D653A">
        <w:rPr>
          <w:rFonts w:ascii="Calibri" w:hAnsi="Calibri" w:cs="Calibri"/>
          <w:noProof/>
          <w:szCs w:val="24"/>
        </w:rPr>
        <w:t>(2), 295–311. http://doi.org/10.1016/0022-5193(71)90189-5</w:t>
      </w:r>
    </w:p>
    <w:p w14:paraId="10BB0175"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Harris, M. A., Murie, J. O., &amp; Duncan, J. A. (1983). Responses of Columbian ground squirrels to playback of recorded calls. </w:t>
      </w:r>
      <w:r w:rsidRPr="004D653A">
        <w:rPr>
          <w:rFonts w:ascii="Calibri" w:hAnsi="Calibri" w:cs="Calibri"/>
          <w:i/>
          <w:iCs/>
          <w:noProof/>
          <w:szCs w:val="24"/>
        </w:rPr>
        <w:t>Zeitschrift Für Tierpsychologie</w:t>
      </w:r>
      <w:r w:rsidRPr="004D653A">
        <w:rPr>
          <w:rFonts w:ascii="Calibri" w:hAnsi="Calibri" w:cs="Calibri"/>
          <w:noProof/>
          <w:szCs w:val="24"/>
        </w:rPr>
        <w:t xml:space="preserve">, </w:t>
      </w:r>
      <w:r w:rsidRPr="004D653A">
        <w:rPr>
          <w:rFonts w:ascii="Calibri" w:hAnsi="Calibri" w:cs="Calibri"/>
          <w:i/>
          <w:iCs/>
          <w:noProof/>
          <w:szCs w:val="24"/>
        </w:rPr>
        <w:t>63</w:t>
      </w:r>
      <w:r w:rsidRPr="004D653A">
        <w:rPr>
          <w:rFonts w:ascii="Calibri" w:hAnsi="Calibri" w:cs="Calibri"/>
          <w:noProof/>
          <w:szCs w:val="24"/>
        </w:rPr>
        <w:t>(4), 318–330. http://doi.org/10.1111/j.1439-0310.1983.tb00747.x</w:t>
      </w:r>
    </w:p>
    <w:p w14:paraId="7133978E"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Hayes, A. R., &amp; Huntly, N. J. (2005). Effects of wind on the behavior and call transmission of pikas </w:t>
      </w:r>
      <w:r w:rsidRPr="004D653A">
        <w:rPr>
          <w:rFonts w:ascii="Calibri" w:hAnsi="Calibri" w:cs="Calibri"/>
          <w:noProof/>
          <w:szCs w:val="24"/>
        </w:rPr>
        <w:lastRenderedPageBreak/>
        <w:t xml:space="preserve">(Ochotona Princeps). </w:t>
      </w:r>
      <w:r w:rsidRPr="004D653A">
        <w:rPr>
          <w:rFonts w:ascii="Calibri" w:hAnsi="Calibri" w:cs="Calibri"/>
          <w:i/>
          <w:iCs/>
          <w:noProof/>
          <w:szCs w:val="24"/>
        </w:rPr>
        <w:t>Journal of Mammalogy</w:t>
      </w:r>
      <w:r w:rsidRPr="004D653A">
        <w:rPr>
          <w:rFonts w:ascii="Calibri" w:hAnsi="Calibri" w:cs="Calibri"/>
          <w:noProof/>
          <w:szCs w:val="24"/>
        </w:rPr>
        <w:t xml:space="preserve">, </w:t>
      </w:r>
      <w:r w:rsidRPr="004D653A">
        <w:rPr>
          <w:rFonts w:ascii="Calibri" w:hAnsi="Calibri" w:cs="Calibri"/>
          <w:i/>
          <w:iCs/>
          <w:noProof/>
          <w:szCs w:val="24"/>
        </w:rPr>
        <w:t>86</w:t>
      </w:r>
      <w:r w:rsidRPr="004D653A">
        <w:rPr>
          <w:rFonts w:ascii="Calibri" w:hAnsi="Calibri" w:cs="Calibri"/>
          <w:noProof/>
          <w:szCs w:val="24"/>
        </w:rPr>
        <w:t>(5), 974–981. http://doi.org/10.1644/1545-1542(2005)86[974:EOWOTB]2.0.CO;2</w:t>
      </w:r>
    </w:p>
    <w:p w14:paraId="634A0950"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Hirschler, I. M., Gedert, J. L., Majors, J., Townsend, T., &amp; Hoogland, J. L. (2016). What is the best way to estimate vigilance? A comparison of two methods for Gunnison’s prairie dogs, </w:t>
      </w:r>
      <w:r w:rsidRPr="004D653A">
        <w:rPr>
          <w:rFonts w:ascii="Calibri" w:hAnsi="Calibri" w:cs="Calibri"/>
          <w:i/>
          <w:iCs/>
          <w:noProof/>
          <w:szCs w:val="24"/>
        </w:rPr>
        <w:t>Cynomys gunnisoni</w:t>
      </w:r>
      <w:r w:rsidRPr="004D653A">
        <w:rPr>
          <w:rFonts w:ascii="Calibri" w:hAnsi="Calibri" w:cs="Calibri"/>
          <w:noProof/>
          <w:szCs w:val="24"/>
        </w:rPr>
        <w:t xml:space="preserve">.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121</w:t>
      </w:r>
      <w:r w:rsidRPr="004D653A">
        <w:rPr>
          <w:rFonts w:ascii="Calibri" w:hAnsi="Calibri" w:cs="Calibri"/>
          <w:noProof/>
          <w:szCs w:val="24"/>
        </w:rPr>
        <w:t>, 117–122. http://doi.org/10.1016/j.anbehav.2016.09.003</w:t>
      </w:r>
    </w:p>
    <w:p w14:paraId="2A541D1A"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Hochberg, Y. (1988). A sharper Bonferroni procedure for multiple tests of significance. </w:t>
      </w:r>
      <w:r w:rsidRPr="004D653A">
        <w:rPr>
          <w:rFonts w:ascii="Calibri" w:hAnsi="Calibri" w:cs="Calibri"/>
          <w:i/>
          <w:iCs/>
          <w:noProof/>
          <w:szCs w:val="24"/>
        </w:rPr>
        <w:t>Biometrika</w:t>
      </w:r>
      <w:r w:rsidRPr="004D653A">
        <w:rPr>
          <w:rFonts w:ascii="Calibri" w:hAnsi="Calibri" w:cs="Calibri"/>
          <w:noProof/>
          <w:szCs w:val="24"/>
        </w:rPr>
        <w:t xml:space="preserve">, </w:t>
      </w:r>
      <w:r w:rsidRPr="004D653A">
        <w:rPr>
          <w:rFonts w:ascii="Calibri" w:hAnsi="Calibri" w:cs="Calibri"/>
          <w:i/>
          <w:iCs/>
          <w:noProof/>
          <w:szCs w:val="24"/>
        </w:rPr>
        <w:t>75</w:t>
      </w:r>
      <w:r w:rsidRPr="004D653A">
        <w:rPr>
          <w:rFonts w:ascii="Calibri" w:hAnsi="Calibri" w:cs="Calibri"/>
          <w:noProof/>
          <w:szCs w:val="24"/>
        </w:rPr>
        <w:t>(4), 800–802.</w:t>
      </w:r>
    </w:p>
    <w:p w14:paraId="77ED3C84"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Kildaw, S. D. (1995). The effect of group size manipulations on the foraging behavior of black-tailed prairie dogs. </w:t>
      </w:r>
      <w:r w:rsidRPr="004D653A">
        <w:rPr>
          <w:rFonts w:ascii="Calibri" w:hAnsi="Calibri" w:cs="Calibri"/>
          <w:i/>
          <w:iCs/>
          <w:noProof/>
          <w:szCs w:val="24"/>
        </w:rPr>
        <w:t>Behavioral Ecology</w:t>
      </w:r>
      <w:r w:rsidRPr="004D653A">
        <w:rPr>
          <w:rFonts w:ascii="Calibri" w:hAnsi="Calibri" w:cs="Calibri"/>
          <w:noProof/>
          <w:szCs w:val="24"/>
        </w:rPr>
        <w:t xml:space="preserve">, </w:t>
      </w:r>
      <w:r w:rsidRPr="004D653A">
        <w:rPr>
          <w:rFonts w:ascii="Calibri" w:hAnsi="Calibri" w:cs="Calibri"/>
          <w:i/>
          <w:iCs/>
          <w:noProof/>
          <w:szCs w:val="24"/>
        </w:rPr>
        <w:t>6</w:t>
      </w:r>
      <w:r w:rsidRPr="004D653A">
        <w:rPr>
          <w:rFonts w:ascii="Calibri" w:hAnsi="Calibri" w:cs="Calibri"/>
          <w:noProof/>
          <w:szCs w:val="24"/>
        </w:rPr>
        <w:t>(4), 353–358. http://doi.org/10.1093/beheco/6.4.353</w:t>
      </w:r>
    </w:p>
    <w:p w14:paraId="63379E7E"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Klump, G. M., &amp; Shalter, M. D. (1984). Acoustic behaviour of birds and mammals in the predator context I. Factors affecting the structure of alarm Signals II. The functional significance and evolution of alarm signals. </w:t>
      </w:r>
      <w:r w:rsidRPr="004D653A">
        <w:rPr>
          <w:rFonts w:ascii="Calibri" w:hAnsi="Calibri" w:cs="Calibri"/>
          <w:i/>
          <w:iCs/>
          <w:noProof/>
          <w:szCs w:val="24"/>
        </w:rPr>
        <w:t>Z Tierpsychol</w:t>
      </w:r>
      <w:r w:rsidRPr="004D653A">
        <w:rPr>
          <w:rFonts w:ascii="Calibri" w:hAnsi="Calibri" w:cs="Calibri"/>
          <w:noProof/>
          <w:szCs w:val="24"/>
        </w:rPr>
        <w:t xml:space="preserve">, </w:t>
      </w:r>
      <w:r w:rsidRPr="004D653A">
        <w:rPr>
          <w:rFonts w:ascii="Calibri" w:hAnsi="Calibri" w:cs="Calibri"/>
          <w:i/>
          <w:iCs/>
          <w:noProof/>
          <w:szCs w:val="24"/>
        </w:rPr>
        <w:t>66</w:t>
      </w:r>
      <w:r w:rsidRPr="004D653A">
        <w:rPr>
          <w:rFonts w:ascii="Calibri" w:hAnsi="Calibri" w:cs="Calibri"/>
          <w:noProof/>
          <w:szCs w:val="24"/>
        </w:rPr>
        <w:t>, 189–226.</w:t>
      </w:r>
    </w:p>
    <w:p w14:paraId="67C8426E"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Koprowski, J. L. (2002). Handling tree squirrels with a safe and efficient restraint. </w:t>
      </w:r>
      <w:r w:rsidRPr="004D653A">
        <w:rPr>
          <w:rFonts w:ascii="Calibri" w:hAnsi="Calibri" w:cs="Calibri"/>
          <w:i/>
          <w:iCs/>
          <w:noProof/>
          <w:szCs w:val="24"/>
        </w:rPr>
        <w:t>Wildlife Society Bulletin</w:t>
      </w:r>
      <w:r w:rsidRPr="004D653A">
        <w:rPr>
          <w:rFonts w:ascii="Calibri" w:hAnsi="Calibri" w:cs="Calibri"/>
          <w:noProof/>
          <w:szCs w:val="24"/>
        </w:rPr>
        <w:t xml:space="preserve">, </w:t>
      </w:r>
      <w:r w:rsidRPr="004D653A">
        <w:rPr>
          <w:rFonts w:ascii="Calibri" w:hAnsi="Calibri" w:cs="Calibri"/>
          <w:i/>
          <w:iCs/>
          <w:noProof/>
          <w:szCs w:val="24"/>
        </w:rPr>
        <w:t>30</w:t>
      </w:r>
      <w:r w:rsidRPr="004D653A">
        <w:rPr>
          <w:rFonts w:ascii="Calibri" w:hAnsi="Calibri" w:cs="Calibri"/>
          <w:noProof/>
          <w:szCs w:val="24"/>
        </w:rPr>
        <w:t>(1), 101–103.</w:t>
      </w:r>
    </w:p>
    <w:p w14:paraId="08A95D11"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Korstjens, A. H., Lehmann, J., &amp; Dunbar, R. I. M. (2010). Resting time as an ecological constraint on primate biogeography.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79</w:t>
      </w:r>
      <w:r w:rsidRPr="004D653A">
        <w:rPr>
          <w:rFonts w:ascii="Calibri" w:hAnsi="Calibri" w:cs="Calibri"/>
          <w:noProof/>
          <w:szCs w:val="24"/>
        </w:rPr>
        <w:t>(2), 361–374. http://doi.org/10.1016/j.anbehav.2009.11.012</w:t>
      </w:r>
    </w:p>
    <w:p w14:paraId="64640640"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Kotler, B. P., Brown, J. S., Dall, S. R. X., Gresser, S., Ganey, D., &amp; Bouskila, A. (2002). Foraging games between gerbils and their predators: temporal dynamics of resource depletion and apprehension in gerbils. </w:t>
      </w:r>
      <w:r w:rsidRPr="004D653A">
        <w:rPr>
          <w:rFonts w:ascii="Calibri" w:hAnsi="Calibri" w:cs="Calibri"/>
          <w:i/>
          <w:iCs/>
          <w:noProof/>
          <w:szCs w:val="24"/>
        </w:rPr>
        <w:t>Evolutionary Ecology Research</w:t>
      </w:r>
      <w:r w:rsidRPr="004D653A">
        <w:rPr>
          <w:rFonts w:ascii="Calibri" w:hAnsi="Calibri" w:cs="Calibri"/>
          <w:noProof/>
          <w:szCs w:val="24"/>
        </w:rPr>
        <w:t xml:space="preserve">, </w:t>
      </w:r>
      <w:r w:rsidRPr="004D653A">
        <w:rPr>
          <w:rFonts w:ascii="Calibri" w:hAnsi="Calibri" w:cs="Calibri"/>
          <w:i/>
          <w:iCs/>
          <w:noProof/>
          <w:szCs w:val="24"/>
        </w:rPr>
        <w:t>4</w:t>
      </w:r>
      <w:r w:rsidRPr="004D653A">
        <w:rPr>
          <w:rFonts w:ascii="Calibri" w:hAnsi="Calibri" w:cs="Calibri"/>
          <w:noProof/>
          <w:szCs w:val="24"/>
        </w:rPr>
        <w:t>, 495–518.</w:t>
      </w:r>
    </w:p>
    <w:p w14:paraId="6C50C47A"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Lazarus, J., &amp; Lazarus, J. (1979). Flock size and behaviour in captive red-billed weaverbirds (</w:t>
      </w:r>
      <w:r w:rsidRPr="004D653A">
        <w:rPr>
          <w:rFonts w:ascii="Calibri" w:hAnsi="Calibri" w:cs="Calibri"/>
          <w:i/>
          <w:iCs/>
          <w:noProof/>
          <w:szCs w:val="24"/>
        </w:rPr>
        <w:t>Quelea Quelea</w:t>
      </w:r>
      <w:r w:rsidRPr="004D653A">
        <w:rPr>
          <w:rFonts w:ascii="Calibri" w:hAnsi="Calibri" w:cs="Calibri"/>
          <w:noProof/>
          <w:szCs w:val="24"/>
        </w:rPr>
        <w:t xml:space="preserve">): Implications for social facilitation and the functions of flocking. </w:t>
      </w:r>
      <w:r w:rsidRPr="004D653A">
        <w:rPr>
          <w:rFonts w:ascii="Calibri" w:hAnsi="Calibri" w:cs="Calibri"/>
          <w:i/>
          <w:iCs/>
          <w:noProof/>
          <w:szCs w:val="24"/>
        </w:rPr>
        <w:t>Behaviour</w:t>
      </w:r>
      <w:r w:rsidRPr="004D653A">
        <w:rPr>
          <w:rFonts w:ascii="Calibri" w:hAnsi="Calibri" w:cs="Calibri"/>
          <w:noProof/>
          <w:szCs w:val="24"/>
        </w:rPr>
        <w:t xml:space="preserve">, </w:t>
      </w:r>
      <w:r w:rsidRPr="004D653A">
        <w:rPr>
          <w:rFonts w:ascii="Calibri" w:hAnsi="Calibri" w:cs="Calibri"/>
          <w:i/>
          <w:iCs/>
          <w:noProof/>
          <w:szCs w:val="24"/>
        </w:rPr>
        <w:t>71</w:t>
      </w:r>
      <w:r w:rsidRPr="004D653A">
        <w:rPr>
          <w:rFonts w:ascii="Calibri" w:hAnsi="Calibri" w:cs="Calibri"/>
          <w:noProof/>
          <w:szCs w:val="24"/>
        </w:rPr>
        <w:t>(1–2), 127–144. http://doi.org/10.1163/156853979X00133</w:t>
      </w:r>
    </w:p>
    <w:p w14:paraId="718E667E"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Li, C., Beauchamp, G., Wang, Z., &amp; Cui, P. (2016). Collective vigilance in the wintering hooded crane: The </w:t>
      </w:r>
      <w:r w:rsidRPr="004D653A">
        <w:rPr>
          <w:rFonts w:ascii="Calibri" w:hAnsi="Calibri" w:cs="Calibri"/>
          <w:noProof/>
          <w:szCs w:val="24"/>
        </w:rPr>
        <w:lastRenderedPageBreak/>
        <w:t xml:space="preserve">role of flock size and anthropogenic disturbances in a human-dominated landscape.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122</w:t>
      </w:r>
      <w:r w:rsidRPr="004D653A">
        <w:rPr>
          <w:rFonts w:ascii="Calibri" w:hAnsi="Calibri" w:cs="Calibri"/>
          <w:noProof/>
          <w:szCs w:val="24"/>
        </w:rPr>
        <w:t>(12), 999–1008. http://doi.org/10.1111/eth.12570</w:t>
      </w:r>
    </w:p>
    <w:p w14:paraId="7EFED872"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Li, C., Jiang, Z., Li, L., Li, Z., Fang, H., Li, C., &amp; Beauchamp, G. (2012). Effects of reproductive status, social rank, sex and group size on vigilance patterns in Przewalski’s Gazelle. </w:t>
      </w:r>
      <w:r w:rsidRPr="004D653A">
        <w:rPr>
          <w:rFonts w:ascii="Calibri" w:hAnsi="Calibri" w:cs="Calibri"/>
          <w:i/>
          <w:iCs/>
          <w:noProof/>
          <w:szCs w:val="24"/>
        </w:rPr>
        <w:t>PLoS ONE</w:t>
      </w:r>
      <w:r w:rsidRPr="004D653A">
        <w:rPr>
          <w:rFonts w:ascii="Calibri" w:hAnsi="Calibri" w:cs="Calibri"/>
          <w:noProof/>
          <w:szCs w:val="24"/>
        </w:rPr>
        <w:t xml:space="preserve">, </w:t>
      </w:r>
      <w:r w:rsidRPr="004D653A">
        <w:rPr>
          <w:rFonts w:ascii="Calibri" w:hAnsi="Calibri" w:cs="Calibri"/>
          <w:i/>
          <w:iCs/>
          <w:noProof/>
          <w:szCs w:val="24"/>
        </w:rPr>
        <w:t>7</w:t>
      </w:r>
      <w:r w:rsidRPr="004D653A">
        <w:rPr>
          <w:rFonts w:ascii="Calibri" w:hAnsi="Calibri" w:cs="Calibri"/>
          <w:noProof/>
          <w:szCs w:val="24"/>
        </w:rPr>
        <w:t>(2), 1–7. http://doi.org/10.1371/journal.pone.0032607</w:t>
      </w:r>
    </w:p>
    <w:p w14:paraId="11C2842E"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Lima, S. L. (1995). Back to the basics of anti-predatory vigilance: the group-size effect.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49</w:t>
      </w:r>
      <w:r w:rsidRPr="004D653A">
        <w:rPr>
          <w:rFonts w:ascii="Calibri" w:hAnsi="Calibri" w:cs="Calibri"/>
          <w:noProof/>
          <w:szCs w:val="24"/>
        </w:rPr>
        <w:t>(1), 11–20. http://doi.org/10.1016/0003-3472(95)80149-9</w:t>
      </w:r>
    </w:p>
    <w:p w14:paraId="6E558870"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Lima, S. L., &amp; Bednekoff, P. A. (1999). Back to the basics of antipredatory vigilance: Can nonvigilant animals detect attack?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58</w:t>
      </w:r>
      <w:r w:rsidRPr="004D653A">
        <w:rPr>
          <w:rFonts w:ascii="Calibri" w:hAnsi="Calibri" w:cs="Calibri"/>
          <w:noProof/>
          <w:szCs w:val="24"/>
        </w:rPr>
        <w:t>(3), 537–543. http://doi.org/10.1006/anbe.1999.1182</w:t>
      </w:r>
    </w:p>
    <w:p w14:paraId="62602593"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Lima, S. L., &amp; Dill, L. M. (1990). Behavioral decisions made under the risk of predation: a review and prospectus. </w:t>
      </w:r>
      <w:r w:rsidRPr="004D653A">
        <w:rPr>
          <w:rFonts w:ascii="Calibri" w:hAnsi="Calibri" w:cs="Calibri"/>
          <w:i/>
          <w:iCs/>
          <w:noProof/>
          <w:szCs w:val="24"/>
        </w:rPr>
        <w:t>Canadian Journal of Zoology</w:t>
      </w:r>
      <w:r w:rsidRPr="004D653A">
        <w:rPr>
          <w:rFonts w:ascii="Calibri" w:hAnsi="Calibri" w:cs="Calibri"/>
          <w:noProof/>
          <w:szCs w:val="24"/>
        </w:rPr>
        <w:t xml:space="preserve">, </w:t>
      </w:r>
      <w:r w:rsidRPr="004D653A">
        <w:rPr>
          <w:rFonts w:ascii="Calibri" w:hAnsi="Calibri" w:cs="Calibri"/>
          <w:i/>
          <w:iCs/>
          <w:noProof/>
          <w:szCs w:val="24"/>
        </w:rPr>
        <w:t>68</w:t>
      </w:r>
      <w:r w:rsidRPr="004D653A">
        <w:rPr>
          <w:rFonts w:ascii="Calibri" w:hAnsi="Calibri" w:cs="Calibri"/>
          <w:noProof/>
          <w:szCs w:val="24"/>
        </w:rPr>
        <w:t>, 619–640.</w:t>
      </w:r>
    </w:p>
    <w:p w14:paraId="1D8E6008"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López-Darias, M., &amp; Lobo, J. M. (2008). Factors affecting invasive species abundance: the Barbary Ground Squirrel on Fuerteventura Island, Spain. </w:t>
      </w:r>
      <w:r w:rsidRPr="004D653A">
        <w:rPr>
          <w:rFonts w:ascii="Calibri" w:hAnsi="Calibri" w:cs="Calibri"/>
          <w:i/>
          <w:iCs/>
          <w:noProof/>
          <w:szCs w:val="24"/>
        </w:rPr>
        <w:t>Zoological Studies</w:t>
      </w:r>
      <w:r w:rsidRPr="004D653A">
        <w:rPr>
          <w:rFonts w:ascii="Calibri" w:hAnsi="Calibri" w:cs="Calibri"/>
          <w:noProof/>
          <w:szCs w:val="24"/>
        </w:rPr>
        <w:t xml:space="preserve">, </w:t>
      </w:r>
      <w:r w:rsidRPr="004D653A">
        <w:rPr>
          <w:rFonts w:ascii="Calibri" w:hAnsi="Calibri" w:cs="Calibri"/>
          <w:i/>
          <w:iCs/>
          <w:noProof/>
          <w:szCs w:val="24"/>
        </w:rPr>
        <w:t>47</w:t>
      </w:r>
      <w:r w:rsidRPr="004D653A">
        <w:rPr>
          <w:rFonts w:ascii="Calibri" w:hAnsi="Calibri" w:cs="Calibri"/>
          <w:noProof/>
          <w:szCs w:val="24"/>
        </w:rPr>
        <w:t>(3), 268–281.</w:t>
      </w:r>
    </w:p>
    <w:p w14:paraId="7A06CE65"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Lung, M. A., &amp; Childress, M. J. (2007). The influence of conspecifics and predation risk on the vigilance of elk (</w:t>
      </w:r>
      <w:r w:rsidRPr="004D653A">
        <w:rPr>
          <w:rFonts w:ascii="Calibri" w:hAnsi="Calibri" w:cs="Calibri"/>
          <w:i/>
          <w:iCs/>
          <w:noProof/>
          <w:szCs w:val="24"/>
        </w:rPr>
        <w:t>Cervus elaphus</w:t>
      </w:r>
      <w:r w:rsidRPr="004D653A">
        <w:rPr>
          <w:rFonts w:ascii="Calibri" w:hAnsi="Calibri" w:cs="Calibri"/>
          <w:noProof/>
          <w:szCs w:val="24"/>
        </w:rPr>
        <w:t xml:space="preserve">) in Yellowstone National Park. </w:t>
      </w:r>
      <w:r w:rsidRPr="004D653A">
        <w:rPr>
          <w:rFonts w:ascii="Calibri" w:hAnsi="Calibri" w:cs="Calibri"/>
          <w:i/>
          <w:iCs/>
          <w:noProof/>
          <w:szCs w:val="24"/>
        </w:rPr>
        <w:t>Behavioral Ecology</w:t>
      </w:r>
      <w:r w:rsidRPr="004D653A">
        <w:rPr>
          <w:rFonts w:ascii="Calibri" w:hAnsi="Calibri" w:cs="Calibri"/>
          <w:noProof/>
          <w:szCs w:val="24"/>
        </w:rPr>
        <w:t xml:space="preserve">, </w:t>
      </w:r>
      <w:r w:rsidRPr="004D653A">
        <w:rPr>
          <w:rFonts w:ascii="Calibri" w:hAnsi="Calibri" w:cs="Calibri"/>
          <w:i/>
          <w:iCs/>
          <w:noProof/>
          <w:szCs w:val="24"/>
        </w:rPr>
        <w:t>18</w:t>
      </w:r>
      <w:r w:rsidRPr="004D653A">
        <w:rPr>
          <w:rFonts w:ascii="Calibri" w:hAnsi="Calibri" w:cs="Calibri"/>
          <w:noProof/>
          <w:szCs w:val="24"/>
        </w:rPr>
        <w:t>(1), 12–20. http://doi.org/10.1093/beheco/arl066</w:t>
      </w:r>
    </w:p>
    <w:p w14:paraId="7229016F"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Macedonia, J. M. (1990). What is communicated in the antipredator calls of lemurs: Evidence from playback experiments with ringtailed and ruffed lemurs.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86</w:t>
      </w:r>
      <w:r w:rsidRPr="004D653A">
        <w:rPr>
          <w:rFonts w:ascii="Calibri" w:hAnsi="Calibri" w:cs="Calibri"/>
          <w:noProof/>
          <w:szCs w:val="24"/>
        </w:rPr>
        <w:t>(3), 177–190.</w:t>
      </w:r>
    </w:p>
    <w:p w14:paraId="2A28EC32"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Macedonia, J. M., &amp; Evans, C. S. (1993). Variation among mammalian alarm call systems and the problem of meaning in animal signals.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93</w:t>
      </w:r>
      <w:r w:rsidRPr="004D653A">
        <w:rPr>
          <w:rFonts w:ascii="Calibri" w:hAnsi="Calibri" w:cs="Calibri"/>
          <w:noProof/>
          <w:szCs w:val="24"/>
        </w:rPr>
        <w:t>, 177–197.</w:t>
      </w:r>
    </w:p>
    <w:p w14:paraId="7EFA1127"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Machado, A. (1979). The introduction of the Getulian squirrel (</w:t>
      </w:r>
      <w:r w:rsidRPr="004D653A">
        <w:rPr>
          <w:rFonts w:ascii="Calibri" w:hAnsi="Calibri" w:cs="Calibri"/>
          <w:i/>
          <w:iCs/>
          <w:noProof/>
          <w:szCs w:val="24"/>
        </w:rPr>
        <w:t>Atlantoxerus getulus L.</w:t>
      </w:r>
      <w:r w:rsidRPr="004D653A">
        <w:rPr>
          <w:rFonts w:ascii="Calibri" w:hAnsi="Calibri" w:cs="Calibri"/>
          <w:noProof/>
          <w:szCs w:val="24"/>
        </w:rPr>
        <w:t xml:space="preserve">, 1758) in Fuerteventura, Canary Islands. </w:t>
      </w:r>
      <w:r w:rsidRPr="004D653A">
        <w:rPr>
          <w:rFonts w:ascii="Calibri" w:hAnsi="Calibri" w:cs="Calibri"/>
          <w:i/>
          <w:iCs/>
          <w:noProof/>
          <w:szCs w:val="24"/>
        </w:rPr>
        <w:t>Egypt. J. Wildlife Nat. Res</w:t>
      </w:r>
      <w:r w:rsidRPr="004D653A">
        <w:rPr>
          <w:rFonts w:ascii="Calibri" w:hAnsi="Calibri" w:cs="Calibri"/>
          <w:noProof/>
          <w:szCs w:val="24"/>
        </w:rPr>
        <w:t xml:space="preserve">, </w:t>
      </w:r>
      <w:r w:rsidRPr="004D653A">
        <w:rPr>
          <w:rFonts w:ascii="Calibri" w:hAnsi="Calibri" w:cs="Calibri"/>
          <w:i/>
          <w:iCs/>
          <w:noProof/>
          <w:szCs w:val="24"/>
        </w:rPr>
        <w:t>2</w:t>
      </w:r>
      <w:r w:rsidRPr="004D653A">
        <w:rPr>
          <w:rFonts w:ascii="Calibri" w:hAnsi="Calibri" w:cs="Calibri"/>
          <w:noProof/>
          <w:szCs w:val="24"/>
        </w:rPr>
        <w:t>, 182–202.</w:t>
      </w:r>
    </w:p>
    <w:p w14:paraId="5A7100F3"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Machado, A., &amp; Domínguez, F. (1982). </w:t>
      </w:r>
      <w:r w:rsidRPr="004D653A">
        <w:rPr>
          <w:rFonts w:ascii="Calibri" w:hAnsi="Calibri" w:cs="Calibri"/>
          <w:i/>
          <w:iCs/>
          <w:noProof/>
          <w:szCs w:val="24"/>
        </w:rPr>
        <w:t>Estudio sobre la presencia de la Ardilla Moruna (</w:t>
      </w:r>
      <w:r w:rsidRPr="004D653A">
        <w:rPr>
          <w:rFonts w:ascii="Calibri" w:hAnsi="Calibri" w:cs="Calibri"/>
          <w:noProof/>
          <w:szCs w:val="24"/>
        </w:rPr>
        <w:t>Atlantoxerus getulus L.</w:t>
      </w:r>
      <w:r w:rsidRPr="004D653A">
        <w:rPr>
          <w:rFonts w:ascii="Calibri" w:hAnsi="Calibri" w:cs="Calibri"/>
          <w:i/>
          <w:iCs/>
          <w:noProof/>
          <w:szCs w:val="24"/>
        </w:rPr>
        <w:t>) en la isla de Fuerteventura; su introducción, su biología y su impacto en el medio. Santa</w:t>
      </w:r>
      <w:r w:rsidRPr="004D653A">
        <w:rPr>
          <w:rFonts w:ascii="Calibri" w:hAnsi="Calibri" w:cs="Calibri"/>
          <w:noProof/>
          <w:szCs w:val="24"/>
        </w:rPr>
        <w:t xml:space="preserve">. </w:t>
      </w:r>
      <w:r w:rsidRPr="004D653A">
        <w:rPr>
          <w:rFonts w:ascii="Calibri" w:hAnsi="Calibri" w:cs="Calibri"/>
          <w:noProof/>
          <w:szCs w:val="24"/>
        </w:rPr>
        <w:lastRenderedPageBreak/>
        <w:t>Santa Cruz de Tenerife, Spain: Ministerio de Agricultura, Pesca y Alimentación. Instituto Nacional para la Conservación de la Naturaleza.</w:t>
      </w:r>
    </w:p>
    <w:p w14:paraId="3C3E46D0"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Makenbach, S. A., Waterman, J. M., &amp; Roth, J. D. (2013). Predator detection and dilution as benefits of associations between yellow mongooses and Cape ground squirrels. </w:t>
      </w:r>
      <w:r w:rsidRPr="004D653A">
        <w:rPr>
          <w:rFonts w:ascii="Calibri" w:hAnsi="Calibri" w:cs="Calibri"/>
          <w:i/>
          <w:iCs/>
          <w:noProof/>
          <w:szCs w:val="24"/>
        </w:rPr>
        <w:t>Behavioral Ecology and Sociobiology</w:t>
      </w:r>
      <w:r w:rsidRPr="004D653A">
        <w:rPr>
          <w:rFonts w:ascii="Calibri" w:hAnsi="Calibri" w:cs="Calibri"/>
          <w:noProof/>
          <w:szCs w:val="24"/>
        </w:rPr>
        <w:t xml:space="preserve">, </w:t>
      </w:r>
      <w:r w:rsidRPr="004D653A">
        <w:rPr>
          <w:rFonts w:ascii="Calibri" w:hAnsi="Calibri" w:cs="Calibri"/>
          <w:i/>
          <w:iCs/>
          <w:noProof/>
          <w:szCs w:val="24"/>
        </w:rPr>
        <w:t>67</w:t>
      </w:r>
      <w:r w:rsidRPr="004D653A">
        <w:rPr>
          <w:rFonts w:ascii="Calibri" w:hAnsi="Calibri" w:cs="Calibri"/>
          <w:noProof/>
          <w:szCs w:val="24"/>
        </w:rPr>
        <w:t>(7), 1187–1194. http://doi.org/10.1007/s00265-013-1544-3</w:t>
      </w:r>
    </w:p>
    <w:p w14:paraId="3C2F7FEA"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Manser, M. B. (1999). Response of foraging group members to sentinel calls in suricates, </w:t>
      </w:r>
      <w:r w:rsidRPr="004D653A">
        <w:rPr>
          <w:rFonts w:ascii="Calibri" w:hAnsi="Calibri" w:cs="Calibri"/>
          <w:i/>
          <w:iCs/>
          <w:noProof/>
          <w:szCs w:val="24"/>
        </w:rPr>
        <w:t>Suricata suricatta</w:t>
      </w:r>
      <w:r w:rsidRPr="004D653A">
        <w:rPr>
          <w:rFonts w:ascii="Calibri" w:hAnsi="Calibri" w:cs="Calibri"/>
          <w:noProof/>
          <w:szCs w:val="24"/>
        </w:rPr>
        <w:t xml:space="preserve">. </w:t>
      </w:r>
      <w:r w:rsidRPr="004D653A">
        <w:rPr>
          <w:rFonts w:ascii="Calibri" w:hAnsi="Calibri" w:cs="Calibri"/>
          <w:i/>
          <w:iCs/>
          <w:noProof/>
          <w:szCs w:val="24"/>
        </w:rPr>
        <w:t>Proceedings of the Royal Society B: Biological Sciences</w:t>
      </w:r>
      <w:r w:rsidRPr="004D653A">
        <w:rPr>
          <w:rFonts w:ascii="Calibri" w:hAnsi="Calibri" w:cs="Calibri"/>
          <w:noProof/>
          <w:szCs w:val="24"/>
        </w:rPr>
        <w:t xml:space="preserve">, </w:t>
      </w:r>
      <w:r w:rsidRPr="004D653A">
        <w:rPr>
          <w:rFonts w:ascii="Calibri" w:hAnsi="Calibri" w:cs="Calibri"/>
          <w:i/>
          <w:iCs/>
          <w:noProof/>
          <w:szCs w:val="24"/>
        </w:rPr>
        <w:t>266</w:t>
      </w:r>
      <w:r w:rsidRPr="004D653A">
        <w:rPr>
          <w:rFonts w:ascii="Calibri" w:hAnsi="Calibri" w:cs="Calibri"/>
          <w:noProof/>
          <w:szCs w:val="24"/>
        </w:rPr>
        <w:t>(1423), 1013–1019. http://doi.org/10.1098/rspb.1999.0737</w:t>
      </w:r>
    </w:p>
    <w:p w14:paraId="054B127F"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Manser, M. B. (2001). The acoustic structure of suricates’ alarm calls varies with predator type and the level of response urgency. </w:t>
      </w:r>
      <w:r w:rsidRPr="004D653A">
        <w:rPr>
          <w:rFonts w:ascii="Calibri" w:hAnsi="Calibri" w:cs="Calibri"/>
          <w:i/>
          <w:iCs/>
          <w:noProof/>
          <w:szCs w:val="24"/>
        </w:rPr>
        <w:t>Proceedings of the Royal Society B: Biological Sciences</w:t>
      </w:r>
      <w:r w:rsidRPr="004D653A">
        <w:rPr>
          <w:rFonts w:ascii="Calibri" w:hAnsi="Calibri" w:cs="Calibri"/>
          <w:noProof/>
          <w:szCs w:val="24"/>
        </w:rPr>
        <w:t>. http://doi.org/10.1098/rspb.2001.1773</w:t>
      </w:r>
    </w:p>
    <w:p w14:paraId="2C11477D"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Marzol Jaén, M. V. (1988). </w:t>
      </w:r>
      <w:r w:rsidRPr="004D653A">
        <w:rPr>
          <w:rFonts w:ascii="Calibri" w:hAnsi="Calibri" w:cs="Calibri"/>
          <w:i/>
          <w:iCs/>
          <w:noProof/>
          <w:szCs w:val="24"/>
        </w:rPr>
        <w:t>La Lluvia: un recurso natural para Canarias [The Rain: a natural resource for the Canaries].</w:t>
      </w:r>
      <w:r w:rsidRPr="004D653A">
        <w:rPr>
          <w:rFonts w:ascii="Calibri" w:hAnsi="Calibri" w:cs="Calibri"/>
          <w:noProof/>
          <w:szCs w:val="24"/>
        </w:rPr>
        <w:t xml:space="preserve"> Santa Cruz de Tenerife: Servicio de Publicaciones de la Caja General de Ahorro de Canarias.</w:t>
      </w:r>
    </w:p>
    <w:p w14:paraId="2DF0467A"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McDonald, M., &amp; Johnson, S. (2014). “There’s an app for that”: a new program for the collection of behavioural field data.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95</w:t>
      </w:r>
      <w:r w:rsidRPr="004D653A">
        <w:rPr>
          <w:rFonts w:ascii="Calibri" w:hAnsi="Calibri" w:cs="Calibri"/>
          <w:noProof/>
          <w:szCs w:val="24"/>
        </w:rPr>
        <w:t>, 81–87. http://doi.org/10.1016/j.anbehav.2014.06.009</w:t>
      </w:r>
    </w:p>
    <w:p w14:paraId="75CC7568"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McNamara, J. M., &amp; Houston, A. I. (1992). Evolutionary stable levels of vigilance as a function of group size.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43</w:t>
      </w:r>
      <w:r w:rsidRPr="004D653A">
        <w:rPr>
          <w:rFonts w:ascii="Calibri" w:hAnsi="Calibri" w:cs="Calibri"/>
          <w:noProof/>
          <w:szCs w:val="24"/>
        </w:rPr>
        <w:t>, 641–658.</w:t>
      </w:r>
    </w:p>
    <w:p w14:paraId="3FC114BC"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Medina, F. M., López-Darias, M., Nogales, M., &amp; García, R. (2008). Food habits of feral cats (</w:t>
      </w:r>
      <w:r w:rsidRPr="004D653A">
        <w:rPr>
          <w:rFonts w:ascii="Calibri" w:hAnsi="Calibri" w:cs="Calibri"/>
          <w:i/>
          <w:iCs/>
          <w:noProof/>
          <w:szCs w:val="24"/>
        </w:rPr>
        <w:t>Felis silvestris catus L.</w:t>
      </w:r>
      <w:r w:rsidRPr="004D653A">
        <w:rPr>
          <w:rFonts w:ascii="Calibri" w:hAnsi="Calibri" w:cs="Calibri"/>
          <w:noProof/>
          <w:szCs w:val="24"/>
        </w:rPr>
        <w:t xml:space="preserve">) in insular semiarid environments (Fuerteventura, Canary Islands). </w:t>
      </w:r>
      <w:r w:rsidRPr="004D653A">
        <w:rPr>
          <w:rFonts w:ascii="Calibri" w:hAnsi="Calibri" w:cs="Calibri"/>
          <w:i/>
          <w:iCs/>
          <w:noProof/>
          <w:szCs w:val="24"/>
        </w:rPr>
        <w:t>Wildlife Research</w:t>
      </w:r>
      <w:r w:rsidRPr="004D653A">
        <w:rPr>
          <w:rFonts w:ascii="Calibri" w:hAnsi="Calibri" w:cs="Calibri"/>
          <w:noProof/>
          <w:szCs w:val="24"/>
        </w:rPr>
        <w:t xml:space="preserve">, </w:t>
      </w:r>
      <w:r w:rsidRPr="004D653A">
        <w:rPr>
          <w:rFonts w:ascii="Calibri" w:hAnsi="Calibri" w:cs="Calibri"/>
          <w:i/>
          <w:iCs/>
          <w:noProof/>
          <w:szCs w:val="24"/>
        </w:rPr>
        <w:t>35</w:t>
      </w:r>
      <w:r w:rsidRPr="004D653A">
        <w:rPr>
          <w:rFonts w:ascii="Calibri" w:hAnsi="Calibri" w:cs="Calibri"/>
          <w:noProof/>
          <w:szCs w:val="24"/>
        </w:rPr>
        <w:t>(2), 162–169. http://doi.org/10.1071/WR07108</w:t>
      </w:r>
    </w:p>
    <w:p w14:paraId="6D45572C"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Melchior, H. R., &amp; Iwen, F. A. (1965). Trapping, restraining, and marking Arctic ground squirrels for behavioral observations. </w:t>
      </w:r>
      <w:r w:rsidRPr="004D653A">
        <w:rPr>
          <w:rFonts w:ascii="Calibri" w:hAnsi="Calibri" w:cs="Calibri"/>
          <w:i/>
          <w:iCs/>
          <w:noProof/>
          <w:szCs w:val="24"/>
        </w:rPr>
        <w:t>The Journal of Wildlife Management</w:t>
      </w:r>
      <w:r w:rsidRPr="004D653A">
        <w:rPr>
          <w:rFonts w:ascii="Calibri" w:hAnsi="Calibri" w:cs="Calibri"/>
          <w:noProof/>
          <w:szCs w:val="24"/>
        </w:rPr>
        <w:t xml:space="preserve">, </w:t>
      </w:r>
      <w:r w:rsidRPr="004D653A">
        <w:rPr>
          <w:rFonts w:ascii="Calibri" w:hAnsi="Calibri" w:cs="Calibri"/>
          <w:i/>
          <w:iCs/>
          <w:noProof/>
          <w:szCs w:val="24"/>
        </w:rPr>
        <w:t>29</w:t>
      </w:r>
      <w:r w:rsidRPr="004D653A">
        <w:rPr>
          <w:rFonts w:ascii="Calibri" w:hAnsi="Calibri" w:cs="Calibri"/>
          <w:noProof/>
          <w:szCs w:val="24"/>
        </w:rPr>
        <w:t>(4), 671–678.</w:t>
      </w:r>
    </w:p>
    <w:p w14:paraId="182E1BE3"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lastRenderedPageBreak/>
        <w:t xml:space="preserve">Michelena, P., &amp; Deneubourg, J. L. (2011). How group size affects vigilance dynamics and time allocation patterns: The key role of imitation and tempo. </w:t>
      </w:r>
      <w:r w:rsidRPr="004D653A">
        <w:rPr>
          <w:rFonts w:ascii="Calibri" w:hAnsi="Calibri" w:cs="Calibri"/>
          <w:i/>
          <w:iCs/>
          <w:noProof/>
          <w:szCs w:val="24"/>
        </w:rPr>
        <w:t>PLoS ONE</w:t>
      </w:r>
      <w:r w:rsidRPr="004D653A">
        <w:rPr>
          <w:rFonts w:ascii="Calibri" w:hAnsi="Calibri" w:cs="Calibri"/>
          <w:noProof/>
          <w:szCs w:val="24"/>
        </w:rPr>
        <w:t xml:space="preserve">, </w:t>
      </w:r>
      <w:r w:rsidRPr="004D653A">
        <w:rPr>
          <w:rFonts w:ascii="Calibri" w:hAnsi="Calibri" w:cs="Calibri"/>
          <w:i/>
          <w:iCs/>
          <w:noProof/>
          <w:szCs w:val="24"/>
        </w:rPr>
        <w:t>6</w:t>
      </w:r>
      <w:r w:rsidRPr="004D653A">
        <w:rPr>
          <w:rFonts w:ascii="Calibri" w:hAnsi="Calibri" w:cs="Calibri"/>
          <w:noProof/>
          <w:szCs w:val="24"/>
        </w:rPr>
        <w:t>(4). http://doi.org/10.1371/journal.pone.0018631</w:t>
      </w:r>
    </w:p>
    <w:p w14:paraId="3BF09255"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Owings, D. H., &amp; Coss, R. G. (1977). Snake mobbing by Califoria ground squirrels: adaptive variation and ontogeny. </w:t>
      </w:r>
      <w:r w:rsidRPr="004D653A">
        <w:rPr>
          <w:rFonts w:ascii="Calibri" w:hAnsi="Calibri" w:cs="Calibri"/>
          <w:i/>
          <w:iCs/>
          <w:noProof/>
          <w:szCs w:val="24"/>
        </w:rPr>
        <w:t>Behaviour</w:t>
      </w:r>
      <w:r w:rsidRPr="004D653A">
        <w:rPr>
          <w:rFonts w:ascii="Calibri" w:hAnsi="Calibri" w:cs="Calibri"/>
          <w:noProof/>
          <w:szCs w:val="24"/>
        </w:rPr>
        <w:t xml:space="preserve">, </w:t>
      </w:r>
      <w:r w:rsidRPr="004D653A">
        <w:rPr>
          <w:rFonts w:ascii="Calibri" w:hAnsi="Calibri" w:cs="Calibri"/>
          <w:i/>
          <w:iCs/>
          <w:noProof/>
          <w:szCs w:val="24"/>
        </w:rPr>
        <w:t>62</w:t>
      </w:r>
      <w:r w:rsidRPr="004D653A">
        <w:rPr>
          <w:rFonts w:ascii="Calibri" w:hAnsi="Calibri" w:cs="Calibri"/>
          <w:noProof/>
          <w:szCs w:val="24"/>
        </w:rPr>
        <w:t>(1), 50–69.</w:t>
      </w:r>
    </w:p>
    <w:p w14:paraId="172A8991"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Owings, D. H., Hennessy, D. F., Leger, D. W., &amp; Gladney, A. B. (1986). Different functions of “alarm” calling for different time scales: A preliminary report on ground squirrels. </w:t>
      </w:r>
      <w:r w:rsidRPr="004D653A">
        <w:rPr>
          <w:rFonts w:ascii="Calibri" w:hAnsi="Calibri" w:cs="Calibri"/>
          <w:i/>
          <w:iCs/>
          <w:noProof/>
          <w:szCs w:val="24"/>
        </w:rPr>
        <w:t>Behaviour</w:t>
      </w:r>
      <w:r w:rsidRPr="004D653A">
        <w:rPr>
          <w:rFonts w:ascii="Calibri" w:hAnsi="Calibri" w:cs="Calibri"/>
          <w:noProof/>
          <w:szCs w:val="24"/>
        </w:rPr>
        <w:t xml:space="preserve">, </w:t>
      </w:r>
      <w:r w:rsidRPr="004D653A">
        <w:rPr>
          <w:rFonts w:ascii="Calibri" w:hAnsi="Calibri" w:cs="Calibri"/>
          <w:i/>
          <w:iCs/>
          <w:noProof/>
          <w:szCs w:val="24"/>
        </w:rPr>
        <w:t>99</w:t>
      </w:r>
      <w:r w:rsidRPr="004D653A">
        <w:rPr>
          <w:rFonts w:ascii="Calibri" w:hAnsi="Calibri" w:cs="Calibri"/>
          <w:noProof/>
          <w:szCs w:val="24"/>
        </w:rPr>
        <w:t>(1/2), 101–116.</w:t>
      </w:r>
    </w:p>
    <w:p w14:paraId="55EC4C7A"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Pays, O., Dubot, A. L., Jarman, P. J., Loisel, P., &amp; Goldizen, A. W. (2009). Vigilance and its complex synchrony in the red-necked pademelon, </w:t>
      </w:r>
      <w:r w:rsidRPr="004D653A">
        <w:rPr>
          <w:rFonts w:ascii="Calibri" w:hAnsi="Calibri" w:cs="Calibri"/>
          <w:i/>
          <w:iCs/>
          <w:noProof/>
          <w:szCs w:val="24"/>
        </w:rPr>
        <w:t>Thylogale thetis</w:t>
      </w:r>
      <w:r w:rsidRPr="004D653A">
        <w:rPr>
          <w:rFonts w:ascii="Calibri" w:hAnsi="Calibri" w:cs="Calibri"/>
          <w:noProof/>
          <w:szCs w:val="24"/>
        </w:rPr>
        <w:t xml:space="preserve">. </w:t>
      </w:r>
      <w:r w:rsidRPr="004D653A">
        <w:rPr>
          <w:rFonts w:ascii="Calibri" w:hAnsi="Calibri" w:cs="Calibri"/>
          <w:i/>
          <w:iCs/>
          <w:noProof/>
          <w:szCs w:val="24"/>
        </w:rPr>
        <w:t>Behavioral Ecology</w:t>
      </w:r>
      <w:r w:rsidRPr="004D653A">
        <w:rPr>
          <w:rFonts w:ascii="Calibri" w:hAnsi="Calibri" w:cs="Calibri"/>
          <w:noProof/>
          <w:szCs w:val="24"/>
        </w:rPr>
        <w:t xml:space="preserve">, </w:t>
      </w:r>
      <w:r w:rsidRPr="004D653A">
        <w:rPr>
          <w:rFonts w:ascii="Calibri" w:hAnsi="Calibri" w:cs="Calibri"/>
          <w:i/>
          <w:iCs/>
          <w:noProof/>
          <w:szCs w:val="24"/>
        </w:rPr>
        <w:t>20</w:t>
      </w:r>
      <w:r w:rsidRPr="004D653A">
        <w:rPr>
          <w:rFonts w:ascii="Calibri" w:hAnsi="Calibri" w:cs="Calibri"/>
          <w:noProof/>
          <w:szCs w:val="24"/>
        </w:rPr>
        <w:t>(1), 22–29. http://doi.org/10.1093/beheco/arn110</w:t>
      </w:r>
    </w:p>
    <w:p w14:paraId="653EC520"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Pays, O., Jarman, P. J., Loisel, P., &amp; Gerard, J. F. (2007). Coordination, independence or synchronization of individual vigilance in the eastern grey kangaroo?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73</w:t>
      </w:r>
      <w:r w:rsidRPr="004D653A">
        <w:rPr>
          <w:rFonts w:ascii="Calibri" w:hAnsi="Calibri" w:cs="Calibri"/>
          <w:noProof/>
          <w:szCs w:val="24"/>
        </w:rPr>
        <w:t>, 595–604. http://doi.org/10.1016/j.anbehav.2006.06.007</w:t>
      </w:r>
    </w:p>
    <w:p w14:paraId="341D508A"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Pays, O., Renaud, P. C., Loisel, P., Petit, M., Gerard, J. F., &amp; Jarman, P. J. (2007). Prey synchronize their vigilant behaviour with other group members. </w:t>
      </w:r>
      <w:r w:rsidRPr="004D653A">
        <w:rPr>
          <w:rFonts w:ascii="Calibri" w:hAnsi="Calibri" w:cs="Calibri"/>
          <w:i/>
          <w:iCs/>
          <w:noProof/>
          <w:szCs w:val="24"/>
        </w:rPr>
        <w:t>Proceedings of the Royal Society B: Biological Sciences</w:t>
      </w:r>
      <w:r w:rsidRPr="004D653A">
        <w:rPr>
          <w:rFonts w:ascii="Calibri" w:hAnsi="Calibri" w:cs="Calibri"/>
          <w:noProof/>
          <w:szCs w:val="24"/>
        </w:rPr>
        <w:t xml:space="preserve">, </w:t>
      </w:r>
      <w:r w:rsidRPr="004D653A">
        <w:rPr>
          <w:rFonts w:ascii="Calibri" w:hAnsi="Calibri" w:cs="Calibri"/>
          <w:i/>
          <w:iCs/>
          <w:noProof/>
          <w:szCs w:val="24"/>
        </w:rPr>
        <w:t>274</w:t>
      </w:r>
      <w:r w:rsidRPr="004D653A">
        <w:rPr>
          <w:rFonts w:ascii="Calibri" w:hAnsi="Calibri" w:cs="Calibri"/>
          <w:noProof/>
          <w:szCs w:val="24"/>
        </w:rPr>
        <w:t>, 1287–1291. http://doi.org/10.1098/rspb.2006.0204</w:t>
      </w:r>
    </w:p>
    <w:p w14:paraId="63A797E5"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Pays, O., Sirot, E., &amp; Fritz, H. (2012). Collective vigilance in the greater kudu: Towards a better understanding of synchronization patterns.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118</w:t>
      </w:r>
      <w:r w:rsidRPr="004D653A">
        <w:rPr>
          <w:rFonts w:ascii="Calibri" w:hAnsi="Calibri" w:cs="Calibri"/>
          <w:noProof/>
          <w:szCs w:val="24"/>
        </w:rPr>
        <w:t>(1), 1–9. http://doi.org/10.1111/j.1439-0310.2011.01974.x</w:t>
      </w:r>
    </w:p>
    <w:p w14:paraId="2F7B1D42"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Phillips, M. A., &amp; Waterman, J. M. (2013). Olfactory snake-predator discrimination in the Cape ground squirrel.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119</w:t>
      </w:r>
      <w:r w:rsidRPr="004D653A">
        <w:rPr>
          <w:rFonts w:ascii="Calibri" w:hAnsi="Calibri" w:cs="Calibri"/>
          <w:noProof/>
          <w:szCs w:val="24"/>
        </w:rPr>
        <w:t>(4), 278–285. http://doi.org/10.1111/eth.12059</w:t>
      </w:r>
    </w:p>
    <w:p w14:paraId="211E4A7D"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Podgórski, T., Jong, S. de, Bubnicki, J. W., Kuijper, D. P. J., Churski, M., &amp; Jedrzejewska, B. (2016). Drivers of synchronized vigilance in wild boar groups. </w:t>
      </w:r>
      <w:r w:rsidRPr="004D653A">
        <w:rPr>
          <w:rFonts w:ascii="Calibri" w:hAnsi="Calibri" w:cs="Calibri"/>
          <w:i/>
          <w:iCs/>
          <w:noProof/>
          <w:szCs w:val="24"/>
        </w:rPr>
        <w:t>Behavioral Ecology</w:t>
      </w:r>
      <w:r w:rsidRPr="004D653A">
        <w:rPr>
          <w:rFonts w:ascii="Calibri" w:hAnsi="Calibri" w:cs="Calibri"/>
          <w:noProof/>
          <w:szCs w:val="24"/>
        </w:rPr>
        <w:t xml:space="preserve">, </w:t>
      </w:r>
      <w:r w:rsidRPr="004D653A">
        <w:rPr>
          <w:rFonts w:ascii="Calibri" w:hAnsi="Calibri" w:cs="Calibri"/>
          <w:i/>
          <w:iCs/>
          <w:noProof/>
          <w:szCs w:val="24"/>
        </w:rPr>
        <w:t>27</w:t>
      </w:r>
      <w:r w:rsidRPr="004D653A">
        <w:rPr>
          <w:rFonts w:ascii="Calibri" w:hAnsi="Calibri" w:cs="Calibri"/>
          <w:noProof/>
          <w:szCs w:val="24"/>
        </w:rPr>
        <w:t xml:space="preserve">(4), 1097–1103. </w:t>
      </w:r>
      <w:r w:rsidRPr="004D653A">
        <w:rPr>
          <w:rFonts w:ascii="Calibri" w:hAnsi="Calibri" w:cs="Calibri"/>
          <w:noProof/>
          <w:szCs w:val="24"/>
        </w:rPr>
        <w:lastRenderedPageBreak/>
        <w:t>http://doi.org/10.1093/beheco/arw016</w:t>
      </w:r>
    </w:p>
    <w:p w14:paraId="221C6B43"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Price, T., &amp; Fischer, J. (2014). Meaning attribution in the West African green monkey: influence of call type and context. </w:t>
      </w:r>
      <w:r w:rsidRPr="004D653A">
        <w:rPr>
          <w:rFonts w:ascii="Calibri" w:hAnsi="Calibri" w:cs="Calibri"/>
          <w:i/>
          <w:iCs/>
          <w:noProof/>
          <w:szCs w:val="24"/>
        </w:rPr>
        <w:t>Animal Cognition</w:t>
      </w:r>
      <w:r w:rsidRPr="004D653A">
        <w:rPr>
          <w:rFonts w:ascii="Calibri" w:hAnsi="Calibri" w:cs="Calibri"/>
          <w:noProof/>
          <w:szCs w:val="24"/>
        </w:rPr>
        <w:t xml:space="preserve">, </w:t>
      </w:r>
      <w:r w:rsidRPr="004D653A">
        <w:rPr>
          <w:rFonts w:ascii="Calibri" w:hAnsi="Calibri" w:cs="Calibri"/>
          <w:i/>
          <w:iCs/>
          <w:noProof/>
          <w:szCs w:val="24"/>
        </w:rPr>
        <w:t>17</w:t>
      </w:r>
      <w:r w:rsidRPr="004D653A">
        <w:rPr>
          <w:rFonts w:ascii="Calibri" w:hAnsi="Calibri" w:cs="Calibri"/>
          <w:noProof/>
          <w:szCs w:val="24"/>
        </w:rPr>
        <w:t>, 277–286. http://doi.org/10.1007/s10071-013-0660-9</w:t>
      </w:r>
    </w:p>
    <w:p w14:paraId="374BB89D"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Pulliam, H. R. (1973). On the advantages of flocking. </w:t>
      </w:r>
      <w:r w:rsidRPr="004D653A">
        <w:rPr>
          <w:rFonts w:ascii="Calibri" w:hAnsi="Calibri" w:cs="Calibri"/>
          <w:i/>
          <w:iCs/>
          <w:noProof/>
          <w:szCs w:val="24"/>
        </w:rPr>
        <w:t>Journal of Theoretical Biology</w:t>
      </w:r>
      <w:r w:rsidRPr="004D653A">
        <w:rPr>
          <w:rFonts w:ascii="Calibri" w:hAnsi="Calibri" w:cs="Calibri"/>
          <w:noProof/>
          <w:szCs w:val="24"/>
        </w:rPr>
        <w:t xml:space="preserve">, </w:t>
      </w:r>
      <w:r w:rsidRPr="004D653A">
        <w:rPr>
          <w:rFonts w:ascii="Calibri" w:hAnsi="Calibri" w:cs="Calibri"/>
          <w:i/>
          <w:iCs/>
          <w:noProof/>
          <w:szCs w:val="24"/>
        </w:rPr>
        <w:t>38</w:t>
      </w:r>
      <w:r w:rsidRPr="004D653A">
        <w:rPr>
          <w:rFonts w:ascii="Calibri" w:hAnsi="Calibri" w:cs="Calibri"/>
          <w:noProof/>
          <w:szCs w:val="24"/>
        </w:rPr>
        <w:t>, 419–422.</w:t>
      </w:r>
    </w:p>
    <w:p w14:paraId="6EF63F9D"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Quenette, P.-Y., &amp; Gerard, J.-F. (1992). From individual to collective vigilance in wild boar (</w:t>
      </w:r>
      <w:r w:rsidRPr="004D653A">
        <w:rPr>
          <w:rFonts w:ascii="Calibri" w:hAnsi="Calibri" w:cs="Calibri"/>
          <w:i/>
          <w:iCs/>
          <w:noProof/>
          <w:szCs w:val="24"/>
        </w:rPr>
        <w:t>Sus scrofa</w:t>
      </w:r>
      <w:r w:rsidRPr="004D653A">
        <w:rPr>
          <w:rFonts w:ascii="Calibri" w:hAnsi="Calibri" w:cs="Calibri"/>
          <w:noProof/>
          <w:szCs w:val="24"/>
        </w:rPr>
        <w:t xml:space="preserve">). </w:t>
      </w:r>
      <w:r w:rsidRPr="004D653A">
        <w:rPr>
          <w:rFonts w:ascii="Calibri" w:hAnsi="Calibri" w:cs="Calibri"/>
          <w:i/>
          <w:iCs/>
          <w:noProof/>
          <w:szCs w:val="24"/>
        </w:rPr>
        <w:t>Canadian Journal of Zoology</w:t>
      </w:r>
      <w:r w:rsidRPr="004D653A">
        <w:rPr>
          <w:rFonts w:ascii="Calibri" w:hAnsi="Calibri" w:cs="Calibri"/>
          <w:noProof/>
          <w:szCs w:val="24"/>
        </w:rPr>
        <w:t xml:space="preserve">, </w:t>
      </w:r>
      <w:r w:rsidRPr="004D653A">
        <w:rPr>
          <w:rFonts w:ascii="Calibri" w:hAnsi="Calibri" w:cs="Calibri"/>
          <w:i/>
          <w:iCs/>
          <w:noProof/>
          <w:szCs w:val="24"/>
        </w:rPr>
        <w:t>70</w:t>
      </w:r>
      <w:r w:rsidRPr="004D653A">
        <w:rPr>
          <w:rFonts w:ascii="Calibri" w:hAnsi="Calibri" w:cs="Calibri"/>
          <w:noProof/>
          <w:szCs w:val="24"/>
        </w:rPr>
        <w:t>(8), 1632–1635. http://doi.org/10.1139/z92-226</w:t>
      </w:r>
    </w:p>
    <w:p w14:paraId="77F36F68"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R Core Team. (2017). R: A language and environment for statistical computing. Vienna, Austria: R Foundation for Statistical Computing. Retrieved from http://www.r-project.org/</w:t>
      </w:r>
    </w:p>
    <w:p w14:paraId="5105CEE8"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Rieucau, G., Blanchard, P., Martin, J. G. A., Favreau, F.-R., Goldizen, A. W., &amp; Pays, O. (2012). Investigating differences in vigilance tactic use within and between the sexes in eastern grey kangaroos. </w:t>
      </w:r>
      <w:r w:rsidRPr="004D653A">
        <w:rPr>
          <w:rFonts w:ascii="Calibri" w:hAnsi="Calibri" w:cs="Calibri"/>
          <w:i/>
          <w:iCs/>
          <w:noProof/>
          <w:szCs w:val="24"/>
        </w:rPr>
        <w:t>PLoS ONE</w:t>
      </w:r>
      <w:r w:rsidRPr="004D653A">
        <w:rPr>
          <w:rFonts w:ascii="Calibri" w:hAnsi="Calibri" w:cs="Calibri"/>
          <w:noProof/>
          <w:szCs w:val="24"/>
        </w:rPr>
        <w:t xml:space="preserve">, </w:t>
      </w:r>
      <w:r w:rsidRPr="004D653A">
        <w:rPr>
          <w:rFonts w:ascii="Calibri" w:hAnsi="Calibri" w:cs="Calibri"/>
          <w:i/>
          <w:iCs/>
          <w:noProof/>
          <w:szCs w:val="24"/>
        </w:rPr>
        <w:t>7</w:t>
      </w:r>
      <w:r w:rsidRPr="004D653A">
        <w:rPr>
          <w:rFonts w:ascii="Calibri" w:hAnsi="Calibri" w:cs="Calibri"/>
          <w:noProof/>
          <w:szCs w:val="24"/>
        </w:rPr>
        <w:t>(9). http://doi.org/10.1371/journal.pone.0044801</w:t>
      </w:r>
    </w:p>
    <w:p w14:paraId="66DF8A4C"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Roberts, G. (1996). Why individual vigilance declines as group size increases.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51</w:t>
      </w:r>
      <w:r w:rsidRPr="004D653A">
        <w:rPr>
          <w:rFonts w:ascii="Calibri" w:hAnsi="Calibri" w:cs="Calibri"/>
          <w:noProof/>
          <w:szCs w:val="24"/>
        </w:rPr>
        <w:t>, 1077–1086.</w:t>
      </w:r>
    </w:p>
    <w:p w14:paraId="28C974A8"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Sherman, P. W. (1977). Nepotism and the evolution of alarm calls. </w:t>
      </w:r>
      <w:r w:rsidRPr="004D653A">
        <w:rPr>
          <w:rFonts w:ascii="Calibri" w:hAnsi="Calibri" w:cs="Calibri"/>
          <w:i/>
          <w:iCs/>
          <w:noProof/>
          <w:szCs w:val="24"/>
        </w:rPr>
        <w:t>Science</w:t>
      </w:r>
      <w:r w:rsidRPr="004D653A">
        <w:rPr>
          <w:rFonts w:ascii="Calibri" w:hAnsi="Calibri" w:cs="Calibri"/>
          <w:noProof/>
          <w:szCs w:val="24"/>
        </w:rPr>
        <w:t xml:space="preserve">, </w:t>
      </w:r>
      <w:r w:rsidRPr="004D653A">
        <w:rPr>
          <w:rFonts w:ascii="Calibri" w:hAnsi="Calibri" w:cs="Calibri"/>
          <w:i/>
          <w:iCs/>
          <w:noProof/>
          <w:szCs w:val="24"/>
        </w:rPr>
        <w:t>197</w:t>
      </w:r>
      <w:r w:rsidRPr="004D653A">
        <w:rPr>
          <w:rFonts w:ascii="Calibri" w:hAnsi="Calibri" w:cs="Calibri"/>
          <w:noProof/>
          <w:szCs w:val="24"/>
        </w:rPr>
        <w:t>(4310), 1246–1253.</w:t>
      </w:r>
    </w:p>
    <w:p w14:paraId="538D0BD9"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Sirot, E., &amp; Touzalin, F. (2009). Coordination and synchronization of vigilance in groups of prey: The role of collective detection and predators’ preference for stragglers. </w:t>
      </w:r>
      <w:r w:rsidRPr="004D653A">
        <w:rPr>
          <w:rFonts w:ascii="Calibri" w:hAnsi="Calibri" w:cs="Calibri"/>
          <w:i/>
          <w:iCs/>
          <w:noProof/>
          <w:szCs w:val="24"/>
        </w:rPr>
        <w:t>The American Naturalist</w:t>
      </w:r>
      <w:r w:rsidRPr="004D653A">
        <w:rPr>
          <w:rFonts w:ascii="Calibri" w:hAnsi="Calibri" w:cs="Calibri"/>
          <w:noProof/>
          <w:szCs w:val="24"/>
        </w:rPr>
        <w:t xml:space="preserve">, </w:t>
      </w:r>
      <w:r w:rsidRPr="004D653A">
        <w:rPr>
          <w:rFonts w:ascii="Calibri" w:hAnsi="Calibri" w:cs="Calibri"/>
          <w:i/>
          <w:iCs/>
          <w:noProof/>
          <w:szCs w:val="24"/>
        </w:rPr>
        <w:t>173</w:t>
      </w:r>
      <w:r w:rsidRPr="004D653A">
        <w:rPr>
          <w:rFonts w:ascii="Calibri" w:hAnsi="Calibri" w:cs="Calibri"/>
          <w:noProof/>
          <w:szCs w:val="24"/>
        </w:rPr>
        <w:t>(1), 47–59. http://doi.org/10.1086/593358</w:t>
      </w:r>
    </w:p>
    <w:p w14:paraId="650C7439"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Sloan, J. L., &amp; Hare, J. F. (2004). Monotony and the information content of Richardson’s ground squirrel (</w:t>
      </w:r>
      <w:r w:rsidRPr="004D653A">
        <w:rPr>
          <w:rFonts w:ascii="Calibri" w:hAnsi="Calibri" w:cs="Calibri"/>
          <w:i/>
          <w:iCs/>
          <w:noProof/>
          <w:szCs w:val="24"/>
        </w:rPr>
        <w:t>Spermophilus richardsonii</w:t>
      </w:r>
      <w:r w:rsidRPr="004D653A">
        <w:rPr>
          <w:rFonts w:ascii="Calibri" w:hAnsi="Calibri" w:cs="Calibri"/>
          <w:noProof/>
          <w:szCs w:val="24"/>
        </w:rPr>
        <w:t xml:space="preserve">) repeated calls: Tonic communication or signal certainty?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110</w:t>
      </w:r>
      <w:r w:rsidRPr="004D653A">
        <w:rPr>
          <w:rFonts w:ascii="Calibri" w:hAnsi="Calibri" w:cs="Calibri"/>
          <w:noProof/>
          <w:szCs w:val="24"/>
        </w:rPr>
        <w:t>(2), 147–156. http://doi.org/10.1111/j.1439-0310.2003.00955.x</w:t>
      </w:r>
    </w:p>
    <w:p w14:paraId="29D39A3B"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Sloan, J. L., &amp; Hare, J. F. (2008). The more the scarier: Adult Richardson’s ground squirrels (</w:t>
      </w:r>
      <w:r w:rsidRPr="004D653A">
        <w:rPr>
          <w:rFonts w:ascii="Calibri" w:hAnsi="Calibri" w:cs="Calibri"/>
          <w:i/>
          <w:iCs/>
          <w:noProof/>
          <w:szCs w:val="24"/>
        </w:rPr>
        <w:t>Spermophilus richardsonii</w:t>
      </w:r>
      <w:r w:rsidRPr="004D653A">
        <w:rPr>
          <w:rFonts w:ascii="Calibri" w:hAnsi="Calibri" w:cs="Calibri"/>
          <w:noProof/>
          <w:szCs w:val="24"/>
        </w:rPr>
        <w:t xml:space="preserve">) assess response urgency via the number of alarm signallers.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114</w:t>
      </w:r>
      <w:r w:rsidRPr="004D653A">
        <w:rPr>
          <w:rFonts w:ascii="Calibri" w:hAnsi="Calibri" w:cs="Calibri"/>
          <w:noProof/>
          <w:szCs w:val="24"/>
        </w:rPr>
        <w:t>(5), 436–443. http://doi.org/10.1111/j.1439-0310.2008.01479.x</w:t>
      </w:r>
    </w:p>
    <w:p w14:paraId="35D09603"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Stankowich, T. (2003). Marginal predation methodologies and the importance of predator preferences. </w:t>
      </w:r>
      <w:r w:rsidRPr="004D653A">
        <w:rPr>
          <w:rFonts w:ascii="Calibri" w:hAnsi="Calibri" w:cs="Calibri"/>
          <w:i/>
          <w:iCs/>
          <w:noProof/>
          <w:szCs w:val="24"/>
        </w:rPr>
        <w:lastRenderedPageBreak/>
        <w:t>Animal Behaviour</w:t>
      </w:r>
      <w:r w:rsidRPr="004D653A">
        <w:rPr>
          <w:rFonts w:ascii="Calibri" w:hAnsi="Calibri" w:cs="Calibri"/>
          <w:noProof/>
          <w:szCs w:val="24"/>
        </w:rPr>
        <w:t xml:space="preserve">, </w:t>
      </w:r>
      <w:r w:rsidRPr="004D653A">
        <w:rPr>
          <w:rFonts w:ascii="Calibri" w:hAnsi="Calibri" w:cs="Calibri"/>
          <w:i/>
          <w:iCs/>
          <w:noProof/>
          <w:szCs w:val="24"/>
        </w:rPr>
        <w:t>66</w:t>
      </w:r>
      <w:r w:rsidRPr="004D653A">
        <w:rPr>
          <w:rFonts w:ascii="Calibri" w:hAnsi="Calibri" w:cs="Calibri"/>
          <w:noProof/>
          <w:szCs w:val="24"/>
        </w:rPr>
        <w:t>(3), 589–599. http://doi.org/10.1006/anbe.2003.2232</w:t>
      </w:r>
    </w:p>
    <w:p w14:paraId="1E17BCFF"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Treves, A., Drescher, A., &amp; Ingrisano, N. (2001). Vigilance and aggregation in black howler monkeys (</w:t>
      </w:r>
      <w:r w:rsidRPr="004D653A">
        <w:rPr>
          <w:rFonts w:ascii="Calibri" w:hAnsi="Calibri" w:cs="Calibri"/>
          <w:i/>
          <w:iCs/>
          <w:noProof/>
          <w:szCs w:val="24"/>
        </w:rPr>
        <w:t>Alouatta pigra</w:t>
      </w:r>
      <w:r w:rsidRPr="004D653A">
        <w:rPr>
          <w:rFonts w:ascii="Calibri" w:hAnsi="Calibri" w:cs="Calibri"/>
          <w:noProof/>
          <w:szCs w:val="24"/>
        </w:rPr>
        <w:t xml:space="preserve">). </w:t>
      </w:r>
      <w:r w:rsidRPr="004D653A">
        <w:rPr>
          <w:rFonts w:ascii="Calibri" w:hAnsi="Calibri" w:cs="Calibri"/>
          <w:i/>
          <w:iCs/>
          <w:noProof/>
          <w:szCs w:val="24"/>
        </w:rPr>
        <w:t>Behavioral Ecology and Sociobiology</w:t>
      </w:r>
      <w:r w:rsidRPr="004D653A">
        <w:rPr>
          <w:rFonts w:ascii="Calibri" w:hAnsi="Calibri" w:cs="Calibri"/>
          <w:noProof/>
          <w:szCs w:val="24"/>
        </w:rPr>
        <w:t xml:space="preserve">, </w:t>
      </w:r>
      <w:r w:rsidRPr="004D653A">
        <w:rPr>
          <w:rFonts w:ascii="Calibri" w:hAnsi="Calibri" w:cs="Calibri"/>
          <w:i/>
          <w:iCs/>
          <w:noProof/>
          <w:szCs w:val="24"/>
        </w:rPr>
        <w:t>50</w:t>
      </w:r>
      <w:r w:rsidRPr="004D653A">
        <w:rPr>
          <w:rFonts w:ascii="Calibri" w:hAnsi="Calibri" w:cs="Calibri"/>
          <w:noProof/>
          <w:szCs w:val="24"/>
        </w:rPr>
        <w:t>(1), 90–95. http://doi.org/10.1007/s002650100328</w:t>
      </w:r>
    </w:p>
    <w:p w14:paraId="0FBA3631"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Unck, C. E., Waterman, J. M., Verburgt, L., &amp; Bateman, P. W. (2009). Quantity versus quality: how does level of predation threat affect Cape ground squirrel vigilance?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78</w:t>
      </w:r>
      <w:r w:rsidRPr="004D653A">
        <w:rPr>
          <w:rFonts w:ascii="Calibri" w:hAnsi="Calibri" w:cs="Calibri"/>
          <w:noProof/>
          <w:szCs w:val="24"/>
        </w:rPr>
        <w:t>(3), 625–632. http://doi.org/10.1016/j.anbehav.2009.05.028</w:t>
      </w:r>
    </w:p>
    <w:p w14:paraId="75BDA813"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Valone, T. J. (1989). Group foraging, public information, and patch estimation. </w:t>
      </w:r>
      <w:r w:rsidRPr="004D653A">
        <w:rPr>
          <w:rFonts w:ascii="Calibri" w:hAnsi="Calibri" w:cs="Calibri"/>
          <w:i/>
          <w:iCs/>
          <w:noProof/>
          <w:szCs w:val="24"/>
        </w:rPr>
        <w:t>Oikos</w:t>
      </w:r>
      <w:r w:rsidRPr="004D653A">
        <w:rPr>
          <w:rFonts w:ascii="Calibri" w:hAnsi="Calibri" w:cs="Calibri"/>
          <w:noProof/>
          <w:szCs w:val="24"/>
        </w:rPr>
        <w:t xml:space="preserve">, </w:t>
      </w:r>
      <w:r w:rsidRPr="004D653A">
        <w:rPr>
          <w:rFonts w:ascii="Calibri" w:hAnsi="Calibri" w:cs="Calibri"/>
          <w:i/>
          <w:iCs/>
          <w:noProof/>
          <w:szCs w:val="24"/>
        </w:rPr>
        <w:t>56</w:t>
      </w:r>
      <w:r w:rsidRPr="004D653A">
        <w:rPr>
          <w:rFonts w:ascii="Calibri" w:hAnsi="Calibri" w:cs="Calibri"/>
          <w:noProof/>
          <w:szCs w:val="24"/>
        </w:rPr>
        <w:t>(3), 357–363.</w:t>
      </w:r>
    </w:p>
    <w:p w14:paraId="07E5DC8A"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Waring, G. H. (1966). Sounds and communications of the yellow-bellied marmot (</w:t>
      </w:r>
      <w:r w:rsidRPr="004D653A">
        <w:rPr>
          <w:rFonts w:ascii="Calibri" w:hAnsi="Calibri" w:cs="Calibri"/>
          <w:i/>
          <w:iCs/>
          <w:noProof/>
          <w:szCs w:val="24"/>
        </w:rPr>
        <w:t>Marmota flaviventris</w:t>
      </w:r>
      <w:r w:rsidRPr="004D653A">
        <w:rPr>
          <w:rFonts w:ascii="Calibri" w:hAnsi="Calibri" w:cs="Calibri"/>
          <w:noProof/>
          <w:szCs w:val="24"/>
        </w:rPr>
        <w:t xml:space="preserve">).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14</w:t>
      </w:r>
      <w:r w:rsidRPr="004D653A">
        <w:rPr>
          <w:rFonts w:ascii="Calibri" w:hAnsi="Calibri" w:cs="Calibri"/>
          <w:noProof/>
          <w:szCs w:val="24"/>
        </w:rPr>
        <w:t>(1), 177–83. Retrieved from http://www.ncbi.nlm.nih.gov/pubmed/5918244</w:t>
      </w:r>
    </w:p>
    <w:p w14:paraId="184A4286"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Waterman, J. M. (1995). The social organization of the Cape ground squirrel (</w:t>
      </w:r>
      <w:r w:rsidRPr="004D653A">
        <w:rPr>
          <w:rFonts w:ascii="Calibri" w:hAnsi="Calibri" w:cs="Calibri"/>
          <w:i/>
          <w:iCs/>
          <w:noProof/>
          <w:szCs w:val="24"/>
        </w:rPr>
        <w:t>Xerus inauris</w:t>
      </w:r>
      <w:r w:rsidRPr="004D653A">
        <w:rPr>
          <w:rFonts w:ascii="Calibri" w:hAnsi="Calibri" w:cs="Calibri"/>
          <w:noProof/>
          <w:szCs w:val="24"/>
        </w:rPr>
        <w:t xml:space="preserve">; Rodentia: Sciuridae). </w:t>
      </w:r>
      <w:r w:rsidRPr="004D653A">
        <w:rPr>
          <w:rFonts w:ascii="Calibri" w:hAnsi="Calibri" w:cs="Calibri"/>
          <w:i/>
          <w:iCs/>
          <w:noProof/>
          <w:szCs w:val="24"/>
        </w:rPr>
        <w:t>Ethology</w:t>
      </w:r>
      <w:r w:rsidRPr="004D653A">
        <w:rPr>
          <w:rFonts w:ascii="Calibri" w:hAnsi="Calibri" w:cs="Calibri"/>
          <w:noProof/>
          <w:szCs w:val="24"/>
        </w:rPr>
        <w:t xml:space="preserve">, </w:t>
      </w:r>
      <w:r w:rsidRPr="004D653A">
        <w:rPr>
          <w:rFonts w:ascii="Calibri" w:hAnsi="Calibri" w:cs="Calibri"/>
          <w:i/>
          <w:iCs/>
          <w:noProof/>
          <w:szCs w:val="24"/>
        </w:rPr>
        <w:t>101</w:t>
      </w:r>
      <w:r w:rsidRPr="004D653A">
        <w:rPr>
          <w:rFonts w:ascii="Calibri" w:hAnsi="Calibri" w:cs="Calibri"/>
          <w:noProof/>
          <w:szCs w:val="24"/>
        </w:rPr>
        <w:t>(101), 130–147.</w:t>
      </w:r>
    </w:p>
    <w:p w14:paraId="73E6BE7B"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Waterman, J. M. (1997). Why do male Cape ground squirrels live in groups?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53</w:t>
      </w:r>
      <w:r w:rsidRPr="004D653A">
        <w:rPr>
          <w:rFonts w:ascii="Calibri" w:hAnsi="Calibri" w:cs="Calibri"/>
          <w:noProof/>
          <w:szCs w:val="24"/>
        </w:rPr>
        <w:t>, 809–817.</w:t>
      </w:r>
    </w:p>
    <w:p w14:paraId="76267089"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Wheeler, B. C. (2010). Production and perception of situationally variable alarm calls in wild tufted capuchin monkeys (</w:t>
      </w:r>
      <w:r w:rsidRPr="004D653A">
        <w:rPr>
          <w:rFonts w:ascii="Calibri" w:hAnsi="Calibri" w:cs="Calibri"/>
          <w:i/>
          <w:iCs/>
          <w:noProof/>
          <w:szCs w:val="24"/>
        </w:rPr>
        <w:t>Cebus apella nigritus</w:t>
      </w:r>
      <w:r w:rsidRPr="004D653A">
        <w:rPr>
          <w:rFonts w:ascii="Calibri" w:hAnsi="Calibri" w:cs="Calibri"/>
          <w:noProof/>
          <w:szCs w:val="24"/>
        </w:rPr>
        <w:t xml:space="preserve">). </w:t>
      </w:r>
      <w:r w:rsidRPr="004D653A">
        <w:rPr>
          <w:rFonts w:ascii="Calibri" w:hAnsi="Calibri" w:cs="Calibri"/>
          <w:i/>
          <w:iCs/>
          <w:noProof/>
          <w:szCs w:val="24"/>
        </w:rPr>
        <w:t>Behavioral Ecology and Sociobiology</w:t>
      </w:r>
      <w:r w:rsidRPr="004D653A">
        <w:rPr>
          <w:rFonts w:ascii="Calibri" w:hAnsi="Calibri" w:cs="Calibri"/>
          <w:noProof/>
          <w:szCs w:val="24"/>
        </w:rPr>
        <w:t xml:space="preserve">, </w:t>
      </w:r>
      <w:r w:rsidRPr="004D653A">
        <w:rPr>
          <w:rFonts w:ascii="Calibri" w:hAnsi="Calibri" w:cs="Calibri"/>
          <w:i/>
          <w:iCs/>
          <w:noProof/>
          <w:szCs w:val="24"/>
        </w:rPr>
        <w:t>64</w:t>
      </w:r>
      <w:r w:rsidRPr="004D653A">
        <w:rPr>
          <w:rFonts w:ascii="Calibri" w:hAnsi="Calibri" w:cs="Calibri"/>
          <w:noProof/>
          <w:szCs w:val="24"/>
        </w:rPr>
        <w:t>, 989–1000. http://doi.org/10.1007/s00265-010-0914-3</w:t>
      </w:r>
    </w:p>
    <w:p w14:paraId="3BB841B7"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Whiteside, M. A., Langley, E. J. G., &amp; Madden, J. R. (2016). Males and females differentially adjust vigilance levels as group size increases: effect on optimal group size. </w:t>
      </w:r>
      <w:r w:rsidRPr="004D653A">
        <w:rPr>
          <w:rFonts w:ascii="Calibri" w:hAnsi="Calibri" w:cs="Calibri"/>
          <w:i/>
          <w:iCs/>
          <w:noProof/>
          <w:szCs w:val="24"/>
        </w:rPr>
        <w:t>Animal Behaviour</w:t>
      </w:r>
      <w:r w:rsidRPr="004D653A">
        <w:rPr>
          <w:rFonts w:ascii="Calibri" w:hAnsi="Calibri" w:cs="Calibri"/>
          <w:noProof/>
          <w:szCs w:val="24"/>
        </w:rPr>
        <w:t xml:space="preserve">, </w:t>
      </w:r>
      <w:r w:rsidRPr="004D653A">
        <w:rPr>
          <w:rFonts w:ascii="Calibri" w:hAnsi="Calibri" w:cs="Calibri"/>
          <w:i/>
          <w:iCs/>
          <w:noProof/>
          <w:szCs w:val="24"/>
        </w:rPr>
        <w:t>118</w:t>
      </w:r>
      <w:r w:rsidRPr="004D653A">
        <w:rPr>
          <w:rFonts w:ascii="Calibri" w:hAnsi="Calibri" w:cs="Calibri"/>
          <w:noProof/>
          <w:szCs w:val="24"/>
        </w:rPr>
        <w:t>, 11–18. http://doi.org/10.1016/j.anbehav.2016.04.025</w:t>
      </w:r>
    </w:p>
    <w:p w14:paraId="26BDCC65"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szCs w:val="24"/>
        </w:rPr>
      </w:pPr>
      <w:r w:rsidRPr="004D653A">
        <w:rPr>
          <w:rFonts w:ascii="Calibri" w:hAnsi="Calibri" w:cs="Calibri"/>
          <w:noProof/>
          <w:szCs w:val="24"/>
        </w:rPr>
        <w:t xml:space="preserve">Wickham, H. (2009). </w:t>
      </w:r>
      <w:r w:rsidRPr="004D653A">
        <w:rPr>
          <w:rFonts w:ascii="Calibri" w:hAnsi="Calibri" w:cs="Calibri"/>
          <w:i/>
          <w:iCs/>
          <w:noProof/>
          <w:szCs w:val="24"/>
        </w:rPr>
        <w:t>ggplot2: Elegant Graphics for Data Analysis.</w:t>
      </w:r>
      <w:r w:rsidRPr="004D653A">
        <w:rPr>
          <w:rFonts w:ascii="Calibri" w:hAnsi="Calibri" w:cs="Calibri"/>
          <w:noProof/>
          <w:szCs w:val="24"/>
        </w:rPr>
        <w:t xml:space="preserve"> New York: Springer-Verlag. Retrieved from http://ggplot2.org</w:t>
      </w:r>
    </w:p>
    <w:p w14:paraId="5A56FA09" w14:textId="77777777" w:rsidR="004D653A" w:rsidRPr="004D653A" w:rsidRDefault="004D653A" w:rsidP="004D653A">
      <w:pPr>
        <w:widowControl w:val="0"/>
        <w:autoSpaceDE w:val="0"/>
        <w:autoSpaceDN w:val="0"/>
        <w:adjustRightInd w:val="0"/>
        <w:spacing w:after="0" w:line="480" w:lineRule="auto"/>
        <w:ind w:left="480" w:hanging="480"/>
        <w:rPr>
          <w:rFonts w:ascii="Calibri" w:hAnsi="Calibri" w:cs="Calibri"/>
          <w:noProof/>
        </w:rPr>
      </w:pPr>
      <w:r w:rsidRPr="004D653A">
        <w:rPr>
          <w:rFonts w:ascii="Calibri" w:hAnsi="Calibri" w:cs="Calibri"/>
          <w:noProof/>
          <w:szCs w:val="24"/>
        </w:rPr>
        <w:t xml:space="preserve">Ylönen, H., &amp; Brown, J. S. (2007). Fear and the foraging, breeding and sociality of rodents. In J. O. Wolff &amp; P. W. Sherman (Eds.), </w:t>
      </w:r>
      <w:r w:rsidRPr="004D653A">
        <w:rPr>
          <w:rFonts w:ascii="Calibri" w:hAnsi="Calibri" w:cs="Calibri"/>
          <w:i/>
          <w:iCs/>
          <w:noProof/>
          <w:szCs w:val="24"/>
        </w:rPr>
        <w:t>Rodent societies: An ecological &amp; evolutionary perspective</w:t>
      </w:r>
      <w:r w:rsidRPr="004D653A">
        <w:rPr>
          <w:rFonts w:ascii="Calibri" w:hAnsi="Calibri" w:cs="Calibri"/>
          <w:noProof/>
          <w:szCs w:val="24"/>
        </w:rPr>
        <w:t xml:space="preserve"> (pp. 328–341). </w:t>
      </w:r>
      <w:r w:rsidRPr="004D653A">
        <w:rPr>
          <w:rFonts w:ascii="Calibri" w:hAnsi="Calibri" w:cs="Calibri"/>
          <w:noProof/>
          <w:szCs w:val="24"/>
        </w:rPr>
        <w:lastRenderedPageBreak/>
        <w:t>Chicago: The university of Chicago Press.</w:t>
      </w:r>
    </w:p>
    <w:p w14:paraId="1845E2FC" w14:textId="302CD107" w:rsidR="00F613F3" w:rsidRPr="00F613F3" w:rsidRDefault="00DC31D5" w:rsidP="007966AB">
      <w:pPr>
        <w:pStyle w:val="Heading2"/>
      </w:pPr>
      <w:r>
        <w:fldChar w:fldCharType="end"/>
      </w:r>
    </w:p>
    <w:p w14:paraId="1A7F4707" w14:textId="4B2BA7F1" w:rsidR="001E2AF5" w:rsidRDefault="001E2AF5" w:rsidP="001E2AF5">
      <w:pPr>
        <w:pStyle w:val="Heading2"/>
        <w:rPr>
          <w:color w:val="auto"/>
          <w:sz w:val="22"/>
        </w:rPr>
      </w:pPr>
      <w:r w:rsidRPr="001E2AF5">
        <w:rPr>
          <w:color w:val="auto"/>
          <w:sz w:val="22"/>
        </w:rPr>
        <w:t>Tables</w:t>
      </w:r>
    </w:p>
    <w:p w14:paraId="52892614" w14:textId="77777777" w:rsidR="001E2AF5" w:rsidRDefault="001E2AF5" w:rsidP="001E2AF5"/>
    <w:p w14:paraId="592D475D" w14:textId="242A6685" w:rsidR="001E2AF5" w:rsidRPr="00A677A8" w:rsidRDefault="001E2AF5" w:rsidP="001E2AF5">
      <w:pPr>
        <w:pStyle w:val="NoSpacing"/>
        <w:spacing w:line="480" w:lineRule="auto"/>
      </w:pPr>
      <w:r w:rsidRPr="00A677A8">
        <w:t xml:space="preserve">Table </w:t>
      </w:r>
      <w:r w:rsidR="00697371">
        <w:rPr>
          <w:noProof/>
        </w:rPr>
        <w:fldChar w:fldCharType="begin"/>
      </w:r>
      <w:r w:rsidR="00697371">
        <w:rPr>
          <w:noProof/>
        </w:rPr>
        <w:instrText xml:space="preserve"> SEQ Table \* ARABIC </w:instrText>
      </w:r>
      <w:r w:rsidR="00697371">
        <w:rPr>
          <w:noProof/>
        </w:rPr>
        <w:fldChar w:fldCharType="separate"/>
      </w:r>
      <w:r w:rsidRPr="00A677A8">
        <w:rPr>
          <w:noProof/>
        </w:rPr>
        <w:t>1</w:t>
      </w:r>
      <w:r w:rsidR="00697371">
        <w:rPr>
          <w:noProof/>
        </w:rPr>
        <w:fldChar w:fldCharType="end"/>
      </w:r>
      <w:r w:rsidRPr="00A677A8">
        <w:t>. Hypotheses and predictions on vigilance behaviour and alarm communication in the Barbary ground squirrel.</w:t>
      </w:r>
      <w:r w:rsidRPr="00A677A8">
        <w:tab/>
      </w:r>
      <w:r w:rsidR="005A6270">
        <w:t xml:space="preserve"> </w:t>
      </w:r>
      <w:r w:rsidR="005A6270" w:rsidRPr="00A677A8">
        <w:t>Cited studies refer to the origin of the predictions</w:t>
      </w:r>
      <w:r w:rsidR="005A6270">
        <w:t>.</w:t>
      </w:r>
    </w:p>
    <w:tbl>
      <w:tblPr>
        <w:tblStyle w:val="PlainTable2"/>
        <w:tblW w:w="8789" w:type="dxa"/>
        <w:tblLook w:val="06A0" w:firstRow="1" w:lastRow="0" w:firstColumn="1" w:lastColumn="0" w:noHBand="1" w:noVBand="1"/>
      </w:tblPr>
      <w:tblGrid>
        <w:gridCol w:w="1843"/>
        <w:gridCol w:w="4961"/>
        <w:gridCol w:w="1985"/>
      </w:tblGrid>
      <w:tr w:rsidR="001E2AF5" w:rsidRPr="00276ABE" w14:paraId="6844A384" w14:textId="77777777" w:rsidTr="00B63FAC">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843" w:type="dxa"/>
            <w:noWrap/>
            <w:hideMark/>
          </w:tcPr>
          <w:p w14:paraId="39178F01" w14:textId="77777777" w:rsidR="001E2AF5" w:rsidRPr="00276ABE" w:rsidRDefault="001E2AF5" w:rsidP="00B63FAC">
            <w:pPr>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Hypothesis</w:t>
            </w:r>
          </w:p>
        </w:tc>
        <w:tc>
          <w:tcPr>
            <w:tcW w:w="4961" w:type="dxa"/>
            <w:noWrap/>
            <w:hideMark/>
          </w:tcPr>
          <w:p w14:paraId="57D5F97F" w14:textId="77777777" w:rsidR="001E2AF5" w:rsidRPr="00276ABE" w:rsidRDefault="001E2AF5" w:rsidP="00B63FAC">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Prediction</w:t>
            </w:r>
          </w:p>
        </w:tc>
        <w:tc>
          <w:tcPr>
            <w:tcW w:w="1985" w:type="dxa"/>
            <w:hideMark/>
          </w:tcPr>
          <w:p w14:paraId="46D158B3" w14:textId="77777777" w:rsidR="001E2AF5" w:rsidRPr="00276ABE" w:rsidRDefault="001E2AF5" w:rsidP="00B63FAC">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References</w:t>
            </w:r>
          </w:p>
        </w:tc>
      </w:tr>
      <w:tr w:rsidR="001E2AF5" w:rsidRPr="00276ABE" w14:paraId="78207325" w14:textId="77777777" w:rsidTr="00B63FAC">
        <w:trPr>
          <w:gridAfter w:val="1"/>
          <w:wAfter w:w="1985" w:type="dxa"/>
          <w:trHeight w:val="300"/>
        </w:trPr>
        <w:tc>
          <w:tcPr>
            <w:cnfStyle w:val="001000000000" w:firstRow="0" w:lastRow="0" w:firstColumn="1" w:lastColumn="0" w:oddVBand="0" w:evenVBand="0" w:oddHBand="0" w:evenHBand="0" w:firstRowFirstColumn="0" w:firstRowLastColumn="0" w:lastRowFirstColumn="0" w:lastRowLastColumn="0"/>
            <w:tcW w:w="6804" w:type="dxa"/>
            <w:gridSpan w:val="2"/>
            <w:noWrap/>
            <w:hideMark/>
          </w:tcPr>
          <w:p w14:paraId="2C41ECA6" w14:textId="77777777" w:rsidR="001E2AF5" w:rsidRPr="00276ABE" w:rsidRDefault="001E2AF5" w:rsidP="00B63FAC">
            <w:pPr>
              <w:rPr>
                <w:rFonts w:ascii="Calibri" w:eastAsia="Times New Roman" w:hAnsi="Calibri" w:cs="Calibri"/>
                <w:b w:val="0"/>
                <w:i/>
                <w:iCs/>
                <w:color w:val="000000"/>
                <w:sz w:val="20"/>
                <w:szCs w:val="20"/>
                <w:lang w:eastAsia="en-CA"/>
              </w:rPr>
            </w:pPr>
            <w:r>
              <w:rPr>
                <w:rFonts w:ascii="Calibri" w:eastAsia="Times New Roman" w:hAnsi="Calibri" w:cs="Calibri"/>
                <w:b w:val="0"/>
                <w:i/>
                <w:iCs/>
                <w:color w:val="000000"/>
                <w:sz w:val="20"/>
                <w:szCs w:val="20"/>
                <w:lang w:eastAsia="en-CA"/>
              </w:rPr>
              <w:t>Benefits of grouping</w:t>
            </w:r>
          </w:p>
        </w:tc>
      </w:tr>
      <w:tr w:rsidR="001E2AF5" w:rsidRPr="00276ABE" w14:paraId="64E8D2ED" w14:textId="77777777" w:rsidTr="00B63FAC">
        <w:trPr>
          <w:trHeight w:val="300"/>
        </w:trPr>
        <w:tc>
          <w:tcPr>
            <w:cnfStyle w:val="001000000000" w:firstRow="0" w:lastRow="0" w:firstColumn="1" w:lastColumn="0" w:oddVBand="0" w:evenVBand="0" w:oddHBand="0" w:evenHBand="0" w:firstRowFirstColumn="0" w:firstRowLastColumn="0" w:lastRowFirstColumn="0" w:lastRowLastColumn="0"/>
            <w:tcW w:w="1843" w:type="dxa"/>
            <w:noWrap/>
            <w:hideMark/>
          </w:tcPr>
          <w:p w14:paraId="0FEE404A" w14:textId="77777777" w:rsidR="001E2AF5" w:rsidRPr="00276ABE" w:rsidRDefault="001E2AF5" w:rsidP="00B63FAC">
            <w:pPr>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Dilution</w:t>
            </w:r>
          </w:p>
        </w:tc>
        <w:tc>
          <w:tcPr>
            <w:tcW w:w="4961" w:type="dxa"/>
            <w:noWrap/>
            <w:hideMark/>
          </w:tcPr>
          <w:p w14:paraId="42251573"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Individual vigilance decreases with larger groups</w:t>
            </w:r>
          </w:p>
        </w:tc>
        <w:tc>
          <w:tcPr>
            <w:tcW w:w="1985" w:type="dxa"/>
            <w:noWrap/>
            <w:hideMark/>
          </w:tcPr>
          <w:p w14:paraId="23B4A9F5"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noProof/>
                <w:color w:val="000000"/>
                <w:sz w:val="20"/>
                <w:szCs w:val="20"/>
                <w:lang w:eastAsia="en-CA"/>
              </w:rPr>
              <w:t>Bertram 1978</w:t>
            </w:r>
          </w:p>
        </w:tc>
      </w:tr>
      <w:tr w:rsidR="001E2AF5" w:rsidRPr="00276ABE" w14:paraId="13A6E23E" w14:textId="77777777" w:rsidTr="00B63FAC">
        <w:trPr>
          <w:trHeight w:val="300"/>
        </w:trPr>
        <w:tc>
          <w:tcPr>
            <w:cnfStyle w:val="001000000000" w:firstRow="0" w:lastRow="0" w:firstColumn="1" w:lastColumn="0" w:oddVBand="0" w:evenVBand="0" w:oddHBand="0" w:evenHBand="0" w:firstRowFirstColumn="0" w:firstRowLastColumn="0" w:lastRowFirstColumn="0" w:lastRowLastColumn="0"/>
            <w:tcW w:w="1843" w:type="dxa"/>
            <w:vMerge w:val="restart"/>
            <w:noWrap/>
            <w:vAlign w:val="bottom"/>
            <w:hideMark/>
          </w:tcPr>
          <w:p w14:paraId="52F0AD68" w14:textId="77777777" w:rsidR="001E2AF5" w:rsidRPr="00276ABE" w:rsidRDefault="001E2AF5" w:rsidP="00B63FAC">
            <w:pPr>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Collective detection</w:t>
            </w:r>
          </w:p>
        </w:tc>
        <w:tc>
          <w:tcPr>
            <w:tcW w:w="4961" w:type="dxa"/>
            <w:noWrap/>
            <w:hideMark/>
          </w:tcPr>
          <w:p w14:paraId="76394A6A"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Individual vigilance decreases with larger groups</w:t>
            </w:r>
          </w:p>
        </w:tc>
        <w:tc>
          <w:tcPr>
            <w:tcW w:w="1985" w:type="dxa"/>
            <w:noWrap/>
            <w:hideMark/>
          </w:tcPr>
          <w:p w14:paraId="0EE8CA55"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noProof/>
                <w:color w:val="000000"/>
                <w:sz w:val="20"/>
                <w:szCs w:val="20"/>
                <w:lang w:eastAsia="en-CA"/>
              </w:rPr>
              <w:t>Pulliam 1973</w:t>
            </w:r>
          </w:p>
        </w:tc>
      </w:tr>
      <w:tr w:rsidR="001E2AF5" w:rsidRPr="00276ABE" w14:paraId="483B0238" w14:textId="77777777" w:rsidTr="00B63FAC">
        <w:trPr>
          <w:trHeight w:val="30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04422351" w14:textId="77777777" w:rsidR="001E2AF5" w:rsidRPr="00276ABE" w:rsidRDefault="001E2AF5" w:rsidP="00B63FAC">
            <w:pPr>
              <w:rPr>
                <w:rFonts w:ascii="Calibri" w:eastAsia="Times New Roman" w:hAnsi="Calibri" w:cs="Calibri"/>
                <w:color w:val="000000"/>
                <w:sz w:val="20"/>
                <w:szCs w:val="20"/>
                <w:lang w:eastAsia="en-CA"/>
              </w:rPr>
            </w:pPr>
          </w:p>
        </w:tc>
        <w:tc>
          <w:tcPr>
            <w:tcW w:w="4961" w:type="dxa"/>
            <w:noWrap/>
            <w:hideMark/>
          </w:tcPr>
          <w:p w14:paraId="78519624"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Overall vigilance increases with larger groups</w:t>
            </w:r>
          </w:p>
        </w:tc>
        <w:tc>
          <w:tcPr>
            <w:tcW w:w="1985" w:type="dxa"/>
            <w:noWrap/>
            <w:hideMark/>
          </w:tcPr>
          <w:p w14:paraId="6CF9DA5D"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Pulliam 1973</w:t>
            </w:r>
          </w:p>
        </w:tc>
      </w:tr>
      <w:tr w:rsidR="001E2AF5" w:rsidRPr="00276ABE" w14:paraId="624F74FF" w14:textId="77777777" w:rsidTr="00B63FAC">
        <w:trPr>
          <w:trHeight w:val="300"/>
        </w:trPr>
        <w:tc>
          <w:tcPr>
            <w:cnfStyle w:val="001000000000" w:firstRow="0" w:lastRow="0" w:firstColumn="1" w:lastColumn="0" w:oddVBand="0" w:evenVBand="0" w:oddHBand="0" w:evenHBand="0" w:firstRowFirstColumn="0" w:firstRowLastColumn="0" w:lastRowFirstColumn="0" w:lastRowLastColumn="0"/>
            <w:tcW w:w="1843" w:type="dxa"/>
            <w:noWrap/>
            <w:hideMark/>
          </w:tcPr>
          <w:p w14:paraId="1AD0EF7E" w14:textId="77777777" w:rsidR="001E2AF5" w:rsidRPr="00276ABE" w:rsidRDefault="001E2AF5" w:rsidP="00B63FAC">
            <w:pPr>
              <w:rPr>
                <w:rFonts w:ascii="Calibri" w:eastAsia="Times New Roman" w:hAnsi="Calibri" w:cs="Calibri"/>
                <w:color w:val="000000"/>
                <w:sz w:val="20"/>
                <w:szCs w:val="20"/>
                <w:lang w:eastAsia="en-CA"/>
              </w:rPr>
            </w:pPr>
          </w:p>
        </w:tc>
        <w:tc>
          <w:tcPr>
            <w:tcW w:w="4961" w:type="dxa"/>
            <w:noWrap/>
            <w:hideMark/>
          </w:tcPr>
          <w:p w14:paraId="5C8083BF"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Alarm communication to warn group members of danger</w:t>
            </w:r>
          </w:p>
        </w:tc>
        <w:tc>
          <w:tcPr>
            <w:tcW w:w="1985" w:type="dxa"/>
            <w:noWrap/>
            <w:hideMark/>
          </w:tcPr>
          <w:p w14:paraId="494B2176"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noProof/>
                <w:color w:val="000000"/>
                <w:sz w:val="20"/>
                <w:szCs w:val="20"/>
                <w:lang w:eastAsia="en-CA"/>
              </w:rPr>
              <w:t>Hamilton 1971</w:t>
            </w:r>
          </w:p>
        </w:tc>
      </w:tr>
      <w:tr w:rsidR="001E2AF5" w:rsidRPr="00276ABE" w14:paraId="77AFEB5E" w14:textId="77777777" w:rsidTr="00B63FAC">
        <w:trPr>
          <w:gridAfter w:val="1"/>
          <w:wAfter w:w="1985" w:type="dxa"/>
          <w:trHeight w:val="300"/>
        </w:trPr>
        <w:tc>
          <w:tcPr>
            <w:cnfStyle w:val="001000000000" w:firstRow="0" w:lastRow="0" w:firstColumn="1" w:lastColumn="0" w:oddVBand="0" w:evenVBand="0" w:oddHBand="0" w:evenHBand="0" w:firstRowFirstColumn="0" w:firstRowLastColumn="0" w:lastRowFirstColumn="0" w:lastRowLastColumn="0"/>
            <w:tcW w:w="6804" w:type="dxa"/>
            <w:gridSpan w:val="2"/>
            <w:noWrap/>
            <w:hideMark/>
          </w:tcPr>
          <w:p w14:paraId="1D483F45" w14:textId="77777777" w:rsidR="001E2AF5" w:rsidRPr="00276ABE" w:rsidRDefault="001E2AF5" w:rsidP="00B63FAC">
            <w:pPr>
              <w:rPr>
                <w:rFonts w:ascii="Calibri" w:eastAsia="Times New Roman" w:hAnsi="Calibri" w:cs="Calibri"/>
                <w:b w:val="0"/>
                <w:i/>
                <w:iCs/>
                <w:color w:val="000000"/>
                <w:sz w:val="20"/>
                <w:szCs w:val="20"/>
                <w:lang w:eastAsia="en-CA"/>
              </w:rPr>
            </w:pPr>
            <w:r>
              <w:rPr>
                <w:rFonts w:ascii="Calibri" w:eastAsia="Times New Roman" w:hAnsi="Calibri" w:cs="Calibri"/>
                <w:b w:val="0"/>
                <w:i/>
                <w:iCs/>
                <w:color w:val="000000"/>
                <w:sz w:val="20"/>
                <w:szCs w:val="20"/>
                <w:lang w:eastAsia="en-CA"/>
              </w:rPr>
              <w:t>Alarm communication</w:t>
            </w:r>
          </w:p>
        </w:tc>
      </w:tr>
      <w:tr w:rsidR="001E2AF5" w:rsidRPr="00276ABE" w14:paraId="4C762E5E" w14:textId="77777777" w:rsidTr="00B63FAC">
        <w:trPr>
          <w:trHeight w:val="300"/>
        </w:trPr>
        <w:tc>
          <w:tcPr>
            <w:cnfStyle w:val="001000000000" w:firstRow="0" w:lastRow="0" w:firstColumn="1" w:lastColumn="0" w:oddVBand="0" w:evenVBand="0" w:oddHBand="0" w:evenHBand="0" w:firstRowFirstColumn="0" w:firstRowLastColumn="0" w:lastRowFirstColumn="0" w:lastRowLastColumn="0"/>
            <w:tcW w:w="1843" w:type="dxa"/>
            <w:vMerge w:val="restart"/>
            <w:vAlign w:val="center"/>
            <w:hideMark/>
          </w:tcPr>
          <w:p w14:paraId="32E562EB" w14:textId="77777777" w:rsidR="001E2AF5" w:rsidRPr="00276ABE" w:rsidRDefault="001E2AF5" w:rsidP="00B63FAC">
            <w:pPr>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Information on predator threats is conveyed in alarm calls</w:t>
            </w:r>
          </w:p>
        </w:tc>
        <w:tc>
          <w:tcPr>
            <w:tcW w:w="4961" w:type="dxa"/>
            <w:noWrap/>
            <w:hideMark/>
          </w:tcPr>
          <w:p w14:paraId="2510AF42"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Duration of alarm calls will be longer</w:t>
            </w:r>
            <w:r>
              <w:rPr>
                <w:rFonts w:ascii="Calibri" w:eastAsia="Times New Roman" w:hAnsi="Calibri" w:cs="Calibri"/>
                <w:color w:val="000000"/>
                <w:sz w:val="20"/>
                <w:szCs w:val="20"/>
                <w:lang w:eastAsia="en-CA"/>
              </w:rPr>
              <w:t xml:space="preserve"> in presence of a predator</w:t>
            </w:r>
          </w:p>
        </w:tc>
        <w:tc>
          <w:tcPr>
            <w:tcW w:w="1985" w:type="dxa"/>
            <w:noWrap/>
            <w:hideMark/>
          </w:tcPr>
          <w:p w14:paraId="0C20414F"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noProof/>
                <w:color w:val="000000"/>
                <w:sz w:val="20"/>
                <w:szCs w:val="20"/>
                <w:lang w:eastAsia="en-CA"/>
              </w:rPr>
              <w:t>Warkentin et al. 2001, Blumstein 2007</w:t>
            </w:r>
          </w:p>
        </w:tc>
      </w:tr>
      <w:tr w:rsidR="001E2AF5" w:rsidRPr="00276ABE" w14:paraId="470108BB" w14:textId="77777777" w:rsidTr="00B63FAC">
        <w:trPr>
          <w:trHeight w:val="30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6CDDAE9A" w14:textId="77777777" w:rsidR="001E2AF5" w:rsidRPr="00276ABE" w:rsidRDefault="001E2AF5" w:rsidP="00B63FAC">
            <w:pPr>
              <w:rPr>
                <w:rFonts w:ascii="Calibri" w:eastAsia="Times New Roman" w:hAnsi="Calibri" w:cs="Calibri"/>
                <w:color w:val="000000"/>
                <w:sz w:val="20"/>
                <w:szCs w:val="20"/>
                <w:lang w:eastAsia="en-CA"/>
              </w:rPr>
            </w:pPr>
          </w:p>
        </w:tc>
        <w:tc>
          <w:tcPr>
            <w:tcW w:w="4961" w:type="dxa"/>
            <w:noWrap/>
            <w:hideMark/>
          </w:tcPr>
          <w:p w14:paraId="0F803DB6"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Proportion of callers will be higher</w:t>
            </w:r>
            <w:r>
              <w:rPr>
                <w:rFonts w:ascii="Calibri" w:eastAsia="Times New Roman" w:hAnsi="Calibri" w:cs="Calibri"/>
                <w:color w:val="000000"/>
                <w:sz w:val="20"/>
                <w:szCs w:val="20"/>
                <w:lang w:eastAsia="en-CA"/>
              </w:rPr>
              <w:t xml:space="preserve"> in presence of a predator</w:t>
            </w:r>
          </w:p>
        </w:tc>
        <w:tc>
          <w:tcPr>
            <w:tcW w:w="1985" w:type="dxa"/>
            <w:noWrap/>
            <w:hideMark/>
          </w:tcPr>
          <w:p w14:paraId="45CC3B05" w14:textId="77777777" w:rsidR="001E2AF5" w:rsidRPr="00276ABE" w:rsidRDefault="001E2AF5" w:rsidP="00B63F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n-CA"/>
              </w:rPr>
            </w:pPr>
            <w:r w:rsidRPr="00276ABE">
              <w:rPr>
                <w:rFonts w:ascii="Calibri" w:eastAsia="Times New Roman" w:hAnsi="Calibri" w:cs="Calibri"/>
                <w:color w:val="000000"/>
                <w:sz w:val="20"/>
                <w:szCs w:val="20"/>
                <w:lang w:eastAsia="en-CA"/>
              </w:rPr>
              <w:t>Blumstein et al. 2004, Sloan and Hare 2008</w:t>
            </w:r>
          </w:p>
        </w:tc>
      </w:tr>
    </w:tbl>
    <w:p w14:paraId="2E429B72" w14:textId="77777777" w:rsidR="001E2AF5" w:rsidRDefault="001E2AF5" w:rsidP="001E2AF5"/>
    <w:p w14:paraId="4C5220CE" w14:textId="77777777" w:rsidR="001E2AF5" w:rsidRDefault="001E2AF5" w:rsidP="001E2AF5"/>
    <w:p w14:paraId="05C1681D" w14:textId="3E739650" w:rsidR="001E2AF5" w:rsidRPr="00A677A8" w:rsidRDefault="001E2AF5" w:rsidP="001E2AF5">
      <w:pPr>
        <w:pStyle w:val="NoSpacing"/>
        <w:spacing w:line="480" w:lineRule="auto"/>
        <w:rPr>
          <w:rFonts w:eastAsia="Times New Roman" w:cs="Times New Roman"/>
          <w:szCs w:val="20"/>
        </w:rPr>
      </w:pPr>
      <w:r w:rsidRPr="00A677A8">
        <w:rPr>
          <w:szCs w:val="20"/>
        </w:rPr>
        <w:t>Table 2. Quantile regression mixed model (LQMM) results for the quantiles (</w:t>
      </w:r>
      <w:r w:rsidRPr="00A677A8">
        <w:rPr>
          <w:rFonts w:ascii="Calibri" w:eastAsia="Times New Roman" w:hAnsi="Calibri" w:cs="Calibri"/>
          <w:color w:val="000000"/>
          <w:szCs w:val="20"/>
          <w:lang w:eastAsia="en-CA"/>
        </w:rPr>
        <w:t>τ</w:t>
      </w:r>
      <w:r w:rsidRPr="00A677A8">
        <w:rPr>
          <w:szCs w:val="20"/>
        </w:rPr>
        <w:t>) of 0.2, 0.5, and 0.8 of individual time spent in low- and high-quality vigilance, and collective time spent in low- and high-quality vigilance for Barbary ground squirrels. The intercept, slope</w:t>
      </w:r>
      <w:r w:rsidR="005A6270">
        <w:rPr>
          <w:szCs w:val="20"/>
        </w:rPr>
        <w:t>,</w:t>
      </w:r>
      <w:r w:rsidRPr="00A677A8">
        <w:rPr>
          <w:szCs w:val="20"/>
        </w:rPr>
        <w:t xml:space="preserve"> and intraclass correlation coefficient (ICC) values are presented for the model with the lowest AIC values. The numbers in bold have a P &lt; 0.05. </w:t>
      </w:r>
    </w:p>
    <w:tbl>
      <w:tblPr>
        <w:tblW w:w="9234" w:type="dxa"/>
        <w:tblLook w:val="04A0" w:firstRow="1" w:lastRow="0" w:firstColumn="1" w:lastColumn="0" w:noHBand="0" w:noVBand="1"/>
      </w:tblPr>
      <w:tblGrid>
        <w:gridCol w:w="1843"/>
        <w:gridCol w:w="1047"/>
        <w:gridCol w:w="672"/>
        <w:gridCol w:w="775"/>
        <w:gridCol w:w="943"/>
        <w:gridCol w:w="672"/>
        <w:gridCol w:w="775"/>
        <w:gridCol w:w="1060"/>
        <w:gridCol w:w="672"/>
        <w:gridCol w:w="775"/>
      </w:tblGrid>
      <w:tr w:rsidR="001E2AF5" w:rsidRPr="00966011" w14:paraId="2359EFE5" w14:textId="77777777" w:rsidTr="00B63FAC">
        <w:trPr>
          <w:trHeight w:val="300"/>
        </w:trPr>
        <w:tc>
          <w:tcPr>
            <w:tcW w:w="1843" w:type="dxa"/>
            <w:tcBorders>
              <w:top w:val="single" w:sz="4" w:space="0" w:color="auto"/>
              <w:left w:val="nil"/>
              <w:bottom w:val="nil"/>
              <w:right w:val="nil"/>
            </w:tcBorders>
            <w:shd w:val="clear" w:color="auto" w:fill="auto"/>
            <w:noWrap/>
            <w:vAlign w:val="center"/>
            <w:hideMark/>
          </w:tcPr>
          <w:p w14:paraId="67C3DBE0"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2494" w:type="dxa"/>
            <w:gridSpan w:val="3"/>
            <w:tcBorders>
              <w:top w:val="single" w:sz="4" w:space="0" w:color="auto"/>
              <w:left w:val="single" w:sz="4" w:space="0" w:color="auto"/>
              <w:bottom w:val="nil"/>
              <w:right w:val="single" w:sz="4" w:space="0" w:color="auto"/>
            </w:tcBorders>
            <w:shd w:val="clear" w:color="auto" w:fill="auto"/>
            <w:noWrap/>
            <w:vAlign w:val="bottom"/>
            <w:hideMark/>
          </w:tcPr>
          <w:p w14:paraId="5FD71B2E" w14:textId="77777777" w:rsidR="001E2AF5" w:rsidRPr="00966011" w:rsidRDefault="001E2AF5" w:rsidP="00B63FAC">
            <w:pPr>
              <w:spacing w:after="0" w:line="240" w:lineRule="auto"/>
              <w:jc w:val="center"/>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τ = 0.2</w:t>
            </w:r>
          </w:p>
        </w:tc>
        <w:tc>
          <w:tcPr>
            <w:tcW w:w="2390" w:type="dxa"/>
            <w:gridSpan w:val="3"/>
            <w:tcBorders>
              <w:top w:val="single" w:sz="4" w:space="0" w:color="auto"/>
              <w:left w:val="nil"/>
              <w:bottom w:val="nil"/>
              <w:right w:val="nil"/>
            </w:tcBorders>
            <w:shd w:val="clear" w:color="auto" w:fill="auto"/>
            <w:noWrap/>
            <w:vAlign w:val="bottom"/>
            <w:hideMark/>
          </w:tcPr>
          <w:p w14:paraId="5A3AA8BF" w14:textId="77777777" w:rsidR="001E2AF5" w:rsidRPr="00966011" w:rsidRDefault="001E2AF5" w:rsidP="00B63FAC">
            <w:pPr>
              <w:spacing w:after="0" w:line="240" w:lineRule="auto"/>
              <w:jc w:val="center"/>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τ = 0.5 (median)</w:t>
            </w:r>
          </w:p>
        </w:tc>
        <w:tc>
          <w:tcPr>
            <w:tcW w:w="2507" w:type="dxa"/>
            <w:gridSpan w:val="3"/>
            <w:tcBorders>
              <w:top w:val="single" w:sz="4" w:space="0" w:color="auto"/>
              <w:left w:val="single" w:sz="4" w:space="0" w:color="auto"/>
              <w:bottom w:val="nil"/>
              <w:right w:val="nil"/>
            </w:tcBorders>
            <w:shd w:val="clear" w:color="auto" w:fill="auto"/>
            <w:noWrap/>
            <w:vAlign w:val="bottom"/>
            <w:hideMark/>
          </w:tcPr>
          <w:p w14:paraId="17689CF4" w14:textId="77777777" w:rsidR="001E2AF5" w:rsidRPr="00966011" w:rsidRDefault="001E2AF5" w:rsidP="00B63FAC">
            <w:pPr>
              <w:spacing w:after="0" w:line="240" w:lineRule="auto"/>
              <w:jc w:val="center"/>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τ = 0.8</w:t>
            </w:r>
          </w:p>
        </w:tc>
      </w:tr>
      <w:tr w:rsidR="001E2AF5" w:rsidRPr="00966011" w14:paraId="4855A6DF" w14:textId="77777777" w:rsidTr="00B63FAC">
        <w:trPr>
          <w:trHeight w:val="300"/>
        </w:trPr>
        <w:tc>
          <w:tcPr>
            <w:tcW w:w="1843" w:type="dxa"/>
            <w:tcBorders>
              <w:top w:val="nil"/>
              <w:left w:val="nil"/>
              <w:bottom w:val="single" w:sz="4" w:space="0" w:color="auto"/>
              <w:right w:val="nil"/>
            </w:tcBorders>
            <w:shd w:val="clear" w:color="auto" w:fill="auto"/>
            <w:noWrap/>
            <w:vAlign w:val="bottom"/>
            <w:hideMark/>
          </w:tcPr>
          <w:p w14:paraId="4C54E0F5"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1047" w:type="dxa"/>
            <w:tcBorders>
              <w:top w:val="nil"/>
              <w:left w:val="single" w:sz="4" w:space="0" w:color="auto"/>
              <w:bottom w:val="single" w:sz="4" w:space="0" w:color="auto"/>
              <w:right w:val="nil"/>
            </w:tcBorders>
            <w:shd w:val="clear" w:color="auto" w:fill="auto"/>
            <w:noWrap/>
            <w:vAlign w:val="bottom"/>
            <w:hideMark/>
          </w:tcPr>
          <w:p w14:paraId="6F46FCC1"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Pr>
                <w:rFonts w:ascii="Calibri" w:eastAsia="Times New Roman" w:hAnsi="Calibri" w:cs="Calibri"/>
                <w:color w:val="000000"/>
                <w:sz w:val="20"/>
                <w:szCs w:val="20"/>
                <w:lang w:eastAsia="en-CA"/>
              </w:rPr>
              <w:t>E</w:t>
            </w:r>
            <w:r w:rsidRPr="00966011">
              <w:rPr>
                <w:rFonts w:ascii="Calibri" w:eastAsia="Times New Roman" w:hAnsi="Calibri" w:cs="Calibri"/>
                <w:color w:val="000000"/>
                <w:sz w:val="20"/>
                <w:szCs w:val="20"/>
                <w:lang w:eastAsia="en-CA"/>
              </w:rPr>
              <w:t>stimate</w:t>
            </w:r>
          </w:p>
        </w:tc>
        <w:tc>
          <w:tcPr>
            <w:tcW w:w="672" w:type="dxa"/>
            <w:tcBorders>
              <w:top w:val="nil"/>
              <w:left w:val="nil"/>
              <w:bottom w:val="single" w:sz="4" w:space="0" w:color="auto"/>
              <w:right w:val="nil"/>
            </w:tcBorders>
            <w:shd w:val="clear" w:color="auto" w:fill="auto"/>
            <w:noWrap/>
            <w:vAlign w:val="bottom"/>
            <w:hideMark/>
          </w:tcPr>
          <w:p w14:paraId="115B6B95"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Pr>
                <w:rFonts w:ascii="Calibri" w:eastAsia="Times New Roman" w:hAnsi="Calibri" w:cs="Calibri"/>
                <w:color w:val="000000"/>
                <w:sz w:val="20"/>
                <w:szCs w:val="20"/>
                <w:lang w:eastAsia="en-CA"/>
              </w:rPr>
              <w:t>SE</w:t>
            </w:r>
          </w:p>
        </w:tc>
        <w:tc>
          <w:tcPr>
            <w:tcW w:w="775" w:type="dxa"/>
            <w:tcBorders>
              <w:top w:val="nil"/>
              <w:left w:val="nil"/>
              <w:bottom w:val="single" w:sz="4" w:space="0" w:color="auto"/>
              <w:right w:val="single" w:sz="4" w:space="0" w:color="auto"/>
            </w:tcBorders>
            <w:shd w:val="clear" w:color="auto" w:fill="auto"/>
            <w:noWrap/>
            <w:vAlign w:val="bottom"/>
            <w:hideMark/>
          </w:tcPr>
          <w:p w14:paraId="7B3AE328" w14:textId="77777777" w:rsidR="001E2AF5" w:rsidRPr="007261C5" w:rsidRDefault="001E2AF5" w:rsidP="00B63FAC">
            <w:pPr>
              <w:spacing w:after="0" w:line="240" w:lineRule="auto"/>
              <w:rPr>
                <w:rFonts w:ascii="Calibri" w:eastAsia="Times New Roman" w:hAnsi="Calibri" w:cs="Calibri"/>
                <w:i/>
                <w:color w:val="000000"/>
                <w:sz w:val="20"/>
                <w:szCs w:val="20"/>
                <w:lang w:eastAsia="en-CA"/>
              </w:rPr>
            </w:pPr>
            <w:r w:rsidRPr="007261C5">
              <w:rPr>
                <w:rFonts w:ascii="Calibri" w:eastAsia="Times New Roman" w:hAnsi="Calibri" w:cs="Calibri"/>
                <w:i/>
                <w:color w:val="000000"/>
                <w:sz w:val="20"/>
                <w:szCs w:val="20"/>
                <w:lang w:eastAsia="en-CA"/>
              </w:rPr>
              <w:t>P</w:t>
            </w:r>
          </w:p>
        </w:tc>
        <w:tc>
          <w:tcPr>
            <w:tcW w:w="943" w:type="dxa"/>
            <w:tcBorders>
              <w:top w:val="nil"/>
              <w:left w:val="nil"/>
              <w:bottom w:val="single" w:sz="4" w:space="0" w:color="auto"/>
              <w:right w:val="nil"/>
            </w:tcBorders>
            <w:shd w:val="clear" w:color="auto" w:fill="auto"/>
            <w:noWrap/>
            <w:vAlign w:val="bottom"/>
            <w:hideMark/>
          </w:tcPr>
          <w:p w14:paraId="1D295FEF"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Pr>
                <w:rFonts w:ascii="Calibri" w:eastAsia="Times New Roman" w:hAnsi="Calibri" w:cs="Calibri"/>
                <w:color w:val="000000"/>
                <w:sz w:val="20"/>
                <w:szCs w:val="20"/>
                <w:lang w:eastAsia="en-CA"/>
              </w:rPr>
              <w:t>E</w:t>
            </w:r>
            <w:r w:rsidRPr="00966011">
              <w:rPr>
                <w:rFonts w:ascii="Calibri" w:eastAsia="Times New Roman" w:hAnsi="Calibri" w:cs="Calibri"/>
                <w:color w:val="000000"/>
                <w:sz w:val="20"/>
                <w:szCs w:val="20"/>
                <w:lang w:eastAsia="en-CA"/>
              </w:rPr>
              <w:t>stimate</w:t>
            </w:r>
          </w:p>
        </w:tc>
        <w:tc>
          <w:tcPr>
            <w:tcW w:w="672" w:type="dxa"/>
            <w:tcBorders>
              <w:top w:val="nil"/>
              <w:left w:val="nil"/>
              <w:bottom w:val="single" w:sz="4" w:space="0" w:color="auto"/>
              <w:right w:val="nil"/>
            </w:tcBorders>
            <w:shd w:val="clear" w:color="auto" w:fill="auto"/>
            <w:noWrap/>
            <w:vAlign w:val="bottom"/>
            <w:hideMark/>
          </w:tcPr>
          <w:p w14:paraId="5752049A"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Pr>
                <w:rFonts w:ascii="Calibri" w:eastAsia="Times New Roman" w:hAnsi="Calibri" w:cs="Calibri"/>
                <w:color w:val="000000"/>
                <w:sz w:val="20"/>
                <w:szCs w:val="20"/>
                <w:lang w:eastAsia="en-CA"/>
              </w:rPr>
              <w:t>SE</w:t>
            </w:r>
          </w:p>
        </w:tc>
        <w:tc>
          <w:tcPr>
            <w:tcW w:w="775" w:type="dxa"/>
            <w:tcBorders>
              <w:top w:val="nil"/>
              <w:left w:val="nil"/>
              <w:bottom w:val="single" w:sz="4" w:space="0" w:color="auto"/>
              <w:right w:val="nil"/>
            </w:tcBorders>
            <w:shd w:val="clear" w:color="auto" w:fill="auto"/>
            <w:noWrap/>
            <w:vAlign w:val="bottom"/>
            <w:hideMark/>
          </w:tcPr>
          <w:p w14:paraId="00876B4E"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7261C5">
              <w:rPr>
                <w:rFonts w:ascii="Calibri" w:eastAsia="Times New Roman" w:hAnsi="Calibri" w:cs="Calibri"/>
                <w:i/>
                <w:color w:val="000000"/>
                <w:sz w:val="20"/>
                <w:szCs w:val="20"/>
                <w:lang w:eastAsia="en-CA"/>
              </w:rPr>
              <w:t>P</w:t>
            </w:r>
          </w:p>
        </w:tc>
        <w:tc>
          <w:tcPr>
            <w:tcW w:w="1060" w:type="dxa"/>
            <w:tcBorders>
              <w:top w:val="nil"/>
              <w:left w:val="single" w:sz="4" w:space="0" w:color="auto"/>
              <w:bottom w:val="single" w:sz="4" w:space="0" w:color="auto"/>
              <w:right w:val="nil"/>
            </w:tcBorders>
            <w:shd w:val="clear" w:color="auto" w:fill="auto"/>
            <w:noWrap/>
            <w:vAlign w:val="bottom"/>
            <w:hideMark/>
          </w:tcPr>
          <w:p w14:paraId="662C3D44"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Pr>
                <w:rFonts w:ascii="Calibri" w:eastAsia="Times New Roman" w:hAnsi="Calibri" w:cs="Calibri"/>
                <w:color w:val="000000"/>
                <w:sz w:val="20"/>
                <w:szCs w:val="20"/>
                <w:lang w:eastAsia="en-CA"/>
              </w:rPr>
              <w:t>E</w:t>
            </w:r>
            <w:r w:rsidRPr="00966011">
              <w:rPr>
                <w:rFonts w:ascii="Calibri" w:eastAsia="Times New Roman" w:hAnsi="Calibri" w:cs="Calibri"/>
                <w:color w:val="000000"/>
                <w:sz w:val="20"/>
                <w:szCs w:val="20"/>
                <w:lang w:eastAsia="en-CA"/>
              </w:rPr>
              <w:t>stimate</w:t>
            </w:r>
          </w:p>
        </w:tc>
        <w:tc>
          <w:tcPr>
            <w:tcW w:w="672" w:type="dxa"/>
            <w:tcBorders>
              <w:top w:val="nil"/>
              <w:left w:val="nil"/>
              <w:bottom w:val="single" w:sz="4" w:space="0" w:color="auto"/>
              <w:right w:val="nil"/>
            </w:tcBorders>
            <w:shd w:val="clear" w:color="auto" w:fill="auto"/>
            <w:noWrap/>
            <w:vAlign w:val="bottom"/>
            <w:hideMark/>
          </w:tcPr>
          <w:p w14:paraId="4A3740CE"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Pr>
                <w:rFonts w:ascii="Calibri" w:eastAsia="Times New Roman" w:hAnsi="Calibri" w:cs="Calibri"/>
                <w:color w:val="000000"/>
                <w:sz w:val="20"/>
                <w:szCs w:val="20"/>
                <w:lang w:eastAsia="en-CA"/>
              </w:rPr>
              <w:t>SE</w:t>
            </w:r>
          </w:p>
        </w:tc>
        <w:tc>
          <w:tcPr>
            <w:tcW w:w="775" w:type="dxa"/>
            <w:tcBorders>
              <w:top w:val="nil"/>
              <w:left w:val="nil"/>
              <w:bottom w:val="single" w:sz="4" w:space="0" w:color="auto"/>
              <w:right w:val="nil"/>
            </w:tcBorders>
            <w:shd w:val="clear" w:color="auto" w:fill="auto"/>
            <w:noWrap/>
            <w:vAlign w:val="bottom"/>
            <w:hideMark/>
          </w:tcPr>
          <w:p w14:paraId="44BE01BE"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7261C5">
              <w:rPr>
                <w:rFonts w:ascii="Calibri" w:eastAsia="Times New Roman" w:hAnsi="Calibri" w:cs="Calibri"/>
                <w:i/>
                <w:color w:val="000000"/>
                <w:sz w:val="20"/>
                <w:szCs w:val="20"/>
                <w:lang w:eastAsia="en-CA"/>
              </w:rPr>
              <w:t>P</w:t>
            </w:r>
          </w:p>
        </w:tc>
      </w:tr>
      <w:tr w:rsidR="001E2AF5" w:rsidRPr="00966011" w14:paraId="32DC5E0F" w14:textId="77777777" w:rsidTr="00B63FAC">
        <w:trPr>
          <w:trHeight w:val="300"/>
        </w:trPr>
        <w:tc>
          <w:tcPr>
            <w:tcW w:w="2890" w:type="dxa"/>
            <w:gridSpan w:val="2"/>
            <w:tcBorders>
              <w:top w:val="single" w:sz="4" w:space="0" w:color="auto"/>
              <w:left w:val="nil"/>
              <w:bottom w:val="single" w:sz="4" w:space="0" w:color="auto"/>
              <w:right w:val="nil"/>
            </w:tcBorders>
            <w:shd w:val="clear" w:color="auto" w:fill="auto"/>
            <w:noWrap/>
            <w:vAlign w:val="bottom"/>
            <w:hideMark/>
          </w:tcPr>
          <w:p w14:paraId="18EF927B" w14:textId="77777777" w:rsidR="001E2AF5" w:rsidRPr="00966011" w:rsidRDefault="001E2AF5" w:rsidP="00B63FAC">
            <w:pPr>
              <w:spacing w:after="0" w:line="240" w:lineRule="auto"/>
              <w:rPr>
                <w:rFonts w:ascii="Calibri" w:eastAsia="Times New Roman" w:hAnsi="Calibri" w:cs="Calibri"/>
                <w:i/>
                <w:iCs/>
                <w:color w:val="000000"/>
                <w:sz w:val="20"/>
                <w:szCs w:val="20"/>
                <w:lang w:eastAsia="en-CA"/>
              </w:rPr>
            </w:pPr>
            <w:r w:rsidRPr="00966011">
              <w:rPr>
                <w:rFonts w:ascii="Calibri" w:eastAsia="Times New Roman" w:hAnsi="Calibri" w:cs="Calibri"/>
                <w:i/>
                <w:iCs/>
                <w:color w:val="000000"/>
                <w:sz w:val="20"/>
                <w:szCs w:val="20"/>
                <w:lang w:eastAsia="en-CA"/>
              </w:rPr>
              <w:t xml:space="preserve">Individual </w:t>
            </w:r>
            <w:r>
              <w:rPr>
                <w:rFonts w:ascii="Calibri" w:eastAsia="Times New Roman" w:hAnsi="Calibri" w:cs="Calibri"/>
                <w:i/>
                <w:iCs/>
                <w:color w:val="000000"/>
                <w:sz w:val="20"/>
                <w:szCs w:val="20"/>
                <w:lang w:eastAsia="en-CA"/>
              </w:rPr>
              <w:t>low-quality vigilance</w:t>
            </w:r>
          </w:p>
        </w:tc>
        <w:tc>
          <w:tcPr>
            <w:tcW w:w="672" w:type="dxa"/>
            <w:tcBorders>
              <w:top w:val="nil"/>
              <w:left w:val="nil"/>
              <w:bottom w:val="single" w:sz="4" w:space="0" w:color="auto"/>
              <w:right w:val="nil"/>
            </w:tcBorders>
            <w:shd w:val="clear" w:color="auto" w:fill="auto"/>
            <w:noWrap/>
            <w:vAlign w:val="bottom"/>
            <w:hideMark/>
          </w:tcPr>
          <w:p w14:paraId="39D32784"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nil"/>
              <w:left w:val="nil"/>
              <w:bottom w:val="single" w:sz="4" w:space="0" w:color="auto"/>
              <w:right w:val="nil"/>
            </w:tcBorders>
            <w:shd w:val="clear" w:color="auto" w:fill="auto"/>
            <w:noWrap/>
            <w:vAlign w:val="bottom"/>
            <w:hideMark/>
          </w:tcPr>
          <w:p w14:paraId="749FBA95"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single" w:sz="4" w:space="0" w:color="auto"/>
              <w:right w:val="nil"/>
            </w:tcBorders>
            <w:shd w:val="clear" w:color="auto" w:fill="auto"/>
            <w:noWrap/>
            <w:vAlign w:val="bottom"/>
            <w:hideMark/>
          </w:tcPr>
          <w:p w14:paraId="2EC5D8D8"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672" w:type="dxa"/>
            <w:tcBorders>
              <w:top w:val="nil"/>
              <w:left w:val="nil"/>
              <w:bottom w:val="single" w:sz="4" w:space="0" w:color="auto"/>
              <w:right w:val="nil"/>
            </w:tcBorders>
            <w:shd w:val="clear" w:color="auto" w:fill="auto"/>
            <w:noWrap/>
            <w:vAlign w:val="bottom"/>
            <w:hideMark/>
          </w:tcPr>
          <w:p w14:paraId="771CB3E7"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nil"/>
              <w:left w:val="nil"/>
              <w:bottom w:val="single" w:sz="4" w:space="0" w:color="auto"/>
              <w:right w:val="nil"/>
            </w:tcBorders>
            <w:shd w:val="clear" w:color="auto" w:fill="auto"/>
            <w:noWrap/>
            <w:vAlign w:val="bottom"/>
            <w:hideMark/>
          </w:tcPr>
          <w:p w14:paraId="232E922A"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1060" w:type="dxa"/>
            <w:tcBorders>
              <w:top w:val="nil"/>
              <w:left w:val="nil"/>
              <w:bottom w:val="single" w:sz="4" w:space="0" w:color="auto"/>
              <w:right w:val="nil"/>
            </w:tcBorders>
            <w:shd w:val="clear" w:color="auto" w:fill="auto"/>
            <w:noWrap/>
            <w:vAlign w:val="bottom"/>
            <w:hideMark/>
          </w:tcPr>
          <w:p w14:paraId="4CAA28CD"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672" w:type="dxa"/>
            <w:tcBorders>
              <w:top w:val="nil"/>
              <w:left w:val="nil"/>
              <w:bottom w:val="single" w:sz="4" w:space="0" w:color="auto"/>
              <w:right w:val="nil"/>
            </w:tcBorders>
            <w:shd w:val="clear" w:color="auto" w:fill="auto"/>
            <w:noWrap/>
            <w:vAlign w:val="bottom"/>
            <w:hideMark/>
          </w:tcPr>
          <w:p w14:paraId="36EC2E9E"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nil"/>
              <w:left w:val="nil"/>
              <w:bottom w:val="single" w:sz="4" w:space="0" w:color="auto"/>
              <w:right w:val="nil"/>
            </w:tcBorders>
            <w:shd w:val="clear" w:color="auto" w:fill="auto"/>
            <w:noWrap/>
            <w:vAlign w:val="bottom"/>
            <w:hideMark/>
          </w:tcPr>
          <w:p w14:paraId="1DC53DB0"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r>
      <w:tr w:rsidR="001E2AF5" w:rsidRPr="00966011" w14:paraId="52791934" w14:textId="77777777" w:rsidTr="00B63FAC">
        <w:trPr>
          <w:trHeight w:val="300"/>
        </w:trPr>
        <w:tc>
          <w:tcPr>
            <w:tcW w:w="1843" w:type="dxa"/>
            <w:tcBorders>
              <w:top w:val="nil"/>
              <w:left w:val="nil"/>
              <w:bottom w:val="nil"/>
              <w:right w:val="nil"/>
            </w:tcBorders>
            <w:shd w:val="clear" w:color="auto" w:fill="auto"/>
            <w:noWrap/>
            <w:vAlign w:val="bottom"/>
            <w:hideMark/>
          </w:tcPr>
          <w:p w14:paraId="4B11261D"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Intercept</w:t>
            </w:r>
          </w:p>
        </w:tc>
        <w:tc>
          <w:tcPr>
            <w:tcW w:w="1047" w:type="dxa"/>
            <w:tcBorders>
              <w:top w:val="nil"/>
              <w:left w:val="single" w:sz="4" w:space="0" w:color="auto"/>
              <w:bottom w:val="nil"/>
              <w:right w:val="nil"/>
            </w:tcBorders>
            <w:shd w:val="clear" w:color="auto" w:fill="auto"/>
            <w:noWrap/>
            <w:vAlign w:val="bottom"/>
            <w:hideMark/>
          </w:tcPr>
          <w:p w14:paraId="6BEFF701"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-0.001</w:t>
            </w:r>
          </w:p>
        </w:tc>
        <w:tc>
          <w:tcPr>
            <w:tcW w:w="672" w:type="dxa"/>
            <w:tcBorders>
              <w:top w:val="nil"/>
              <w:left w:val="nil"/>
              <w:right w:val="nil"/>
            </w:tcBorders>
            <w:shd w:val="clear" w:color="auto" w:fill="auto"/>
            <w:noWrap/>
            <w:vAlign w:val="bottom"/>
            <w:hideMark/>
          </w:tcPr>
          <w:p w14:paraId="6FE3E4B6"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0.005</w:t>
            </w:r>
          </w:p>
        </w:tc>
        <w:tc>
          <w:tcPr>
            <w:tcW w:w="775" w:type="dxa"/>
            <w:tcBorders>
              <w:top w:val="nil"/>
              <w:left w:val="nil"/>
              <w:bottom w:val="nil"/>
              <w:right w:val="single" w:sz="4" w:space="0" w:color="auto"/>
            </w:tcBorders>
            <w:shd w:val="clear" w:color="auto" w:fill="auto"/>
            <w:noWrap/>
            <w:vAlign w:val="bottom"/>
            <w:hideMark/>
          </w:tcPr>
          <w:p w14:paraId="14CA03FE"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0.87</w:t>
            </w:r>
          </w:p>
        </w:tc>
        <w:tc>
          <w:tcPr>
            <w:tcW w:w="943" w:type="dxa"/>
            <w:tcBorders>
              <w:top w:val="nil"/>
              <w:left w:val="nil"/>
              <w:bottom w:val="nil"/>
              <w:right w:val="nil"/>
            </w:tcBorders>
            <w:shd w:val="clear" w:color="auto" w:fill="auto"/>
            <w:noWrap/>
            <w:vAlign w:val="bottom"/>
            <w:hideMark/>
          </w:tcPr>
          <w:p w14:paraId="2507F414"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-0.001</w:t>
            </w:r>
          </w:p>
        </w:tc>
        <w:tc>
          <w:tcPr>
            <w:tcW w:w="672" w:type="dxa"/>
            <w:tcBorders>
              <w:top w:val="nil"/>
              <w:left w:val="nil"/>
              <w:bottom w:val="nil"/>
              <w:right w:val="nil"/>
            </w:tcBorders>
            <w:shd w:val="clear" w:color="auto" w:fill="auto"/>
            <w:noWrap/>
            <w:vAlign w:val="bottom"/>
            <w:hideMark/>
          </w:tcPr>
          <w:p w14:paraId="3D2B5DB6"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0.006</w:t>
            </w:r>
          </w:p>
        </w:tc>
        <w:tc>
          <w:tcPr>
            <w:tcW w:w="775" w:type="dxa"/>
            <w:tcBorders>
              <w:top w:val="nil"/>
              <w:left w:val="nil"/>
              <w:bottom w:val="nil"/>
              <w:right w:val="nil"/>
            </w:tcBorders>
            <w:shd w:val="clear" w:color="auto" w:fill="auto"/>
            <w:noWrap/>
            <w:vAlign w:val="bottom"/>
            <w:hideMark/>
          </w:tcPr>
          <w:p w14:paraId="43B6DCAB"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0.87</w:t>
            </w:r>
          </w:p>
        </w:tc>
        <w:tc>
          <w:tcPr>
            <w:tcW w:w="1060" w:type="dxa"/>
            <w:tcBorders>
              <w:top w:val="nil"/>
              <w:left w:val="single" w:sz="4" w:space="0" w:color="auto"/>
              <w:bottom w:val="nil"/>
              <w:right w:val="nil"/>
            </w:tcBorders>
            <w:shd w:val="clear" w:color="auto" w:fill="auto"/>
            <w:noWrap/>
            <w:vAlign w:val="bottom"/>
            <w:hideMark/>
          </w:tcPr>
          <w:p w14:paraId="593C65E2"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-0.001</w:t>
            </w:r>
          </w:p>
        </w:tc>
        <w:tc>
          <w:tcPr>
            <w:tcW w:w="672" w:type="dxa"/>
            <w:tcBorders>
              <w:top w:val="nil"/>
              <w:left w:val="nil"/>
              <w:bottom w:val="nil"/>
              <w:right w:val="nil"/>
            </w:tcBorders>
            <w:shd w:val="clear" w:color="auto" w:fill="auto"/>
            <w:noWrap/>
            <w:vAlign w:val="bottom"/>
            <w:hideMark/>
          </w:tcPr>
          <w:p w14:paraId="7D1D802A"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0.006</w:t>
            </w:r>
          </w:p>
        </w:tc>
        <w:tc>
          <w:tcPr>
            <w:tcW w:w="775" w:type="dxa"/>
            <w:tcBorders>
              <w:top w:val="nil"/>
              <w:left w:val="nil"/>
              <w:bottom w:val="nil"/>
              <w:right w:val="nil"/>
            </w:tcBorders>
            <w:shd w:val="clear" w:color="auto" w:fill="auto"/>
            <w:noWrap/>
            <w:vAlign w:val="bottom"/>
            <w:hideMark/>
          </w:tcPr>
          <w:p w14:paraId="6FCACF21"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0.88</w:t>
            </w:r>
          </w:p>
        </w:tc>
      </w:tr>
      <w:tr w:rsidR="001E2AF5" w:rsidRPr="00966011" w14:paraId="58A9C50C" w14:textId="77777777" w:rsidTr="00B63FAC">
        <w:trPr>
          <w:trHeight w:val="300"/>
        </w:trPr>
        <w:tc>
          <w:tcPr>
            <w:tcW w:w="1843" w:type="dxa"/>
            <w:tcBorders>
              <w:top w:val="nil"/>
              <w:left w:val="nil"/>
              <w:bottom w:val="nil"/>
              <w:right w:val="nil"/>
            </w:tcBorders>
            <w:shd w:val="clear" w:color="auto" w:fill="auto"/>
            <w:noWrap/>
            <w:vAlign w:val="bottom"/>
            <w:hideMark/>
          </w:tcPr>
          <w:p w14:paraId="0AC8AF3E"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Slope</w:t>
            </w:r>
          </w:p>
        </w:tc>
        <w:tc>
          <w:tcPr>
            <w:tcW w:w="1047" w:type="dxa"/>
            <w:tcBorders>
              <w:top w:val="nil"/>
              <w:left w:val="single" w:sz="4" w:space="0" w:color="auto"/>
              <w:bottom w:val="nil"/>
              <w:right w:val="nil"/>
            </w:tcBorders>
            <w:shd w:val="clear" w:color="auto" w:fill="auto"/>
            <w:noWrap/>
            <w:vAlign w:val="bottom"/>
            <w:hideMark/>
          </w:tcPr>
          <w:p w14:paraId="4FF79EB6"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0.000</w:t>
            </w:r>
          </w:p>
        </w:tc>
        <w:tc>
          <w:tcPr>
            <w:tcW w:w="672" w:type="dxa"/>
            <w:tcBorders>
              <w:top w:val="nil"/>
              <w:left w:val="nil"/>
              <w:bottom w:val="nil"/>
              <w:right w:val="nil"/>
            </w:tcBorders>
            <w:shd w:val="clear" w:color="auto" w:fill="auto"/>
            <w:noWrap/>
            <w:vAlign w:val="bottom"/>
            <w:hideMark/>
          </w:tcPr>
          <w:p w14:paraId="69908701"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0.001</w:t>
            </w:r>
          </w:p>
        </w:tc>
        <w:tc>
          <w:tcPr>
            <w:tcW w:w="775" w:type="dxa"/>
            <w:tcBorders>
              <w:top w:val="nil"/>
              <w:left w:val="nil"/>
              <w:bottom w:val="nil"/>
              <w:right w:val="single" w:sz="4" w:space="0" w:color="auto"/>
            </w:tcBorders>
            <w:shd w:val="clear" w:color="auto" w:fill="auto"/>
            <w:noWrap/>
            <w:vAlign w:val="bottom"/>
            <w:hideMark/>
          </w:tcPr>
          <w:p w14:paraId="689817DD"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0.90</w:t>
            </w:r>
          </w:p>
        </w:tc>
        <w:tc>
          <w:tcPr>
            <w:tcW w:w="943" w:type="dxa"/>
            <w:tcBorders>
              <w:top w:val="nil"/>
              <w:left w:val="nil"/>
              <w:bottom w:val="nil"/>
              <w:right w:val="nil"/>
            </w:tcBorders>
            <w:shd w:val="clear" w:color="auto" w:fill="auto"/>
            <w:noWrap/>
            <w:vAlign w:val="bottom"/>
            <w:hideMark/>
          </w:tcPr>
          <w:p w14:paraId="2DD865B5"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0.000</w:t>
            </w:r>
          </w:p>
        </w:tc>
        <w:tc>
          <w:tcPr>
            <w:tcW w:w="672" w:type="dxa"/>
            <w:tcBorders>
              <w:top w:val="nil"/>
              <w:left w:val="nil"/>
              <w:bottom w:val="nil"/>
              <w:right w:val="nil"/>
            </w:tcBorders>
            <w:shd w:val="clear" w:color="auto" w:fill="auto"/>
            <w:noWrap/>
            <w:vAlign w:val="bottom"/>
            <w:hideMark/>
          </w:tcPr>
          <w:p w14:paraId="61C2A43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0.001</w:t>
            </w:r>
          </w:p>
        </w:tc>
        <w:tc>
          <w:tcPr>
            <w:tcW w:w="775" w:type="dxa"/>
            <w:tcBorders>
              <w:top w:val="nil"/>
              <w:left w:val="nil"/>
              <w:bottom w:val="nil"/>
              <w:right w:val="nil"/>
            </w:tcBorders>
            <w:shd w:val="clear" w:color="auto" w:fill="auto"/>
            <w:noWrap/>
            <w:vAlign w:val="bottom"/>
            <w:hideMark/>
          </w:tcPr>
          <w:p w14:paraId="032305E3"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0.87</w:t>
            </w:r>
          </w:p>
        </w:tc>
        <w:tc>
          <w:tcPr>
            <w:tcW w:w="1060" w:type="dxa"/>
            <w:tcBorders>
              <w:top w:val="nil"/>
              <w:left w:val="single" w:sz="4" w:space="0" w:color="auto"/>
              <w:bottom w:val="nil"/>
              <w:right w:val="nil"/>
            </w:tcBorders>
            <w:shd w:val="clear" w:color="auto" w:fill="auto"/>
            <w:noWrap/>
            <w:vAlign w:val="bottom"/>
            <w:hideMark/>
          </w:tcPr>
          <w:p w14:paraId="71A58D82"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0.000</w:t>
            </w:r>
          </w:p>
        </w:tc>
        <w:tc>
          <w:tcPr>
            <w:tcW w:w="672" w:type="dxa"/>
            <w:tcBorders>
              <w:top w:val="nil"/>
              <w:left w:val="nil"/>
              <w:bottom w:val="nil"/>
              <w:right w:val="nil"/>
            </w:tcBorders>
            <w:shd w:val="clear" w:color="auto" w:fill="auto"/>
            <w:noWrap/>
            <w:vAlign w:val="bottom"/>
            <w:hideMark/>
          </w:tcPr>
          <w:p w14:paraId="7732AF55"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0.001</w:t>
            </w:r>
          </w:p>
        </w:tc>
        <w:tc>
          <w:tcPr>
            <w:tcW w:w="775" w:type="dxa"/>
            <w:tcBorders>
              <w:top w:val="nil"/>
              <w:left w:val="nil"/>
              <w:bottom w:val="nil"/>
              <w:right w:val="nil"/>
            </w:tcBorders>
            <w:shd w:val="clear" w:color="auto" w:fill="auto"/>
            <w:noWrap/>
            <w:vAlign w:val="bottom"/>
            <w:hideMark/>
          </w:tcPr>
          <w:p w14:paraId="6E7D516D"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0.86</w:t>
            </w:r>
          </w:p>
        </w:tc>
      </w:tr>
      <w:tr w:rsidR="001E2AF5" w:rsidRPr="00966011" w14:paraId="7700C280" w14:textId="77777777" w:rsidTr="00B63FAC">
        <w:trPr>
          <w:trHeight w:val="300"/>
        </w:trPr>
        <w:tc>
          <w:tcPr>
            <w:tcW w:w="1843" w:type="dxa"/>
            <w:tcBorders>
              <w:top w:val="nil"/>
              <w:left w:val="nil"/>
              <w:bottom w:val="nil"/>
              <w:right w:val="nil"/>
            </w:tcBorders>
            <w:shd w:val="clear" w:color="auto" w:fill="auto"/>
            <w:noWrap/>
            <w:vAlign w:val="bottom"/>
            <w:hideMark/>
          </w:tcPr>
          <w:p w14:paraId="03F94058"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ICC</w:t>
            </w:r>
          </w:p>
        </w:tc>
        <w:tc>
          <w:tcPr>
            <w:tcW w:w="1047" w:type="dxa"/>
            <w:tcBorders>
              <w:top w:val="nil"/>
              <w:left w:val="single" w:sz="4" w:space="0" w:color="auto"/>
              <w:bottom w:val="nil"/>
              <w:right w:val="nil"/>
            </w:tcBorders>
            <w:shd w:val="clear" w:color="auto" w:fill="auto"/>
            <w:noWrap/>
            <w:vAlign w:val="bottom"/>
            <w:hideMark/>
          </w:tcPr>
          <w:p w14:paraId="0C26216D"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0.985</w:t>
            </w:r>
          </w:p>
        </w:tc>
        <w:tc>
          <w:tcPr>
            <w:tcW w:w="672" w:type="dxa"/>
            <w:tcBorders>
              <w:top w:val="nil"/>
              <w:left w:val="nil"/>
              <w:bottom w:val="nil"/>
              <w:right w:val="nil"/>
            </w:tcBorders>
            <w:shd w:val="clear" w:color="auto" w:fill="auto"/>
            <w:noWrap/>
            <w:vAlign w:val="bottom"/>
            <w:hideMark/>
          </w:tcPr>
          <w:p w14:paraId="2DDD0194"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single" w:sz="4" w:space="0" w:color="auto"/>
            </w:tcBorders>
            <w:shd w:val="clear" w:color="auto" w:fill="auto"/>
            <w:noWrap/>
            <w:vAlign w:val="bottom"/>
            <w:hideMark/>
          </w:tcPr>
          <w:p w14:paraId="12926056"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nil"/>
              <w:right w:val="nil"/>
            </w:tcBorders>
            <w:shd w:val="clear" w:color="auto" w:fill="auto"/>
            <w:noWrap/>
            <w:vAlign w:val="bottom"/>
            <w:hideMark/>
          </w:tcPr>
          <w:p w14:paraId="1486875B"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0.98</w:t>
            </w:r>
          </w:p>
        </w:tc>
        <w:tc>
          <w:tcPr>
            <w:tcW w:w="672" w:type="dxa"/>
            <w:tcBorders>
              <w:top w:val="nil"/>
              <w:left w:val="nil"/>
              <w:bottom w:val="nil"/>
              <w:right w:val="nil"/>
            </w:tcBorders>
            <w:shd w:val="clear" w:color="auto" w:fill="auto"/>
            <w:noWrap/>
            <w:vAlign w:val="bottom"/>
            <w:hideMark/>
          </w:tcPr>
          <w:p w14:paraId="080365CF"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05656F13"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bottom w:val="nil"/>
              <w:right w:val="nil"/>
            </w:tcBorders>
            <w:shd w:val="clear" w:color="auto" w:fill="auto"/>
            <w:noWrap/>
            <w:vAlign w:val="bottom"/>
            <w:hideMark/>
          </w:tcPr>
          <w:p w14:paraId="1F62DA36"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0.944</w:t>
            </w:r>
          </w:p>
        </w:tc>
        <w:tc>
          <w:tcPr>
            <w:tcW w:w="672" w:type="dxa"/>
            <w:tcBorders>
              <w:top w:val="nil"/>
              <w:left w:val="nil"/>
              <w:bottom w:val="nil"/>
              <w:right w:val="nil"/>
            </w:tcBorders>
            <w:shd w:val="clear" w:color="auto" w:fill="auto"/>
            <w:noWrap/>
            <w:vAlign w:val="bottom"/>
            <w:hideMark/>
          </w:tcPr>
          <w:p w14:paraId="2E5A06D6"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4EC50294"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r w:rsidR="001E2AF5" w:rsidRPr="00966011" w14:paraId="1A289B3C" w14:textId="77777777" w:rsidTr="00B63FAC">
        <w:trPr>
          <w:trHeight w:val="300"/>
        </w:trPr>
        <w:tc>
          <w:tcPr>
            <w:tcW w:w="1843" w:type="dxa"/>
            <w:tcBorders>
              <w:top w:val="nil"/>
              <w:left w:val="nil"/>
              <w:bottom w:val="nil"/>
              <w:right w:val="nil"/>
            </w:tcBorders>
            <w:shd w:val="clear" w:color="auto" w:fill="auto"/>
            <w:noWrap/>
            <w:vAlign w:val="bottom"/>
            <w:hideMark/>
          </w:tcPr>
          <w:p w14:paraId="7332A76D"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AIC intercept model</w:t>
            </w:r>
          </w:p>
        </w:tc>
        <w:tc>
          <w:tcPr>
            <w:tcW w:w="1047" w:type="dxa"/>
            <w:tcBorders>
              <w:top w:val="nil"/>
              <w:left w:val="single" w:sz="4" w:space="0" w:color="auto"/>
              <w:bottom w:val="nil"/>
              <w:right w:val="nil"/>
            </w:tcBorders>
            <w:shd w:val="clear" w:color="auto" w:fill="auto"/>
            <w:noWrap/>
            <w:vAlign w:val="bottom"/>
            <w:hideMark/>
          </w:tcPr>
          <w:p w14:paraId="794DF568"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-5826.7</w:t>
            </w:r>
          </w:p>
        </w:tc>
        <w:tc>
          <w:tcPr>
            <w:tcW w:w="672" w:type="dxa"/>
            <w:tcBorders>
              <w:top w:val="nil"/>
              <w:left w:val="nil"/>
              <w:bottom w:val="nil"/>
              <w:right w:val="nil"/>
            </w:tcBorders>
            <w:shd w:val="clear" w:color="auto" w:fill="auto"/>
            <w:noWrap/>
            <w:vAlign w:val="bottom"/>
            <w:hideMark/>
          </w:tcPr>
          <w:p w14:paraId="3ECC9DE1"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single" w:sz="4" w:space="0" w:color="auto"/>
            </w:tcBorders>
            <w:shd w:val="clear" w:color="auto" w:fill="auto"/>
            <w:noWrap/>
            <w:vAlign w:val="bottom"/>
            <w:hideMark/>
          </w:tcPr>
          <w:p w14:paraId="4AD18765"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nil"/>
              <w:right w:val="nil"/>
            </w:tcBorders>
            <w:shd w:val="clear" w:color="auto" w:fill="auto"/>
            <w:noWrap/>
            <w:vAlign w:val="bottom"/>
            <w:hideMark/>
          </w:tcPr>
          <w:p w14:paraId="6344128B"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-5087.93</w:t>
            </w:r>
          </w:p>
        </w:tc>
        <w:tc>
          <w:tcPr>
            <w:tcW w:w="672" w:type="dxa"/>
            <w:tcBorders>
              <w:top w:val="nil"/>
              <w:left w:val="nil"/>
              <w:bottom w:val="nil"/>
              <w:right w:val="nil"/>
            </w:tcBorders>
            <w:shd w:val="clear" w:color="auto" w:fill="auto"/>
            <w:noWrap/>
            <w:vAlign w:val="bottom"/>
            <w:hideMark/>
          </w:tcPr>
          <w:p w14:paraId="45884B11"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18B4AC96"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bottom w:val="nil"/>
              <w:right w:val="nil"/>
            </w:tcBorders>
            <w:shd w:val="clear" w:color="auto" w:fill="auto"/>
            <w:noWrap/>
            <w:vAlign w:val="bottom"/>
            <w:hideMark/>
          </w:tcPr>
          <w:p w14:paraId="664DAF10"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-3639.30</w:t>
            </w:r>
          </w:p>
        </w:tc>
        <w:tc>
          <w:tcPr>
            <w:tcW w:w="672" w:type="dxa"/>
            <w:tcBorders>
              <w:top w:val="nil"/>
              <w:left w:val="nil"/>
              <w:bottom w:val="nil"/>
              <w:right w:val="nil"/>
            </w:tcBorders>
            <w:shd w:val="clear" w:color="auto" w:fill="auto"/>
            <w:noWrap/>
            <w:vAlign w:val="bottom"/>
            <w:hideMark/>
          </w:tcPr>
          <w:p w14:paraId="4D41D7F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72073928"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r w:rsidR="001E2AF5" w:rsidRPr="00966011" w14:paraId="032B62C8" w14:textId="77777777" w:rsidTr="00B63FAC">
        <w:trPr>
          <w:trHeight w:val="300"/>
        </w:trPr>
        <w:tc>
          <w:tcPr>
            <w:tcW w:w="1843" w:type="dxa"/>
            <w:tcBorders>
              <w:top w:val="nil"/>
              <w:left w:val="nil"/>
              <w:bottom w:val="nil"/>
              <w:right w:val="nil"/>
            </w:tcBorders>
            <w:shd w:val="clear" w:color="auto" w:fill="auto"/>
            <w:noWrap/>
            <w:vAlign w:val="bottom"/>
            <w:hideMark/>
          </w:tcPr>
          <w:p w14:paraId="22D80F43"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AIC slope model</w:t>
            </w:r>
          </w:p>
        </w:tc>
        <w:tc>
          <w:tcPr>
            <w:tcW w:w="1047" w:type="dxa"/>
            <w:tcBorders>
              <w:top w:val="nil"/>
              <w:left w:val="single" w:sz="4" w:space="0" w:color="auto"/>
              <w:bottom w:val="nil"/>
              <w:right w:val="nil"/>
            </w:tcBorders>
            <w:shd w:val="clear" w:color="auto" w:fill="auto"/>
            <w:noWrap/>
            <w:vAlign w:val="bottom"/>
            <w:hideMark/>
          </w:tcPr>
          <w:p w14:paraId="55CE353C"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-5724.5</w:t>
            </w:r>
          </w:p>
        </w:tc>
        <w:tc>
          <w:tcPr>
            <w:tcW w:w="672" w:type="dxa"/>
            <w:tcBorders>
              <w:top w:val="nil"/>
              <w:left w:val="nil"/>
              <w:bottom w:val="nil"/>
              <w:right w:val="nil"/>
            </w:tcBorders>
            <w:shd w:val="clear" w:color="auto" w:fill="auto"/>
            <w:noWrap/>
            <w:vAlign w:val="bottom"/>
            <w:hideMark/>
          </w:tcPr>
          <w:p w14:paraId="62DD2BF7"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single" w:sz="4" w:space="0" w:color="auto"/>
            </w:tcBorders>
            <w:shd w:val="clear" w:color="auto" w:fill="auto"/>
            <w:noWrap/>
            <w:vAlign w:val="bottom"/>
            <w:hideMark/>
          </w:tcPr>
          <w:p w14:paraId="59EC9585"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nil"/>
              <w:right w:val="nil"/>
            </w:tcBorders>
            <w:shd w:val="clear" w:color="auto" w:fill="auto"/>
            <w:noWrap/>
            <w:vAlign w:val="bottom"/>
            <w:hideMark/>
          </w:tcPr>
          <w:p w14:paraId="6430F3A5"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-4985.74</w:t>
            </w:r>
          </w:p>
        </w:tc>
        <w:tc>
          <w:tcPr>
            <w:tcW w:w="672" w:type="dxa"/>
            <w:tcBorders>
              <w:top w:val="nil"/>
              <w:left w:val="nil"/>
              <w:bottom w:val="nil"/>
              <w:right w:val="nil"/>
            </w:tcBorders>
            <w:shd w:val="clear" w:color="auto" w:fill="auto"/>
            <w:noWrap/>
            <w:vAlign w:val="bottom"/>
            <w:hideMark/>
          </w:tcPr>
          <w:p w14:paraId="44FFE31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27B80DFA"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bottom w:val="nil"/>
              <w:right w:val="nil"/>
            </w:tcBorders>
            <w:shd w:val="clear" w:color="auto" w:fill="auto"/>
            <w:noWrap/>
            <w:vAlign w:val="bottom"/>
            <w:hideMark/>
          </w:tcPr>
          <w:p w14:paraId="5AFCE5C4"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-3537.10</w:t>
            </w:r>
          </w:p>
        </w:tc>
        <w:tc>
          <w:tcPr>
            <w:tcW w:w="672" w:type="dxa"/>
            <w:tcBorders>
              <w:top w:val="nil"/>
              <w:left w:val="nil"/>
              <w:bottom w:val="nil"/>
              <w:right w:val="nil"/>
            </w:tcBorders>
            <w:shd w:val="clear" w:color="auto" w:fill="auto"/>
            <w:noWrap/>
            <w:vAlign w:val="bottom"/>
            <w:hideMark/>
          </w:tcPr>
          <w:p w14:paraId="33078804"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42F9C5F0"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r w:rsidR="001E2AF5" w:rsidRPr="00966011" w14:paraId="70129218" w14:textId="77777777" w:rsidTr="00B63FAC">
        <w:trPr>
          <w:trHeight w:val="300"/>
        </w:trPr>
        <w:tc>
          <w:tcPr>
            <w:tcW w:w="2890" w:type="dxa"/>
            <w:gridSpan w:val="2"/>
            <w:tcBorders>
              <w:top w:val="single" w:sz="4" w:space="0" w:color="auto"/>
              <w:left w:val="nil"/>
              <w:bottom w:val="single" w:sz="4" w:space="0" w:color="auto"/>
              <w:right w:val="nil"/>
            </w:tcBorders>
            <w:shd w:val="clear" w:color="auto" w:fill="auto"/>
            <w:noWrap/>
            <w:vAlign w:val="bottom"/>
            <w:hideMark/>
          </w:tcPr>
          <w:p w14:paraId="327936EC" w14:textId="77777777" w:rsidR="001E2AF5" w:rsidRPr="00966011" w:rsidRDefault="001E2AF5" w:rsidP="00B63FAC">
            <w:pPr>
              <w:spacing w:after="0" w:line="240" w:lineRule="auto"/>
              <w:rPr>
                <w:rFonts w:ascii="Calibri" w:eastAsia="Times New Roman" w:hAnsi="Calibri" w:cs="Calibri"/>
                <w:i/>
                <w:iCs/>
                <w:color w:val="000000"/>
                <w:sz w:val="20"/>
                <w:szCs w:val="20"/>
                <w:lang w:eastAsia="en-CA"/>
              </w:rPr>
            </w:pPr>
            <w:r w:rsidRPr="00966011">
              <w:rPr>
                <w:rFonts w:ascii="Calibri" w:eastAsia="Times New Roman" w:hAnsi="Calibri" w:cs="Calibri"/>
                <w:i/>
                <w:iCs/>
                <w:color w:val="000000"/>
                <w:sz w:val="20"/>
                <w:szCs w:val="20"/>
                <w:lang w:eastAsia="en-CA"/>
              </w:rPr>
              <w:t xml:space="preserve">Individual </w:t>
            </w:r>
            <w:r w:rsidRPr="00F73F32">
              <w:rPr>
                <w:rFonts w:eastAsia="Times New Roman" w:cs="Times New Roman"/>
                <w:i/>
                <w:sz w:val="20"/>
              </w:rPr>
              <w:t>high-quality vigilance</w:t>
            </w:r>
          </w:p>
        </w:tc>
        <w:tc>
          <w:tcPr>
            <w:tcW w:w="672" w:type="dxa"/>
            <w:tcBorders>
              <w:top w:val="single" w:sz="4" w:space="0" w:color="auto"/>
              <w:left w:val="nil"/>
              <w:bottom w:val="single" w:sz="4" w:space="0" w:color="auto"/>
              <w:right w:val="nil"/>
            </w:tcBorders>
            <w:shd w:val="clear" w:color="auto" w:fill="auto"/>
            <w:noWrap/>
            <w:vAlign w:val="bottom"/>
            <w:hideMark/>
          </w:tcPr>
          <w:p w14:paraId="6F3CD247"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single" w:sz="4" w:space="0" w:color="auto"/>
              <w:left w:val="nil"/>
              <w:bottom w:val="single" w:sz="4" w:space="0" w:color="auto"/>
              <w:right w:val="nil"/>
            </w:tcBorders>
            <w:shd w:val="clear" w:color="auto" w:fill="auto"/>
            <w:noWrap/>
            <w:vAlign w:val="bottom"/>
            <w:hideMark/>
          </w:tcPr>
          <w:p w14:paraId="0B5BD6C5"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single" w:sz="4" w:space="0" w:color="auto"/>
              <w:left w:val="nil"/>
              <w:bottom w:val="single" w:sz="4" w:space="0" w:color="auto"/>
              <w:right w:val="nil"/>
            </w:tcBorders>
            <w:shd w:val="clear" w:color="auto" w:fill="auto"/>
            <w:noWrap/>
            <w:vAlign w:val="bottom"/>
            <w:hideMark/>
          </w:tcPr>
          <w:p w14:paraId="5D4B0979"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672" w:type="dxa"/>
            <w:tcBorders>
              <w:top w:val="single" w:sz="4" w:space="0" w:color="auto"/>
              <w:left w:val="nil"/>
              <w:bottom w:val="single" w:sz="4" w:space="0" w:color="auto"/>
              <w:right w:val="nil"/>
            </w:tcBorders>
            <w:shd w:val="clear" w:color="auto" w:fill="auto"/>
            <w:noWrap/>
            <w:vAlign w:val="bottom"/>
            <w:hideMark/>
          </w:tcPr>
          <w:p w14:paraId="22B752DB"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single" w:sz="4" w:space="0" w:color="auto"/>
              <w:left w:val="nil"/>
              <w:bottom w:val="single" w:sz="4" w:space="0" w:color="auto"/>
              <w:right w:val="nil"/>
            </w:tcBorders>
            <w:shd w:val="clear" w:color="auto" w:fill="auto"/>
            <w:noWrap/>
            <w:vAlign w:val="bottom"/>
            <w:hideMark/>
          </w:tcPr>
          <w:p w14:paraId="6DF2649C"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1060" w:type="dxa"/>
            <w:tcBorders>
              <w:top w:val="single" w:sz="4" w:space="0" w:color="auto"/>
              <w:left w:val="nil"/>
              <w:bottom w:val="single" w:sz="4" w:space="0" w:color="auto"/>
              <w:right w:val="nil"/>
            </w:tcBorders>
            <w:shd w:val="clear" w:color="auto" w:fill="auto"/>
            <w:noWrap/>
            <w:vAlign w:val="bottom"/>
            <w:hideMark/>
          </w:tcPr>
          <w:p w14:paraId="070AB8B3"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672" w:type="dxa"/>
            <w:tcBorders>
              <w:top w:val="single" w:sz="4" w:space="0" w:color="auto"/>
              <w:left w:val="nil"/>
              <w:bottom w:val="single" w:sz="4" w:space="0" w:color="auto"/>
              <w:right w:val="nil"/>
            </w:tcBorders>
            <w:shd w:val="clear" w:color="auto" w:fill="auto"/>
            <w:noWrap/>
            <w:vAlign w:val="bottom"/>
            <w:hideMark/>
          </w:tcPr>
          <w:p w14:paraId="415C609A"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single" w:sz="4" w:space="0" w:color="auto"/>
              <w:left w:val="nil"/>
              <w:bottom w:val="single" w:sz="4" w:space="0" w:color="auto"/>
              <w:right w:val="nil"/>
            </w:tcBorders>
            <w:shd w:val="clear" w:color="auto" w:fill="auto"/>
            <w:noWrap/>
            <w:vAlign w:val="bottom"/>
            <w:hideMark/>
          </w:tcPr>
          <w:p w14:paraId="0FF2C8EB"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r>
      <w:tr w:rsidR="001E2AF5" w:rsidRPr="00966011" w14:paraId="5A1CEA8A" w14:textId="77777777" w:rsidTr="00B63FAC">
        <w:trPr>
          <w:trHeight w:val="300"/>
        </w:trPr>
        <w:tc>
          <w:tcPr>
            <w:tcW w:w="1843" w:type="dxa"/>
            <w:tcBorders>
              <w:top w:val="nil"/>
              <w:left w:val="nil"/>
              <w:bottom w:val="nil"/>
              <w:right w:val="nil"/>
            </w:tcBorders>
            <w:shd w:val="clear" w:color="auto" w:fill="auto"/>
            <w:noWrap/>
            <w:vAlign w:val="bottom"/>
            <w:hideMark/>
          </w:tcPr>
          <w:p w14:paraId="137BA1CD"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Intercept</w:t>
            </w:r>
          </w:p>
        </w:tc>
        <w:tc>
          <w:tcPr>
            <w:tcW w:w="1047" w:type="dxa"/>
            <w:tcBorders>
              <w:top w:val="nil"/>
              <w:left w:val="single" w:sz="4" w:space="0" w:color="auto"/>
              <w:bottom w:val="nil"/>
              <w:right w:val="nil"/>
            </w:tcBorders>
            <w:shd w:val="clear" w:color="auto" w:fill="auto"/>
            <w:noWrap/>
            <w:vAlign w:val="bottom"/>
            <w:hideMark/>
          </w:tcPr>
          <w:p w14:paraId="08FAEB5A"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0.381</w:t>
            </w:r>
          </w:p>
        </w:tc>
        <w:tc>
          <w:tcPr>
            <w:tcW w:w="672" w:type="dxa"/>
            <w:tcBorders>
              <w:top w:val="nil"/>
              <w:left w:val="nil"/>
              <w:bottom w:val="nil"/>
              <w:right w:val="nil"/>
            </w:tcBorders>
            <w:shd w:val="clear" w:color="auto" w:fill="auto"/>
            <w:noWrap/>
            <w:vAlign w:val="bottom"/>
            <w:hideMark/>
          </w:tcPr>
          <w:p w14:paraId="1D237FD0"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0.049</w:t>
            </w:r>
          </w:p>
        </w:tc>
        <w:tc>
          <w:tcPr>
            <w:tcW w:w="775" w:type="dxa"/>
            <w:tcBorders>
              <w:top w:val="nil"/>
              <w:left w:val="nil"/>
              <w:bottom w:val="nil"/>
              <w:right w:val="single" w:sz="4" w:space="0" w:color="auto"/>
            </w:tcBorders>
            <w:shd w:val="clear" w:color="auto" w:fill="auto"/>
            <w:noWrap/>
            <w:vAlign w:val="bottom"/>
            <w:hideMark/>
          </w:tcPr>
          <w:p w14:paraId="75EB172A" w14:textId="77777777" w:rsidR="001E2AF5" w:rsidRPr="00966011" w:rsidRDefault="001E2AF5" w:rsidP="00B63FAC">
            <w:pPr>
              <w:spacing w:after="0" w:line="240" w:lineRule="auto"/>
              <w:rPr>
                <w:rFonts w:ascii="Calibri" w:eastAsia="Times New Roman" w:hAnsi="Calibri" w:cs="Calibri"/>
                <w:b/>
                <w:bCs/>
                <w:color w:val="000000"/>
                <w:sz w:val="20"/>
                <w:szCs w:val="20"/>
                <w:lang w:eastAsia="en-CA"/>
              </w:rPr>
            </w:pPr>
            <w:r w:rsidRPr="00966011">
              <w:rPr>
                <w:rFonts w:ascii="Calibri" w:eastAsia="Times New Roman" w:hAnsi="Calibri" w:cs="Calibri"/>
                <w:b/>
                <w:bCs/>
                <w:color w:val="000000"/>
                <w:sz w:val="20"/>
                <w:szCs w:val="20"/>
                <w:lang w:eastAsia="en-CA"/>
              </w:rPr>
              <w:t>&lt;0.001</w:t>
            </w:r>
          </w:p>
        </w:tc>
        <w:tc>
          <w:tcPr>
            <w:tcW w:w="943" w:type="dxa"/>
            <w:tcBorders>
              <w:top w:val="nil"/>
              <w:left w:val="nil"/>
              <w:bottom w:val="nil"/>
              <w:right w:val="nil"/>
            </w:tcBorders>
            <w:shd w:val="clear" w:color="auto" w:fill="auto"/>
            <w:noWrap/>
            <w:vAlign w:val="bottom"/>
            <w:hideMark/>
          </w:tcPr>
          <w:p w14:paraId="56E4A6D5"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0.424</w:t>
            </w:r>
          </w:p>
        </w:tc>
        <w:tc>
          <w:tcPr>
            <w:tcW w:w="672" w:type="dxa"/>
            <w:tcBorders>
              <w:top w:val="nil"/>
              <w:left w:val="nil"/>
              <w:bottom w:val="nil"/>
              <w:right w:val="nil"/>
            </w:tcBorders>
            <w:shd w:val="clear" w:color="auto" w:fill="auto"/>
            <w:noWrap/>
            <w:vAlign w:val="bottom"/>
            <w:hideMark/>
          </w:tcPr>
          <w:p w14:paraId="1CE12DE5"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0.045</w:t>
            </w:r>
          </w:p>
        </w:tc>
        <w:tc>
          <w:tcPr>
            <w:tcW w:w="775" w:type="dxa"/>
            <w:tcBorders>
              <w:top w:val="nil"/>
              <w:left w:val="nil"/>
              <w:bottom w:val="nil"/>
              <w:right w:val="nil"/>
            </w:tcBorders>
            <w:shd w:val="clear" w:color="auto" w:fill="auto"/>
            <w:noWrap/>
            <w:vAlign w:val="bottom"/>
            <w:hideMark/>
          </w:tcPr>
          <w:p w14:paraId="05AA6EFB" w14:textId="77777777" w:rsidR="001E2AF5" w:rsidRPr="00966011" w:rsidRDefault="001E2AF5" w:rsidP="00B63FAC">
            <w:pPr>
              <w:spacing w:after="0" w:line="240" w:lineRule="auto"/>
              <w:rPr>
                <w:rFonts w:ascii="Calibri" w:eastAsia="Times New Roman" w:hAnsi="Calibri" w:cs="Calibri"/>
                <w:b/>
                <w:bCs/>
                <w:color w:val="000000"/>
                <w:sz w:val="20"/>
                <w:szCs w:val="20"/>
                <w:lang w:eastAsia="en-CA"/>
              </w:rPr>
            </w:pPr>
            <w:r w:rsidRPr="00966011">
              <w:rPr>
                <w:rFonts w:ascii="Calibri" w:eastAsia="Times New Roman" w:hAnsi="Calibri" w:cs="Calibri"/>
                <w:b/>
                <w:bCs/>
                <w:color w:val="000000"/>
                <w:sz w:val="20"/>
                <w:szCs w:val="20"/>
                <w:lang w:eastAsia="en-CA"/>
              </w:rPr>
              <w:t>&lt;0.001</w:t>
            </w:r>
          </w:p>
        </w:tc>
        <w:tc>
          <w:tcPr>
            <w:tcW w:w="1060" w:type="dxa"/>
            <w:tcBorders>
              <w:top w:val="nil"/>
              <w:left w:val="single" w:sz="4" w:space="0" w:color="auto"/>
              <w:bottom w:val="nil"/>
              <w:right w:val="nil"/>
            </w:tcBorders>
            <w:shd w:val="clear" w:color="auto" w:fill="auto"/>
            <w:noWrap/>
            <w:vAlign w:val="bottom"/>
            <w:hideMark/>
          </w:tcPr>
          <w:p w14:paraId="76703CEA"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0.463</w:t>
            </w:r>
          </w:p>
        </w:tc>
        <w:tc>
          <w:tcPr>
            <w:tcW w:w="672" w:type="dxa"/>
            <w:tcBorders>
              <w:top w:val="nil"/>
              <w:left w:val="nil"/>
              <w:bottom w:val="nil"/>
              <w:right w:val="nil"/>
            </w:tcBorders>
            <w:shd w:val="clear" w:color="auto" w:fill="auto"/>
            <w:noWrap/>
            <w:vAlign w:val="bottom"/>
            <w:hideMark/>
          </w:tcPr>
          <w:p w14:paraId="4ADDE3E1"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0.049</w:t>
            </w:r>
          </w:p>
        </w:tc>
        <w:tc>
          <w:tcPr>
            <w:tcW w:w="775" w:type="dxa"/>
            <w:tcBorders>
              <w:top w:val="nil"/>
              <w:left w:val="nil"/>
              <w:bottom w:val="nil"/>
              <w:right w:val="nil"/>
            </w:tcBorders>
            <w:shd w:val="clear" w:color="auto" w:fill="auto"/>
            <w:noWrap/>
            <w:vAlign w:val="bottom"/>
            <w:hideMark/>
          </w:tcPr>
          <w:p w14:paraId="3D7C06C8" w14:textId="77777777" w:rsidR="001E2AF5" w:rsidRPr="00966011" w:rsidRDefault="001E2AF5" w:rsidP="00B63FAC">
            <w:pPr>
              <w:spacing w:after="0" w:line="240" w:lineRule="auto"/>
              <w:rPr>
                <w:rFonts w:ascii="Calibri" w:eastAsia="Times New Roman" w:hAnsi="Calibri" w:cs="Calibri"/>
                <w:b/>
                <w:bCs/>
                <w:color w:val="000000"/>
                <w:sz w:val="20"/>
                <w:szCs w:val="20"/>
                <w:lang w:eastAsia="en-CA"/>
              </w:rPr>
            </w:pPr>
            <w:r w:rsidRPr="00966011">
              <w:rPr>
                <w:rFonts w:ascii="Calibri" w:eastAsia="Times New Roman" w:hAnsi="Calibri" w:cs="Calibri"/>
                <w:b/>
                <w:bCs/>
                <w:color w:val="000000"/>
                <w:sz w:val="20"/>
                <w:szCs w:val="20"/>
                <w:lang w:eastAsia="en-CA"/>
              </w:rPr>
              <w:t>&lt;0.001</w:t>
            </w:r>
          </w:p>
        </w:tc>
      </w:tr>
      <w:tr w:rsidR="001E2AF5" w:rsidRPr="00966011" w14:paraId="4DCA53A7" w14:textId="77777777" w:rsidTr="00B63FAC">
        <w:trPr>
          <w:trHeight w:val="300"/>
        </w:trPr>
        <w:tc>
          <w:tcPr>
            <w:tcW w:w="1843" w:type="dxa"/>
            <w:tcBorders>
              <w:top w:val="nil"/>
              <w:left w:val="nil"/>
              <w:bottom w:val="nil"/>
              <w:right w:val="nil"/>
            </w:tcBorders>
            <w:shd w:val="clear" w:color="auto" w:fill="auto"/>
            <w:noWrap/>
            <w:vAlign w:val="bottom"/>
            <w:hideMark/>
          </w:tcPr>
          <w:p w14:paraId="225E9FB4"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Slope</w:t>
            </w:r>
          </w:p>
        </w:tc>
        <w:tc>
          <w:tcPr>
            <w:tcW w:w="1047" w:type="dxa"/>
            <w:tcBorders>
              <w:top w:val="nil"/>
              <w:left w:val="single" w:sz="4" w:space="0" w:color="auto"/>
              <w:bottom w:val="nil"/>
              <w:right w:val="nil"/>
            </w:tcBorders>
            <w:shd w:val="clear" w:color="auto" w:fill="auto"/>
            <w:noWrap/>
            <w:vAlign w:val="bottom"/>
            <w:hideMark/>
          </w:tcPr>
          <w:p w14:paraId="232181A0"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-0.024</w:t>
            </w:r>
          </w:p>
        </w:tc>
        <w:tc>
          <w:tcPr>
            <w:tcW w:w="672" w:type="dxa"/>
            <w:tcBorders>
              <w:top w:val="nil"/>
              <w:left w:val="nil"/>
              <w:bottom w:val="nil"/>
              <w:right w:val="nil"/>
            </w:tcBorders>
            <w:shd w:val="clear" w:color="auto" w:fill="auto"/>
            <w:noWrap/>
            <w:vAlign w:val="bottom"/>
            <w:hideMark/>
          </w:tcPr>
          <w:p w14:paraId="5776AAAB"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0.004</w:t>
            </w:r>
          </w:p>
        </w:tc>
        <w:tc>
          <w:tcPr>
            <w:tcW w:w="775" w:type="dxa"/>
            <w:tcBorders>
              <w:top w:val="nil"/>
              <w:left w:val="nil"/>
              <w:bottom w:val="nil"/>
              <w:right w:val="single" w:sz="4" w:space="0" w:color="auto"/>
            </w:tcBorders>
            <w:shd w:val="clear" w:color="auto" w:fill="auto"/>
            <w:noWrap/>
            <w:vAlign w:val="bottom"/>
            <w:hideMark/>
          </w:tcPr>
          <w:p w14:paraId="7E7E5043" w14:textId="77777777" w:rsidR="001E2AF5" w:rsidRPr="00966011" w:rsidRDefault="001E2AF5" w:rsidP="00B63FAC">
            <w:pPr>
              <w:spacing w:after="0" w:line="240" w:lineRule="auto"/>
              <w:rPr>
                <w:rFonts w:ascii="Calibri" w:eastAsia="Times New Roman" w:hAnsi="Calibri" w:cs="Calibri"/>
                <w:b/>
                <w:bCs/>
                <w:color w:val="000000"/>
                <w:sz w:val="20"/>
                <w:szCs w:val="20"/>
                <w:lang w:eastAsia="en-CA"/>
              </w:rPr>
            </w:pPr>
            <w:r w:rsidRPr="00966011">
              <w:rPr>
                <w:rFonts w:ascii="Calibri" w:eastAsia="Times New Roman" w:hAnsi="Calibri" w:cs="Calibri"/>
                <w:b/>
                <w:bCs/>
                <w:color w:val="000000"/>
                <w:sz w:val="20"/>
                <w:szCs w:val="20"/>
                <w:lang w:eastAsia="en-CA"/>
              </w:rPr>
              <w:t>&lt;0.001</w:t>
            </w:r>
          </w:p>
        </w:tc>
        <w:tc>
          <w:tcPr>
            <w:tcW w:w="943" w:type="dxa"/>
            <w:tcBorders>
              <w:top w:val="nil"/>
              <w:left w:val="nil"/>
              <w:bottom w:val="nil"/>
              <w:right w:val="nil"/>
            </w:tcBorders>
            <w:shd w:val="clear" w:color="auto" w:fill="auto"/>
            <w:noWrap/>
            <w:vAlign w:val="bottom"/>
            <w:hideMark/>
          </w:tcPr>
          <w:p w14:paraId="4EDA1AFE"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-0.008</w:t>
            </w:r>
          </w:p>
        </w:tc>
        <w:tc>
          <w:tcPr>
            <w:tcW w:w="672" w:type="dxa"/>
            <w:tcBorders>
              <w:top w:val="nil"/>
              <w:left w:val="nil"/>
              <w:bottom w:val="nil"/>
              <w:right w:val="nil"/>
            </w:tcBorders>
            <w:shd w:val="clear" w:color="auto" w:fill="auto"/>
            <w:noWrap/>
            <w:vAlign w:val="bottom"/>
            <w:hideMark/>
          </w:tcPr>
          <w:p w14:paraId="204A5778"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0.005</w:t>
            </w:r>
          </w:p>
        </w:tc>
        <w:tc>
          <w:tcPr>
            <w:tcW w:w="775" w:type="dxa"/>
            <w:tcBorders>
              <w:top w:val="nil"/>
              <w:left w:val="nil"/>
              <w:bottom w:val="nil"/>
              <w:right w:val="nil"/>
            </w:tcBorders>
            <w:shd w:val="clear" w:color="auto" w:fill="auto"/>
            <w:noWrap/>
            <w:vAlign w:val="bottom"/>
            <w:hideMark/>
          </w:tcPr>
          <w:p w14:paraId="5F0A5E3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0.16</w:t>
            </w:r>
          </w:p>
        </w:tc>
        <w:tc>
          <w:tcPr>
            <w:tcW w:w="1060" w:type="dxa"/>
            <w:tcBorders>
              <w:top w:val="nil"/>
              <w:left w:val="single" w:sz="4" w:space="0" w:color="auto"/>
              <w:bottom w:val="nil"/>
              <w:right w:val="nil"/>
            </w:tcBorders>
            <w:shd w:val="clear" w:color="auto" w:fill="auto"/>
            <w:noWrap/>
            <w:vAlign w:val="bottom"/>
            <w:hideMark/>
          </w:tcPr>
          <w:p w14:paraId="2BCDA36C"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0.012</w:t>
            </w:r>
          </w:p>
        </w:tc>
        <w:tc>
          <w:tcPr>
            <w:tcW w:w="672" w:type="dxa"/>
            <w:tcBorders>
              <w:top w:val="nil"/>
              <w:left w:val="nil"/>
              <w:bottom w:val="nil"/>
              <w:right w:val="nil"/>
            </w:tcBorders>
            <w:shd w:val="clear" w:color="auto" w:fill="auto"/>
            <w:noWrap/>
            <w:vAlign w:val="bottom"/>
            <w:hideMark/>
          </w:tcPr>
          <w:p w14:paraId="0B03439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0.005</w:t>
            </w:r>
          </w:p>
        </w:tc>
        <w:tc>
          <w:tcPr>
            <w:tcW w:w="775" w:type="dxa"/>
            <w:tcBorders>
              <w:top w:val="nil"/>
              <w:left w:val="nil"/>
              <w:bottom w:val="nil"/>
              <w:right w:val="nil"/>
            </w:tcBorders>
            <w:shd w:val="clear" w:color="auto" w:fill="auto"/>
            <w:noWrap/>
            <w:vAlign w:val="bottom"/>
            <w:hideMark/>
          </w:tcPr>
          <w:p w14:paraId="17450480" w14:textId="5B19463D" w:rsidR="001E2AF5" w:rsidRPr="00966011" w:rsidRDefault="001E2AF5" w:rsidP="00D26814">
            <w:pPr>
              <w:spacing w:after="0" w:line="240" w:lineRule="auto"/>
              <w:jc w:val="right"/>
              <w:rPr>
                <w:rFonts w:ascii="Calibri" w:eastAsia="Times New Roman" w:hAnsi="Calibri" w:cs="Calibri"/>
                <w:b/>
                <w:bCs/>
                <w:color w:val="000000"/>
                <w:sz w:val="20"/>
                <w:szCs w:val="20"/>
                <w:lang w:eastAsia="en-CA"/>
              </w:rPr>
            </w:pPr>
            <w:r w:rsidRPr="00966011">
              <w:rPr>
                <w:rFonts w:ascii="Calibri" w:eastAsia="Times New Roman" w:hAnsi="Calibri" w:cs="Calibri"/>
                <w:b/>
                <w:bCs/>
                <w:color w:val="000000"/>
                <w:sz w:val="20"/>
                <w:szCs w:val="20"/>
                <w:lang w:eastAsia="en-CA"/>
              </w:rPr>
              <w:t>0.03</w:t>
            </w:r>
          </w:p>
        </w:tc>
      </w:tr>
      <w:tr w:rsidR="001E2AF5" w:rsidRPr="00966011" w14:paraId="0CCA4293" w14:textId="77777777" w:rsidTr="00B63FAC">
        <w:trPr>
          <w:trHeight w:val="300"/>
        </w:trPr>
        <w:tc>
          <w:tcPr>
            <w:tcW w:w="1843" w:type="dxa"/>
            <w:tcBorders>
              <w:top w:val="nil"/>
              <w:left w:val="nil"/>
              <w:bottom w:val="nil"/>
              <w:right w:val="nil"/>
            </w:tcBorders>
            <w:shd w:val="clear" w:color="auto" w:fill="auto"/>
            <w:noWrap/>
            <w:vAlign w:val="bottom"/>
            <w:hideMark/>
          </w:tcPr>
          <w:p w14:paraId="65F80D80"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lastRenderedPageBreak/>
              <w:t>ICC</w:t>
            </w:r>
          </w:p>
        </w:tc>
        <w:tc>
          <w:tcPr>
            <w:tcW w:w="1047" w:type="dxa"/>
            <w:tcBorders>
              <w:top w:val="nil"/>
              <w:left w:val="single" w:sz="4" w:space="0" w:color="auto"/>
              <w:bottom w:val="nil"/>
              <w:right w:val="nil"/>
            </w:tcBorders>
            <w:shd w:val="clear" w:color="auto" w:fill="auto"/>
            <w:noWrap/>
            <w:vAlign w:val="bottom"/>
            <w:hideMark/>
          </w:tcPr>
          <w:p w14:paraId="782ACD8D"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0.573</w:t>
            </w:r>
          </w:p>
        </w:tc>
        <w:tc>
          <w:tcPr>
            <w:tcW w:w="672" w:type="dxa"/>
            <w:tcBorders>
              <w:top w:val="nil"/>
              <w:left w:val="nil"/>
              <w:bottom w:val="nil"/>
              <w:right w:val="nil"/>
            </w:tcBorders>
            <w:shd w:val="clear" w:color="auto" w:fill="auto"/>
            <w:noWrap/>
            <w:vAlign w:val="bottom"/>
            <w:hideMark/>
          </w:tcPr>
          <w:p w14:paraId="1D1C8333"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single" w:sz="4" w:space="0" w:color="auto"/>
            </w:tcBorders>
            <w:shd w:val="clear" w:color="auto" w:fill="auto"/>
            <w:noWrap/>
            <w:vAlign w:val="bottom"/>
            <w:hideMark/>
          </w:tcPr>
          <w:p w14:paraId="69E2016F"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nil"/>
              <w:right w:val="nil"/>
            </w:tcBorders>
            <w:shd w:val="clear" w:color="auto" w:fill="auto"/>
            <w:noWrap/>
            <w:vAlign w:val="bottom"/>
            <w:hideMark/>
          </w:tcPr>
          <w:p w14:paraId="1E5DEB3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0.627</w:t>
            </w:r>
          </w:p>
        </w:tc>
        <w:tc>
          <w:tcPr>
            <w:tcW w:w="672" w:type="dxa"/>
            <w:tcBorders>
              <w:top w:val="nil"/>
              <w:left w:val="nil"/>
              <w:bottom w:val="nil"/>
              <w:right w:val="nil"/>
            </w:tcBorders>
            <w:shd w:val="clear" w:color="auto" w:fill="auto"/>
            <w:noWrap/>
            <w:vAlign w:val="bottom"/>
            <w:hideMark/>
          </w:tcPr>
          <w:p w14:paraId="1415B2C4"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1F77C081"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bottom w:val="nil"/>
              <w:right w:val="nil"/>
            </w:tcBorders>
            <w:shd w:val="clear" w:color="auto" w:fill="auto"/>
            <w:noWrap/>
            <w:vAlign w:val="bottom"/>
            <w:hideMark/>
          </w:tcPr>
          <w:p w14:paraId="5020CA4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0.515</w:t>
            </w:r>
          </w:p>
        </w:tc>
        <w:tc>
          <w:tcPr>
            <w:tcW w:w="672" w:type="dxa"/>
            <w:tcBorders>
              <w:top w:val="nil"/>
              <w:left w:val="nil"/>
              <w:bottom w:val="nil"/>
              <w:right w:val="nil"/>
            </w:tcBorders>
            <w:shd w:val="clear" w:color="auto" w:fill="auto"/>
            <w:noWrap/>
            <w:vAlign w:val="bottom"/>
            <w:hideMark/>
          </w:tcPr>
          <w:p w14:paraId="14FD3FEB"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5289D557"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r w:rsidR="001E2AF5" w:rsidRPr="00966011" w14:paraId="05B1B0AE" w14:textId="77777777" w:rsidTr="00B63FAC">
        <w:trPr>
          <w:trHeight w:val="300"/>
        </w:trPr>
        <w:tc>
          <w:tcPr>
            <w:tcW w:w="1843" w:type="dxa"/>
            <w:tcBorders>
              <w:top w:val="nil"/>
              <w:left w:val="nil"/>
              <w:bottom w:val="nil"/>
              <w:right w:val="nil"/>
            </w:tcBorders>
            <w:shd w:val="clear" w:color="auto" w:fill="auto"/>
            <w:noWrap/>
            <w:vAlign w:val="bottom"/>
            <w:hideMark/>
          </w:tcPr>
          <w:p w14:paraId="4668BE52"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AIC intercept model</w:t>
            </w:r>
          </w:p>
        </w:tc>
        <w:tc>
          <w:tcPr>
            <w:tcW w:w="1047" w:type="dxa"/>
            <w:tcBorders>
              <w:top w:val="nil"/>
              <w:left w:val="single" w:sz="4" w:space="0" w:color="auto"/>
              <w:bottom w:val="nil"/>
              <w:right w:val="nil"/>
            </w:tcBorders>
            <w:shd w:val="clear" w:color="auto" w:fill="auto"/>
            <w:noWrap/>
            <w:vAlign w:val="bottom"/>
            <w:hideMark/>
          </w:tcPr>
          <w:p w14:paraId="3B5A1D1E"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201.482</w:t>
            </w:r>
          </w:p>
        </w:tc>
        <w:tc>
          <w:tcPr>
            <w:tcW w:w="672" w:type="dxa"/>
            <w:tcBorders>
              <w:top w:val="nil"/>
              <w:left w:val="nil"/>
              <w:bottom w:val="nil"/>
              <w:right w:val="nil"/>
            </w:tcBorders>
            <w:shd w:val="clear" w:color="auto" w:fill="auto"/>
            <w:noWrap/>
            <w:vAlign w:val="bottom"/>
            <w:hideMark/>
          </w:tcPr>
          <w:p w14:paraId="0B1BCCC3"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single" w:sz="4" w:space="0" w:color="auto"/>
            </w:tcBorders>
            <w:shd w:val="clear" w:color="auto" w:fill="auto"/>
            <w:noWrap/>
            <w:vAlign w:val="bottom"/>
            <w:hideMark/>
          </w:tcPr>
          <w:p w14:paraId="448B058B"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nil"/>
              <w:right w:val="nil"/>
            </w:tcBorders>
            <w:shd w:val="clear" w:color="auto" w:fill="auto"/>
            <w:noWrap/>
            <w:vAlign w:val="bottom"/>
            <w:hideMark/>
          </w:tcPr>
          <w:p w14:paraId="246081E2"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125.692</w:t>
            </w:r>
          </w:p>
        </w:tc>
        <w:tc>
          <w:tcPr>
            <w:tcW w:w="672" w:type="dxa"/>
            <w:tcBorders>
              <w:top w:val="nil"/>
              <w:left w:val="nil"/>
              <w:bottom w:val="nil"/>
              <w:right w:val="nil"/>
            </w:tcBorders>
            <w:shd w:val="clear" w:color="auto" w:fill="auto"/>
            <w:noWrap/>
            <w:vAlign w:val="bottom"/>
            <w:hideMark/>
          </w:tcPr>
          <w:p w14:paraId="25639385"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781F15AD"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bottom w:val="nil"/>
              <w:right w:val="nil"/>
            </w:tcBorders>
            <w:shd w:val="clear" w:color="auto" w:fill="auto"/>
            <w:noWrap/>
            <w:vAlign w:val="bottom"/>
            <w:hideMark/>
          </w:tcPr>
          <w:p w14:paraId="5B8F8F2C"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356.654</w:t>
            </w:r>
          </w:p>
        </w:tc>
        <w:tc>
          <w:tcPr>
            <w:tcW w:w="672" w:type="dxa"/>
            <w:tcBorders>
              <w:top w:val="nil"/>
              <w:left w:val="nil"/>
              <w:bottom w:val="nil"/>
              <w:right w:val="nil"/>
            </w:tcBorders>
            <w:shd w:val="clear" w:color="auto" w:fill="auto"/>
            <w:noWrap/>
            <w:vAlign w:val="bottom"/>
            <w:hideMark/>
          </w:tcPr>
          <w:p w14:paraId="2D74789B"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6843A22E"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r w:rsidR="001E2AF5" w:rsidRPr="00966011" w14:paraId="7C42EF4B" w14:textId="77777777" w:rsidTr="00B63FAC">
        <w:trPr>
          <w:trHeight w:val="300"/>
        </w:trPr>
        <w:tc>
          <w:tcPr>
            <w:tcW w:w="1843" w:type="dxa"/>
            <w:tcBorders>
              <w:top w:val="nil"/>
              <w:left w:val="nil"/>
              <w:bottom w:val="nil"/>
              <w:right w:val="nil"/>
            </w:tcBorders>
            <w:shd w:val="clear" w:color="auto" w:fill="auto"/>
            <w:noWrap/>
            <w:vAlign w:val="bottom"/>
            <w:hideMark/>
          </w:tcPr>
          <w:p w14:paraId="0CD3C141"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AIC slope model</w:t>
            </w:r>
          </w:p>
        </w:tc>
        <w:tc>
          <w:tcPr>
            <w:tcW w:w="1047" w:type="dxa"/>
            <w:tcBorders>
              <w:top w:val="nil"/>
              <w:left w:val="single" w:sz="4" w:space="0" w:color="auto"/>
              <w:bottom w:val="nil"/>
              <w:right w:val="nil"/>
            </w:tcBorders>
            <w:shd w:val="clear" w:color="auto" w:fill="auto"/>
            <w:noWrap/>
            <w:vAlign w:val="bottom"/>
            <w:hideMark/>
          </w:tcPr>
          <w:p w14:paraId="32A99D60"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303.675</w:t>
            </w:r>
          </w:p>
        </w:tc>
        <w:tc>
          <w:tcPr>
            <w:tcW w:w="672" w:type="dxa"/>
            <w:tcBorders>
              <w:top w:val="nil"/>
              <w:left w:val="nil"/>
              <w:bottom w:val="nil"/>
              <w:right w:val="nil"/>
            </w:tcBorders>
            <w:shd w:val="clear" w:color="auto" w:fill="auto"/>
            <w:noWrap/>
            <w:vAlign w:val="bottom"/>
            <w:hideMark/>
          </w:tcPr>
          <w:p w14:paraId="30073FA5"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single" w:sz="4" w:space="0" w:color="auto"/>
            </w:tcBorders>
            <w:shd w:val="clear" w:color="auto" w:fill="auto"/>
            <w:noWrap/>
            <w:vAlign w:val="bottom"/>
            <w:hideMark/>
          </w:tcPr>
          <w:p w14:paraId="212179A1"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nil"/>
              <w:right w:val="nil"/>
            </w:tcBorders>
            <w:shd w:val="clear" w:color="auto" w:fill="auto"/>
            <w:noWrap/>
            <w:vAlign w:val="bottom"/>
            <w:hideMark/>
          </w:tcPr>
          <w:p w14:paraId="1C43E36B"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227.885</w:t>
            </w:r>
          </w:p>
        </w:tc>
        <w:tc>
          <w:tcPr>
            <w:tcW w:w="672" w:type="dxa"/>
            <w:tcBorders>
              <w:top w:val="nil"/>
              <w:left w:val="nil"/>
              <w:bottom w:val="nil"/>
              <w:right w:val="nil"/>
            </w:tcBorders>
            <w:shd w:val="clear" w:color="auto" w:fill="auto"/>
            <w:noWrap/>
            <w:vAlign w:val="bottom"/>
            <w:hideMark/>
          </w:tcPr>
          <w:p w14:paraId="73782FBF"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64CCB536"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bottom w:val="nil"/>
              <w:right w:val="nil"/>
            </w:tcBorders>
            <w:shd w:val="clear" w:color="auto" w:fill="auto"/>
            <w:noWrap/>
            <w:vAlign w:val="bottom"/>
            <w:hideMark/>
          </w:tcPr>
          <w:p w14:paraId="1C50B827"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458.848</w:t>
            </w:r>
          </w:p>
        </w:tc>
        <w:tc>
          <w:tcPr>
            <w:tcW w:w="672" w:type="dxa"/>
            <w:tcBorders>
              <w:top w:val="nil"/>
              <w:left w:val="nil"/>
              <w:bottom w:val="nil"/>
              <w:right w:val="nil"/>
            </w:tcBorders>
            <w:shd w:val="clear" w:color="auto" w:fill="auto"/>
            <w:noWrap/>
            <w:vAlign w:val="bottom"/>
            <w:hideMark/>
          </w:tcPr>
          <w:p w14:paraId="5FB57A58"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50237B6D"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r w:rsidR="001E2AF5" w:rsidRPr="00966011" w14:paraId="449939DC" w14:textId="77777777" w:rsidTr="00B63FAC">
        <w:trPr>
          <w:trHeight w:val="300"/>
        </w:trPr>
        <w:tc>
          <w:tcPr>
            <w:tcW w:w="2890" w:type="dxa"/>
            <w:gridSpan w:val="2"/>
            <w:tcBorders>
              <w:top w:val="single" w:sz="4" w:space="0" w:color="auto"/>
              <w:left w:val="nil"/>
              <w:bottom w:val="single" w:sz="4" w:space="0" w:color="auto"/>
              <w:right w:val="nil"/>
            </w:tcBorders>
            <w:shd w:val="clear" w:color="auto" w:fill="auto"/>
            <w:noWrap/>
            <w:vAlign w:val="bottom"/>
            <w:hideMark/>
          </w:tcPr>
          <w:p w14:paraId="2EE30343" w14:textId="77777777" w:rsidR="001E2AF5" w:rsidRPr="00966011" w:rsidRDefault="001E2AF5" w:rsidP="00B63FAC">
            <w:pPr>
              <w:spacing w:after="0" w:line="240" w:lineRule="auto"/>
              <w:rPr>
                <w:rFonts w:ascii="Calibri" w:eastAsia="Times New Roman" w:hAnsi="Calibri" w:cs="Calibri"/>
                <w:i/>
                <w:iCs/>
                <w:color w:val="000000"/>
                <w:sz w:val="20"/>
                <w:szCs w:val="20"/>
                <w:lang w:eastAsia="en-CA"/>
              </w:rPr>
            </w:pPr>
            <w:r w:rsidRPr="00966011">
              <w:rPr>
                <w:rFonts w:ascii="Calibri" w:eastAsia="Times New Roman" w:hAnsi="Calibri" w:cs="Calibri"/>
                <w:i/>
                <w:iCs/>
                <w:color w:val="000000"/>
                <w:sz w:val="20"/>
                <w:szCs w:val="20"/>
                <w:lang w:eastAsia="en-CA"/>
              </w:rPr>
              <w:t>Collective</w:t>
            </w:r>
            <w:r>
              <w:rPr>
                <w:rFonts w:ascii="Calibri" w:eastAsia="Times New Roman" w:hAnsi="Calibri" w:cs="Calibri"/>
                <w:i/>
                <w:iCs/>
                <w:color w:val="000000"/>
                <w:sz w:val="20"/>
                <w:szCs w:val="20"/>
                <w:lang w:eastAsia="en-CA"/>
              </w:rPr>
              <w:t xml:space="preserve"> low-quality vigilance</w:t>
            </w:r>
          </w:p>
        </w:tc>
        <w:tc>
          <w:tcPr>
            <w:tcW w:w="672" w:type="dxa"/>
            <w:tcBorders>
              <w:top w:val="single" w:sz="4" w:space="0" w:color="auto"/>
              <w:left w:val="nil"/>
              <w:bottom w:val="single" w:sz="4" w:space="0" w:color="auto"/>
              <w:right w:val="nil"/>
            </w:tcBorders>
            <w:shd w:val="clear" w:color="auto" w:fill="auto"/>
            <w:noWrap/>
            <w:vAlign w:val="bottom"/>
            <w:hideMark/>
          </w:tcPr>
          <w:p w14:paraId="5600F449"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single" w:sz="4" w:space="0" w:color="auto"/>
              <w:left w:val="nil"/>
              <w:bottom w:val="single" w:sz="4" w:space="0" w:color="auto"/>
              <w:right w:val="nil"/>
            </w:tcBorders>
            <w:shd w:val="clear" w:color="auto" w:fill="auto"/>
            <w:noWrap/>
            <w:vAlign w:val="bottom"/>
            <w:hideMark/>
          </w:tcPr>
          <w:p w14:paraId="7DA87147"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single" w:sz="4" w:space="0" w:color="auto"/>
              <w:left w:val="nil"/>
              <w:bottom w:val="single" w:sz="4" w:space="0" w:color="auto"/>
              <w:right w:val="nil"/>
            </w:tcBorders>
            <w:shd w:val="clear" w:color="auto" w:fill="auto"/>
            <w:noWrap/>
            <w:vAlign w:val="bottom"/>
            <w:hideMark/>
          </w:tcPr>
          <w:p w14:paraId="420EAC0D"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672" w:type="dxa"/>
            <w:tcBorders>
              <w:top w:val="single" w:sz="4" w:space="0" w:color="auto"/>
              <w:left w:val="nil"/>
              <w:bottom w:val="single" w:sz="4" w:space="0" w:color="auto"/>
              <w:right w:val="nil"/>
            </w:tcBorders>
            <w:shd w:val="clear" w:color="auto" w:fill="auto"/>
            <w:noWrap/>
            <w:vAlign w:val="bottom"/>
            <w:hideMark/>
          </w:tcPr>
          <w:p w14:paraId="47EB40EB"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single" w:sz="4" w:space="0" w:color="auto"/>
              <w:left w:val="nil"/>
              <w:bottom w:val="single" w:sz="4" w:space="0" w:color="auto"/>
              <w:right w:val="nil"/>
            </w:tcBorders>
            <w:shd w:val="clear" w:color="auto" w:fill="auto"/>
            <w:noWrap/>
            <w:vAlign w:val="bottom"/>
            <w:hideMark/>
          </w:tcPr>
          <w:p w14:paraId="27265B2D"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1060" w:type="dxa"/>
            <w:tcBorders>
              <w:top w:val="single" w:sz="4" w:space="0" w:color="auto"/>
              <w:left w:val="nil"/>
              <w:bottom w:val="single" w:sz="4" w:space="0" w:color="auto"/>
              <w:right w:val="nil"/>
            </w:tcBorders>
            <w:shd w:val="clear" w:color="auto" w:fill="auto"/>
            <w:noWrap/>
            <w:vAlign w:val="bottom"/>
            <w:hideMark/>
          </w:tcPr>
          <w:p w14:paraId="0584A518"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672" w:type="dxa"/>
            <w:tcBorders>
              <w:top w:val="single" w:sz="4" w:space="0" w:color="auto"/>
              <w:left w:val="nil"/>
              <w:bottom w:val="single" w:sz="4" w:space="0" w:color="auto"/>
              <w:right w:val="nil"/>
            </w:tcBorders>
            <w:shd w:val="clear" w:color="auto" w:fill="auto"/>
            <w:noWrap/>
            <w:vAlign w:val="bottom"/>
            <w:hideMark/>
          </w:tcPr>
          <w:p w14:paraId="4CBE31BB"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single" w:sz="4" w:space="0" w:color="auto"/>
              <w:left w:val="nil"/>
              <w:bottom w:val="single" w:sz="4" w:space="0" w:color="auto"/>
              <w:right w:val="nil"/>
            </w:tcBorders>
            <w:shd w:val="clear" w:color="auto" w:fill="auto"/>
            <w:noWrap/>
            <w:vAlign w:val="bottom"/>
            <w:hideMark/>
          </w:tcPr>
          <w:p w14:paraId="3786ACA0"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r>
      <w:tr w:rsidR="001E2AF5" w:rsidRPr="00966011" w14:paraId="394B22A9" w14:textId="77777777" w:rsidTr="00B63FAC">
        <w:trPr>
          <w:trHeight w:val="300"/>
        </w:trPr>
        <w:tc>
          <w:tcPr>
            <w:tcW w:w="1843" w:type="dxa"/>
            <w:tcBorders>
              <w:top w:val="nil"/>
              <w:left w:val="nil"/>
              <w:bottom w:val="nil"/>
              <w:right w:val="nil"/>
            </w:tcBorders>
            <w:shd w:val="clear" w:color="auto" w:fill="auto"/>
            <w:noWrap/>
            <w:vAlign w:val="bottom"/>
            <w:hideMark/>
          </w:tcPr>
          <w:p w14:paraId="454D8E8E"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Intercept</w:t>
            </w:r>
          </w:p>
        </w:tc>
        <w:tc>
          <w:tcPr>
            <w:tcW w:w="1047" w:type="dxa"/>
            <w:tcBorders>
              <w:top w:val="nil"/>
              <w:left w:val="single" w:sz="4" w:space="0" w:color="auto"/>
              <w:bottom w:val="nil"/>
              <w:right w:val="nil"/>
            </w:tcBorders>
            <w:shd w:val="clear" w:color="auto" w:fill="auto"/>
            <w:noWrap/>
            <w:vAlign w:val="bottom"/>
            <w:hideMark/>
          </w:tcPr>
          <w:p w14:paraId="4B62AB10"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0.005</w:t>
            </w:r>
          </w:p>
        </w:tc>
        <w:tc>
          <w:tcPr>
            <w:tcW w:w="672" w:type="dxa"/>
            <w:tcBorders>
              <w:top w:val="nil"/>
              <w:left w:val="nil"/>
              <w:bottom w:val="nil"/>
              <w:right w:val="nil"/>
            </w:tcBorders>
            <w:shd w:val="clear" w:color="auto" w:fill="auto"/>
            <w:noWrap/>
            <w:vAlign w:val="bottom"/>
            <w:hideMark/>
          </w:tcPr>
          <w:p w14:paraId="2349579C"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0.033</w:t>
            </w:r>
          </w:p>
        </w:tc>
        <w:tc>
          <w:tcPr>
            <w:tcW w:w="775" w:type="dxa"/>
            <w:tcBorders>
              <w:top w:val="nil"/>
              <w:left w:val="nil"/>
              <w:bottom w:val="nil"/>
              <w:right w:val="single" w:sz="4" w:space="0" w:color="auto"/>
            </w:tcBorders>
            <w:shd w:val="clear" w:color="auto" w:fill="auto"/>
            <w:noWrap/>
            <w:vAlign w:val="bottom"/>
            <w:hideMark/>
          </w:tcPr>
          <w:p w14:paraId="4FB2CA7F"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0.88</w:t>
            </w:r>
          </w:p>
        </w:tc>
        <w:tc>
          <w:tcPr>
            <w:tcW w:w="943" w:type="dxa"/>
            <w:tcBorders>
              <w:top w:val="nil"/>
              <w:left w:val="nil"/>
              <w:bottom w:val="nil"/>
              <w:right w:val="nil"/>
            </w:tcBorders>
            <w:shd w:val="clear" w:color="auto" w:fill="auto"/>
            <w:noWrap/>
            <w:vAlign w:val="bottom"/>
            <w:hideMark/>
          </w:tcPr>
          <w:p w14:paraId="190F4746"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0.005</w:t>
            </w:r>
          </w:p>
        </w:tc>
        <w:tc>
          <w:tcPr>
            <w:tcW w:w="672" w:type="dxa"/>
            <w:tcBorders>
              <w:top w:val="nil"/>
              <w:left w:val="nil"/>
              <w:bottom w:val="nil"/>
              <w:right w:val="nil"/>
            </w:tcBorders>
            <w:shd w:val="clear" w:color="auto" w:fill="auto"/>
            <w:noWrap/>
            <w:vAlign w:val="bottom"/>
            <w:hideMark/>
          </w:tcPr>
          <w:p w14:paraId="7A2E19CC"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0.008</w:t>
            </w:r>
          </w:p>
        </w:tc>
        <w:tc>
          <w:tcPr>
            <w:tcW w:w="775" w:type="dxa"/>
            <w:tcBorders>
              <w:top w:val="nil"/>
              <w:left w:val="nil"/>
              <w:bottom w:val="nil"/>
              <w:right w:val="nil"/>
            </w:tcBorders>
            <w:shd w:val="clear" w:color="auto" w:fill="auto"/>
            <w:noWrap/>
            <w:vAlign w:val="bottom"/>
            <w:hideMark/>
          </w:tcPr>
          <w:p w14:paraId="55A0B15A"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0.55</w:t>
            </w:r>
          </w:p>
        </w:tc>
        <w:tc>
          <w:tcPr>
            <w:tcW w:w="1060" w:type="dxa"/>
            <w:tcBorders>
              <w:top w:val="nil"/>
              <w:left w:val="single" w:sz="4" w:space="0" w:color="auto"/>
              <w:bottom w:val="nil"/>
              <w:right w:val="nil"/>
            </w:tcBorders>
            <w:shd w:val="clear" w:color="auto" w:fill="auto"/>
            <w:noWrap/>
            <w:vAlign w:val="bottom"/>
            <w:hideMark/>
          </w:tcPr>
          <w:p w14:paraId="10C0A87C"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0.006</w:t>
            </w:r>
          </w:p>
        </w:tc>
        <w:tc>
          <w:tcPr>
            <w:tcW w:w="672" w:type="dxa"/>
            <w:tcBorders>
              <w:top w:val="nil"/>
              <w:left w:val="nil"/>
              <w:bottom w:val="nil"/>
              <w:right w:val="nil"/>
            </w:tcBorders>
            <w:shd w:val="clear" w:color="auto" w:fill="auto"/>
            <w:noWrap/>
            <w:vAlign w:val="bottom"/>
            <w:hideMark/>
          </w:tcPr>
          <w:p w14:paraId="4A0C47E8"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0.009</w:t>
            </w:r>
          </w:p>
        </w:tc>
        <w:tc>
          <w:tcPr>
            <w:tcW w:w="775" w:type="dxa"/>
            <w:tcBorders>
              <w:top w:val="nil"/>
              <w:left w:val="nil"/>
              <w:bottom w:val="nil"/>
              <w:right w:val="nil"/>
            </w:tcBorders>
            <w:shd w:val="clear" w:color="auto" w:fill="auto"/>
            <w:noWrap/>
            <w:vAlign w:val="bottom"/>
            <w:hideMark/>
          </w:tcPr>
          <w:p w14:paraId="542F653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0.50</w:t>
            </w:r>
          </w:p>
        </w:tc>
      </w:tr>
      <w:tr w:rsidR="001E2AF5" w:rsidRPr="00966011" w14:paraId="327957C6" w14:textId="77777777" w:rsidTr="00B63FAC">
        <w:trPr>
          <w:trHeight w:val="300"/>
        </w:trPr>
        <w:tc>
          <w:tcPr>
            <w:tcW w:w="1843" w:type="dxa"/>
            <w:tcBorders>
              <w:top w:val="nil"/>
              <w:left w:val="nil"/>
              <w:bottom w:val="nil"/>
              <w:right w:val="nil"/>
            </w:tcBorders>
            <w:shd w:val="clear" w:color="auto" w:fill="auto"/>
            <w:noWrap/>
            <w:vAlign w:val="bottom"/>
            <w:hideMark/>
          </w:tcPr>
          <w:p w14:paraId="127D76E7"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Slope</w:t>
            </w:r>
          </w:p>
        </w:tc>
        <w:tc>
          <w:tcPr>
            <w:tcW w:w="1047" w:type="dxa"/>
            <w:tcBorders>
              <w:top w:val="nil"/>
              <w:left w:val="single" w:sz="4" w:space="0" w:color="auto"/>
              <w:bottom w:val="nil"/>
              <w:right w:val="nil"/>
            </w:tcBorders>
            <w:shd w:val="clear" w:color="auto" w:fill="auto"/>
            <w:noWrap/>
            <w:vAlign w:val="bottom"/>
            <w:hideMark/>
          </w:tcPr>
          <w:p w14:paraId="724736A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-0.001</w:t>
            </w:r>
          </w:p>
        </w:tc>
        <w:tc>
          <w:tcPr>
            <w:tcW w:w="672" w:type="dxa"/>
            <w:tcBorders>
              <w:top w:val="nil"/>
              <w:left w:val="nil"/>
              <w:bottom w:val="nil"/>
              <w:right w:val="nil"/>
            </w:tcBorders>
            <w:shd w:val="clear" w:color="auto" w:fill="auto"/>
            <w:noWrap/>
            <w:vAlign w:val="bottom"/>
            <w:hideMark/>
          </w:tcPr>
          <w:p w14:paraId="3108DAD2"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0.224</w:t>
            </w:r>
          </w:p>
        </w:tc>
        <w:tc>
          <w:tcPr>
            <w:tcW w:w="775" w:type="dxa"/>
            <w:tcBorders>
              <w:top w:val="nil"/>
              <w:left w:val="nil"/>
              <w:bottom w:val="nil"/>
              <w:right w:val="single" w:sz="4" w:space="0" w:color="auto"/>
            </w:tcBorders>
            <w:shd w:val="clear" w:color="auto" w:fill="auto"/>
            <w:noWrap/>
            <w:vAlign w:val="bottom"/>
            <w:hideMark/>
          </w:tcPr>
          <w:p w14:paraId="3BBF73A5"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1.00</w:t>
            </w:r>
          </w:p>
        </w:tc>
        <w:tc>
          <w:tcPr>
            <w:tcW w:w="943" w:type="dxa"/>
            <w:tcBorders>
              <w:top w:val="nil"/>
              <w:left w:val="nil"/>
              <w:bottom w:val="nil"/>
              <w:right w:val="nil"/>
            </w:tcBorders>
            <w:shd w:val="clear" w:color="auto" w:fill="auto"/>
            <w:noWrap/>
            <w:vAlign w:val="bottom"/>
            <w:hideMark/>
          </w:tcPr>
          <w:p w14:paraId="3AC4541D"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-0.001</w:t>
            </w:r>
          </w:p>
        </w:tc>
        <w:tc>
          <w:tcPr>
            <w:tcW w:w="672" w:type="dxa"/>
            <w:tcBorders>
              <w:top w:val="nil"/>
              <w:left w:val="nil"/>
              <w:bottom w:val="nil"/>
              <w:right w:val="nil"/>
            </w:tcBorders>
            <w:shd w:val="clear" w:color="auto" w:fill="auto"/>
            <w:noWrap/>
            <w:vAlign w:val="bottom"/>
            <w:hideMark/>
          </w:tcPr>
          <w:p w14:paraId="18DBA7D7"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0.001</w:t>
            </w:r>
          </w:p>
        </w:tc>
        <w:tc>
          <w:tcPr>
            <w:tcW w:w="775" w:type="dxa"/>
            <w:tcBorders>
              <w:top w:val="nil"/>
              <w:left w:val="nil"/>
              <w:bottom w:val="nil"/>
              <w:right w:val="nil"/>
            </w:tcBorders>
            <w:shd w:val="clear" w:color="auto" w:fill="auto"/>
            <w:noWrap/>
            <w:vAlign w:val="bottom"/>
            <w:hideMark/>
          </w:tcPr>
          <w:p w14:paraId="3DC2ABA3"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0.65</w:t>
            </w:r>
          </w:p>
        </w:tc>
        <w:tc>
          <w:tcPr>
            <w:tcW w:w="1060" w:type="dxa"/>
            <w:tcBorders>
              <w:top w:val="nil"/>
              <w:left w:val="single" w:sz="4" w:space="0" w:color="auto"/>
              <w:bottom w:val="nil"/>
              <w:right w:val="nil"/>
            </w:tcBorders>
            <w:shd w:val="clear" w:color="auto" w:fill="auto"/>
            <w:noWrap/>
            <w:vAlign w:val="bottom"/>
            <w:hideMark/>
          </w:tcPr>
          <w:p w14:paraId="703F5F75"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0.010</w:t>
            </w:r>
          </w:p>
        </w:tc>
        <w:tc>
          <w:tcPr>
            <w:tcW w:w="672" w:type="dxa"/>
            <w:tcBorders>
              <w:top w:val="nil"/>
              <w:left w:val="nil"/>
              <w:bottom w:val="nil"/>
              <w:right w:val="nil"/>
            </w:tcBorders>
            <w:shd w:val="clear" w:color="auto" w:fill="auto"/>
            <w:noWrap/>
            <w:vAlign w:val="bottom"/>
            <w:hideMark/>
          </w:tcPr>
          <w:p w14:paraId="4A3E0423"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0.003</w:t>
            </w:r>
          </w:p>
        </w:tc>
        <w:tc>
          <w:tcPr>
            <w:tcW w:w="775" w:type="dxa"/>
            <w:tcBorders>
              <w:top w:val="nil"/>
              <w:left w:val="nil"/>
              <w:bottom w:val="nil"/>
              <w:right w:val="nil"/>
            </w:tcBorders>
            <w:shd w:val="clear" w:color="auto" w:fill="auto"/>
            <w:noWrap/>
            <w:vAlign w:val="bottom"/>
            <w:hideMark/>
          </w:tcPr>
          <w:p w14:paraId="48319DA3" w14:textId="77777777" w:rsidR="001E2AF5" w:rsidRPr="00966011" w:rsidRDefault="001E2AF5" w:rsidP="00B63FAC">
            <w:pPr>
              <w:spacing w:after="0" w:line="240" w:lineRule="auto"/>
              <w:jc w:val="right"/>
              <w:rPr>
                <w:rFonts w:ascii="Calibri" w:eastAsia="Times New Roman" w:hAnsi="Calibri" w:cs="Calibri"/>
                <w:b/>
                <w:bCs/>
                <w:color w:val="000000"/>
                <w:sz w:val="20"/>
                <w:szCs w:val="20"/>
                <w:lang w:eastAsia="en-CA"/>
              </w:rPr>
            </w:pPr>
            <w:r w:rsidRPr="00966011">
              <w:rPr>
                <w:rFonts w:ascii="Calibri" w:eastAsia="Times New Roman" w:hAnsi="Calibri" w:cs="Calibri"/>
                <w:b/>
                <w:bCs/>
                <w:color w:val="000000"/>
                <w:sz w:val="20"/>
                <w:szCs w:val="20"/>
                <w:lang w:eastAsia="en-CA"/>
              </w:rPr>
              <w:t>0.001</w:t>
            </w:r>
          </w:p>
        </w:tc>
      </w:tr>
      <w:tr w:rsidR="001E2AF5" w:rsidRPr="00966011" w14:paraId="55215741" w14:textId="77777777" w:rsidTr="00B63FAC">
        <w:trPr>
          <w:trHeight w:val="300"/>
        </w:trPr>
        <w:tc>
          <w:tcPr>
            <w:tcW w:w="1843" w:type="dxa"/>
            <w:tcBorders>
              <w:top w:val="nil"/>
              <w:left w:val="nil"/>
              <w:bottom w:val="nil"/>
              <w:right w:val="nil"/>
            </w:tcBorders>
            <w:shd w:val="clear" w:color="auto" w:fill="auto"/>
            <w:noWrap/>
            <w:vAlign w:val="bottom"/>
            <w:hideMark/>
          </w:tcPr>
          <w:p w14:paraId="74290D6F"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ICC</w:t>
            </w:r>
          </w:p>
        </w:tc>
        <w:tc>
          <w:tcPr>
            <w:tcW w:w="1047" w:type="dxa"/>
            <w:tcBorders>
              <w:top w:val="nil"/>
              <w:left w:val="single" w:sz="4" w:space="0" w:color="auto"/>
              <w:bottom w:val="nil"/>
              <w:right w:val="nil"/>
            </w:tcBorders>
            <w:shd w:val="clear" w:color="auto" w:fill="auto"/>
            <w:noWrap/>
            <w:vAlign w:val="bottom"/>
            <w:hideMark/>
          </w:tcPr>
          <w:p w14:paraId="65F5589A"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0.931</w:t>
            </w:r>
          </w:p>
        </w:tc>
        <w:tc>
          <w:tcPr>
            <w:tcW w:w="672" w:type="dxa"/>
            <w:tcBorders>
              <w:top w:val="nil"/>
              <w:left w:val="nil"/>
              <w:bottom w:val="nil"/>
              <w:right w:val="nil"/>
            </w:tcBorders>
            <w:shd w:val="clear" w:color="auto" w:fill="auto"/>
            <w:noWrap/>
            <w:vAlign w:val="bottom"/>
            <w:hideMark/>
          </w:tcPr>
          <w:p w14:paraId="105500C3"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single" w:sz="4" w:space="0" w:color="auto"/>
            </w:tcBorders>
            <w:shd w:val="clear" w:color="auto" w:fill="auto"/>
            <w:noWrap/>
            <w:vAlign w:val="bottom"/>
            <w:hideMark/>
          </w:tcPr>
          <w:p w14:paraId="280AF323"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nil"/>
              <w:right w:val="nil"/>
            </w:tcBorders>
            <w:shd w:val="clear" w:color="auto" w:fill="auto"/>
            <w:noWrap/>
            <w:vAlign w:val="bottom"/>
            <w:hideMark/>
          </w:tcPr>
          <w:p w14:paraId="471E4554"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0.912</w:t>
            </w:r>
          </w:p>
        </w:tc>
        <w:tc>
          <w:tcPr>
            <w:tcW w:w="672" w:type="dxa"/>
            <w:tcBorders>
              <w:top w:val="nil"/>
              <w:left w:val="nil"/>
              <w:bottom w:val="nil"/>
              <w:right w:val="nil"/>
            </w:tcBorders>
            <w:shd w:val="clear" w:color="auto" w:fill="auto"/>
            <w:noWrap/>
            <w:vAlign w:val="bottom"/>
            <w:hideMark/>
          </w:tcPr>
          <w:p w14:paraId="6F568985"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65E6A3A2"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bottom w:val="nil"/>
              <w:right w:val="nil"/>
            </w:tcBorders>
            <w:shd w:val="clear" w:color="auto" w:fill="auto"/>
            <w:noWrap/>
            <w:vAlign w:val="bottom"/>
            <w:hideMark/>
          </w:tcPr>
          <w:p w14:paraId="5C20627B"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0.798</w:t>
            </w:r>
          </w:p>
        </w:tc>
        <w:tc>
          <w:tcPr>
            <w:tcW w:w="672" w:type="dxa"/>
            <w:tcBorders>
              <w:top w:val="nil"/>
              <w:left w:val="nil"/>
              <w:bottom w:val="nil"/>
              <w:right w:val="nil"/>
            </w:tcBorders>
            <w:shd w:val="clear" w:color="auto" w:fill="auto"/>
            <w:noWrap/>
            <w:vAlign w:val="bottom"/>
            <w:hideMark/>
          </w:tcPr>
          <w:p w14:paraId="616EE05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75A1A419"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r w:rsidR="001E2AF5" w:rsidRPr="00966011" w14:paraId="4B4D744D" w14:textId="77777777" w:rsidTr="00B63FAC">
        <w:trPr>
          <w:trHeight w:val="300"/>
        </w:trPr>
        <w:tc>
          <w:tcPr>
            <w:tcW w:w="1843" w:type="dxa"/>
            <w:tcBorders>
              <w:top w:val="nil"/>
              <w:left w:val="nil"/>
              <w:bottom w:val="nil"/>
              <w:right w:val="nil"/>
            </w:tcBorders>
            <w:shd w:val="clear" w:color="auto" w:fill="auto"/>
            <w:noWrap/>
            <w:vAlign w:val="bottom"/>
            <w:hideMark/>
          </w:tcPr>
          <w:p w14:paraId="7B1D4255"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AIC intercept model</w:t>
            </w:r>
          </w:p>
        </w:tc>
        <w:tc>
          <w:tcPr>
            <w:tcW w:w="1047" w:type="dxa"/>
            <w:tcBorders>
              <w:top w:val="nil"/>
              <w:left w:val="single" w:sz="4" w:space="0" w:color="auto"/>
              <w:bottom w:val="nil"/>
              <w:right w:val="nil"/>
            </w:tcBorders>
            <w:shd w:val="clear" w:color="auto" w:fill="auto"/>
            <w:noWrap/>
            <w:vAlign w:val="bottom"/>
            <w:hideMark/>
          </w:tcPr>
          <w:p w14:paraId="2C86C266"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-767.86</w:t>
            </w:r>
          </w:p>
        </w:tc>
        <w:tc>
          <w:tcPr>
            <w:tcW w:w="672" w:type="dxa"/>
            <w:tcBorders>
              <w:top w:val="nil"/>
              <w:left w:val="nil"/>
              <w:bottom w:val="nil"/>
              <w:right w:val="nil"/>
            </w:tcBorders>
            <w:shd w:val="clear" w:color="auto" w:fill="auto"/>
            <w:noWrap/>
            <w:vAlign w:val="bottom"/>
            <w:hideMark/>
          </w:tcPr>
          <w:p w14:paraId="48DC7EEC"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single" w:sz="4" w:space="0" w:color="auto"/>
            </w:tcBorders>
            <w:shd w:val="clear" w:color="auto" w:fill="auto"/>
            <w:noWrap/>
            <w:vAlign w:val="bottom"/>
            <w:hideMark/>
          </w:tcPr>
          <w:p w14:paraId="4DFE0298"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nil"/>
              <w:right w:val="nil"/>
            </w:tcBorders>
            <w:shd w:val="clear" w:color="auto" w:fill="auto"/>
            <w:noWrap/>
            <w:vAlign w:val="bottom"/>
            <w:hideMark/>
          </w:tcPr>
          <w:p w14:paraId="24B6596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-615.70</w:t>
            </w:r>
          </w:p>
        </w:tc>
        <w:tc>
          <w:tcPr>
            <w:tcW w:w="672" w:type="dxa"/>
            <w:tcBorders>
              <w:top w:val="nil"/>
              <w:left w:val="nil"/>
              <w:bottom w:val="nil"/>
              <w:right w:val="nil"/>
            </w:tcBorders>
            <w:shd w:val="clear" w:color="auto" w:fill="auto"/>
            <w:noWrap/>
            <w:vAlign w:val="bottom"/>
            <w:hideMark/>
          </w:tcPr>
          <w:p w14:paraId="0290E2F8"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0B60050F"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bottom w:val="nil"/>
              <w:right w:val="nil"/>
            </w:tcBorders>
            <w:shd w:val="clear" w:color="auto" w:fill="auto"/>
            <w:noWrap/>
            <w:vAlign w:val="bottom"/>
            <w:hideMark/>
          </w:tcPr>
          <w:p w14:paraId="7DAED66E"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-330.32</w:t>
            </w:r>
          </w:p>
        </w:tc>
        <w:tc>
          <w:tcPr>
            <w:tcW w:w="672" w:type="dxa"/>
            <w:tcBorders>
              <w:top w:val="nil"/>
              <w:left w:val="nil"/>
              <w:bottom w:val="nil"/>
              <w:right w:val="nil"/>
            </w:tcBorders>
            <w:shd w:val="clear" w:color="auto" w:fill="auto"/>
            <w:noWrap/>
            <w:vAlign w:val="bottom"/>
            <w:hideMark/>
          </w:tcPr>
          <w:p w14:paraId="376543D2"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42E7A262"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r w:rsidR="001E2AF5" w:rsidRPr="00966011" w14:paraId="3A068A20" w14:textId="77777777" w:rsidTr="00B63FAC">
        <w:trPr>
          <w:trHeight w:val="300"/>
        </w:trPr>
        <w:tc>
          <w:tcPr>
            <w:tcW w:w="1843" w:type="dxa"/>
            <w:tcBorders>
              <w:top w:val="nil"/>
              <w:left w:val="nil"/>
              <w:bottom w:val="nil"/>
              <w:right w:val="nil"/>
            </w:tcBorders>
            <w:shd w:val="clear" w:color="auto" w:fill="auto"/>
            <w:noWrap/>
            <w:vAlign w:val="bottom"/>
            <w:hideMark/>
          </w:tcPr>
          <w:p w14:paraId="75737A9F"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AIC slope model</w:t>
            </w:r>
          </w:p>
        </w:tc>
        <w:tc>
          <w:tcPr>
            <w:tcW w:w="1047" w:type="dxa"/>
            <w:tcBorders>
              <w:top w:val="nil"/>
              <w:left w:val="single" w:sz="4" w:space="0" w:color="auto"/>
              <w:bottom w:val="nil"/>
              <w:right w:val="nil"/>
            </w:tcBorders>
            <w:shd w:val="clear" w:color="auto" w:fill="auto"/>
            <w:noWrap/>
            <w:vAlign w:val="bottom"/>
            <w:hideMark/>
          </w:tcPr>
          <w:p w14:paraId="6A341EFE"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-761.16</w:t>
            </w:r>
          </w:p>
        </w:tc>
        <w:tc>
          <w:tcPr>
            <w:tcW w:w="672" w:type="dxa"/>
            <w:tcBorders>
              <w:top w:val="nil"/>
              <w:left w:val="nil"/>
              <w:bottom w:val="nil"/>
              <w:right w:val="nil"/>
            </w:tcBorders>
            <w:shd w:val="clear" w:color="auto" w:fill="auto"/>
            <w:noWrap/>
            <w:vAlign w:val="bottom"/>
            <w:hideMark/>
          </w:tcPr>
          <w:p w14:paraId="6C95F294"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single" w:sz="4" w:space="0" w:color="auto"/>
            </w:tcBorders>
            <w:shd w:val="clear" w:color="auto" w:fill="auto"/>
            <w:noWrap/>
            <w:vAlign w:val="bottom"/>
            <w:hideMark/>
          </w:tcPr>
          <w:p w14:paraId="4F87FEB7"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nil"/>
              <w:right w:val="nil"/>
            </w:tcBorders>
            <w:shd w:val="clear" w:color="auto" w:fill="auto"/>
            <w:noWrap/>
            <w:vAlign w:val="bottom"/>
            <w:hideMark/>
          </w:tcPr>
          <w:p w14:paraId="2F43A280"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-609.00</w:t>
            </w:r>
          </w:p>
        </w:tc>
        <w:tc>
          <w:tcPr>
            <w:tcW w:w="672" w:type="dxa"/>
            <w:tcBorders>
              <w:top w:val="nil"/>
              <w:left w:val="nil"/>
              <w:bottom w:val="nil"/>
              <w:right w:val="nil"/>
            </w:tcBorders>
            <w:shd w:val="clear" w:color="auto" w:fill="auto"/>
            <w:noWrap/>
            <w:vAlign w:val="bottom"/>
            <w:hideMark/>
          </w:tcPr>
          <w:p w14:paraId="50BDD12E"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1D0EB2E5"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bottom w:val="nil"/>
              <w:right w:val="nil"/>
            </w:tcBorders>
            <w:shd w:val="clear" w:color="auto" w:fill="auto"/>
            <w:noWrap/>
            <w:vAlign w:val="bottom"/>
            <w:hideMark/>
          </w:tcPr>
          <w:p w14:paraId="57F1C538"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-323.63</w:t>
            </w:r>
          </w:p>
        </w:tc>
        <w:tc>
          <w:tcPr>
            <w:tcW w:w="672" w:type="dxa"/>
            <w:tcBorders>
              <w:top w:val="nil"/>
              <w:left w:val="nil"/>
              <w:bottom w:val="nil"/>
              <w:right w:val="nil"/>
            </w:tcBorders>
            <w:shd w:val="clear" w:color="auto" w:fill="auto"/>
            <w:noWrap/>
            <w:vAlign w:val="bottom"/>
            <w:hideMark/>
          </w:tcPr>
          <w:p w14:paraId="7127E0DD"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21EA713A"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r w:rsidR="001E2AF5" w:rsidRPr="00966011" w14:paraId="7FFCAB24" w14:textId="77777777" w:rsidTr="00B63FAC">
        <w:trPr>
          <w:trHeight w:val="300"/>
        </w:trPr>
        <w:tc>
          <w:tcPr>
            <w:tcW w:w="2890" w:type="dxa"/>
            <w:gridSpan w:val="2"/>
            <w:tcBorders>
              <w:top w:val="single" w:sz="4" w:space="0" w:color="auto"/>
              <w:left w:val="nil"/>
              <w:bottom w:val="single" w:sz="4" w:space="0" w:color="auto"/>
              <w:right w:val="nil"/>
            </w:tcBorders>
            <w:shd w:val="clear" w:color="auto" w:fill="auto"/>
            <w:noWrap/>
            <w:vAlign w:val="bottom"/>
            <w:hideMark/>
          </w:tcPr>
          <w:p w14:paraId="27EDAF1D" w14:textId="77777777" w:rsidR="001E2AF5" w:rsidRPr="00966011" w:rsidRDefault="001E2AF5" w:rsidP="00B63FAC">
            <w:pPr>
              <w:spacing w:after="0" w:line="240" w:lineRule="auto"/>
              <w:rPr>
                <w:rFonts w:ascii="Calibri" w:eastAsia="Times New Roman" w:hAnsi="Calibri" w:cs="Calibri"/>
                <w:i/>
                <w:iCs/>
                <w:color w:val="000000"/>
                <w:sz w:val="20"/>
                <w:szCs w:val="20"/>
                <w:lang w:eastAsia="en-CA"/>
              </w:rPr>
            </w:pPr>
            <w:r w:rsidRPr="00966011">
              <w:rPr>
                <w:rFonts w:ascii="Calibri" w:eastAsia="Times New Roman" w:hAnsi="Calibri" w:cs="Calibri"/>
                <w:i/>
                <w:iCs/>
                <w:color w:val="000000"/>
                <w:sz w:val="20"/>
                <w:szCs w:val="20"/>
                <w:lang w:eastAsia="en-CA"/>
              </w:rPr>
              <w:t xml:space="preserve">Collective </w:t>
            </w:r>
            <w:r w:rsidRPr="001731ED">
              <w:rPr>
                <w:rFonts w:eastAsia="Times New Roman" w:cs="Times New Roman"/>
                <w:i/>
                <w:sz w:val="20"/>
              </w:rPr>
              <w:t>high-quality vigilance</w:t>
            </w:r>
          </w:p>
        </w:tc>
        <w:tc>
          <w:tcPr>
            <w:tcW w:w="672" w:type="dxa"/>
            <w:tcBorders>
              <w:top w:val="single" w:sz="4" w:space="0" w:color="auto"/>
              <w:left w:val="nil"/>
              <w:bottom w:val="single" w:sz="4" w:space="0" w:color="auto"/>
              <w:right w:val="nil"/>
            </w:tcBorders>
            <w:shd w:val="clear" w:color="auto" w:fill="auto"/>
            <w:noWrap/>
            <w:vAlign w:val="bottom"/>
            <w:hideMark/>
          </w:tcPr>
          <w:p w14:paraId="6463BBEE"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single" w:sz="4" w:space="0" w:color="auto"/>
              <w:left w:val="nil"/>
              <w:bottom w:val="single" w:sz="4" w:space="0" w:color="auto"/>
              <w:right w:val="nil"/>
            </w:tcBorders>
            <w:shd w:val="clear" w:color="auto" w:fill="auto"/>
            <w:noWrap/>
            <w:vAlign w:val="bottom"/>
            <w:hideMark/>
          </w:tcPr>
          <w:p w14:paraId="612D95D7"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single" w:sz="4" w:space="0" w:color="auto"/>
              <w:left w:val="nil"/>
              <w:bottom w:val="single" w:sz="4" w:space="0" w:color="auto"/>
              <w:right w:val="nil"/>
            </w:tcBorders>
            <w:shd w:val="clear" w:color="auto" w:fill="auto"/>
            <w:noWrap/>
            <w:vAlign w:val="bottom"/>
            <w:hideMark/>
          </w:tcPr>
          <w:p w14:paraId="2CDA4707"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672" w:type="dxa"/>
            <w:tcBorders>
              <w:top w:val="single" w:sz="4" w:space="0" w:color="auto"/>
              <w:left w:val="nil"/>
              <w:bottom w:val="single" w:sz="4" w:space="0" w:color="auto"/>
              <w:right w:val="nil"/>
            </w:tcBorders>
            <w:shd w:val="clear" w:color="auto" w:fill="auto"/>
            <w:noWrap/>
            <w:vAlign w:val="bottom"/>
            <w:hideMark/>
          </w:tcPr>
          <w:p w14:paraId="4CE39CED"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single" w:sz="4" w:space="0" w:color="auto"/>
              <w:left w:val="nil"/>
              <w:bottom w:val="single" w:sz="4" w:space="0" w:color="auto"/>
              <w:right w:val="nil"/>
            </w:tcBorders>
            <w:shd w:val="clear" w:color="auto" w:fill="auto"/>
            <w:noWrap/>
            <w:vAlign w:val="bottom"/>
            <w:hideMark/>
          </w:tcPr>
          <w:p w14:paraId="53081194"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1060" w:type="dxa"/>
            <w:tcBorders>
              <w:top w:val="single" w:sz="4" w:space="0" w:color="auto"/>
              <w:left w:val="nil"/>
              <w:bottom w:val="single" w:sz="4" w:space="0" w:color="auto"/>
              <w:right w:val="nil"/>
            </w:tcBorders>
            <w:shd w:val="clear" w:color="auto" w:fill="auto"/>
            <w:noWrap/>
            <w:vAlign w:val="bottom"/>
            <w:hideMark/>
          </w:tcPr>
          <w:p w14:paraId="779740AA"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672" w:type="dxa"/>
            <w:tcBorders>
              <w:top w:val="single" w:sz="4" w:space="0" w:color="auto"/>
              <w:left w:val="nil"/>
              <w:bottom w:val="single" w:sz="4" w:space="0" w:color="auto"/>
              <w:right w:val="nil"/>
            </w:tcBorders>
            <w:shd w:val="clear" w:color="auto" w:fill="auto"/>
            <w:noWrap/>
            <w:vAlign w:val="bottom"/>
            <w:hideMark/>
          </w:tcPr>
          <w:p w14:paraId="0098BB2A"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775" w:type="dxa"/>
            <w:tcBorders>
              <w:top w:val="single" w:sz="4" w:space="0" w:color="auto"/>
              <w:left w:val="nil"/>
              <w:bottom w:val="single" w:sz="4" w:space="0" w:color="auto"/>
              <w:right w:val="nil"/>
            </w:tcBorders>
            <w:shd w:val="clear" w:color="auto" w:fill="auto"/>
            <w:noWrap/>
            <w:vAlign w:val="bottom"/>
            <w:hideMark/>
          </w:tcPr>
          <w:p w14:paraId="7E50E20B"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r>
      <w:tr w:rsidR="001E2AF5" w:rsidRPr="00966011" w14:paraId="537C8735" w14:textId="77777777" w:rsidTr="00B63FAC">
        <w:trPr>
          <w:trHeight w:val="300"/>
        </w:trPr>
        <w:tc>
          <w:tcPr>
            <w:tcW w:w="1843" w:type="dxa"/>
            <w:tcBorders>
              <w:top w:val="nil"/>
              <w:left w:val="nil"/>
              <w:bottom w:val="nil"/>
              <w:right w:val="nil"/>
            </w:tcBorders>
            <w:shd w:val="clear" w:color="auto" w:fill="auto"/>
            <w:noWrap/>
            <w:vAlign w:val="bottom"/>
            <w:hideMark/>
          </w:tcPr>
          <w:p w14:paraId="1B3E8615"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Intercept</w:t>
            </w:r>
          </w:p>
        </w:tc>
        <w:tc>
          <w:tcPr>
            <w:tcW w:w="1047" w:type="dxa"/>
            <w:tcBorders>
              <w:top w:val="nil"/>
              <w:left w:val="single" w:sz="4" w:space="0" w:color="auto"/>
              <w:bottom w:val="nil"/>
              <w:right w:val="nil"/>
            </w:tcBorders>
            <w:shd w:val="clear" w:color="auto" w:fill="auto"/>
            <w:noWrap/>
            <w:vAlign w:val="bottom"/>
            <w:hideMark/>
          </w:tcPr>
          <w:p w14:paraId="48AA8CCD"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0.585</w:t>
            </w:r>
          </w:p>
        </w:tc>
        <w:tc>
          <w:tcPr>
            <w:tcW w:w="672" w:type="dxa"/>
            <w:tcBorders>
              <w:top w:val="nil"/>
              <w:left w:val="nil"/>
              <w:bottom w:val="nil"/>
              <w:right w:val="nil"/>
            </w:tcBorders>
            <w:shd w:val="clear" w:color="auto" w:fill="auto"/>
            <w:noWrap/>
            <w:vAlign w:val="bottom"/>
            <w:hideMark/>
          </w:tcPr>
          <w:p w14:paraId="51E85EA7"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0.108</w:t>
            </w:r>
          </w:p>
        </w:tc>
        <w:tc>
          <w:tcPr>
            <w:tcW w:w="775" w:type="dxa"/>
            <w:tcBorders>
              <w:top w:val="nil"/>
              <w:left w:val="nil"/>
              <w:bottom w:val="nil"/>
              <w:right w:val="single" w:sz="4" w:space="0" w:color="auto"/>
            </w:tcBorders>
            <w:shd w:val="clear" w:color="auto" w:fill="auto"/>
            <w:noWrap/>
            <w:vAlign w:val="bottom"/>
            <w:hideMark/>
          </w:tcPr>
          <w:p w14:paraId="5A83FFC3" w14:textId="77777777" w:rsidR="001E2AF5" w:rsidRPr="00966011" w:rsidRDefault="001E2AF5" w:rsidP="00B63FAC">
            <w:pPr>
              <w:spacing w:after="0" w:line="240" w:lineRule="auto"/>
              <w:rPr>
                <w:rFonts w:ascii="Calibri" w:eastAsia="Times New Roman" w:hAnsi="Calibri" w:cs="Calibri"/>
                <w:b/>
                <w:bCs/>
                <w:color w:val="000000"/>
                <w:sz w:val="20"/>
                <w:szCs w:val="20"/>
                <w:lang w:eastAsia="en-CA"/>
              </w:rPr>
            </w:pPr>
            <w:r w:rsidRPr="00966011">
              <w:rPr>
                <w:rFonts w:ascii="Calibri" w:eastAsia="Times New Roman" w:hAnsi="Calibri" w:cs="Calibri"/>
                <w:b/>
                <w:bCs/>
                <w:color w:val="000000"/>
                <w:sz w:val="20"/>
                <w:szCs w:val="20"/>
                <w:lang w:eastAsia="en-CA"/>
              </w:rPr>
              <w:t>&lt;0.001</w:t>
            </w:r>
          </w:p>
        </w:tc>
        <w:tc>
          <w:tcPr>
            <w:tcW w:w="943" w:type="dxa"/>
            <w:tcBorders>
              <w:top w:val="nil"/>
              <w:left w:val="nil"/>
              <w:bottom w:val="nil"/>
              <w:right w:val="nil"/>
            </w:tcBorders>
            <w:shd w:val="clear" w:color="auto" w:fill="auto"/>
            <w:noWrap/>
            <w:vAlign w:val="bottom"/>
            <w:hideMark/>
          </w:tcPr>
          <w:p w14:paraId="14F7C68A"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0.598</w:t>
            </w:r>
          </w:p>
        </w:tc>
        <w:tc>
          <w:tcPr>
            <w:tcW w:w="672" w:type="dxa"/>
            <w:tcBorders>
              <w:top w:val="nil"/>
              <w:left w:val="nil"/>
              <w:bottom w:val="nil"/>
              <w:right w:val="nil"/>
            </w:tcBorders>
            <w:shd w:val="clear" w:color="auto" w:fill="auto"/>
            <w:noWrap/>
            <w:vAlign w:val="bottom"/>
            <w:hideMark/>
          </w:tcPr>
          <w:p w14:paraId="008868CA"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0.071</w:t>
            </w:r>
          </w:p>
        </w:tc>
        <w:tc>
          <w:tcPr>
            <w:tcW w:w="775" w:type="dxa"/>
            <w:tcBorders>
              <w:top w:val="nil"/>
              <w:left w:val="nil"/>
              <w:bottom w:val="nil"/>
              <w:right w:val="nil"/>
            </w:tcBorders>
            <w:shd w:val="clear" w:color="auto" w:fill="auto"/>
            <w:noWrap/>
            <w:vAlign w:val="bottom"/>
            <w:hideMark/>
          </w:tcPr>
          <w:p w14:paraId="0C28B9E5" w14:textId="77777777" w:rsidR="001E2AF5" w:rsidRPr="00966011" w:rsidRDefault="001E2AF5" w:rsidP="00B63FAC">
            <w:pPr>
              <w:spacing w:after="0" w:line="240" w:lineRule="auto"/>
              <w:rPr>
                <w:rFonts w:ascii="Calibri" w:eastAsia="Times New Roman" w:hAnsi="Calibri" w:cs="Calibri"/>
                <w:b/>
                <w:bCs/>
                <w:color w:val="000000"/>
                <w:sz w:val="20"/>
                <w:szCs w:val="20"/>
                <w:lang w:eastAsia="en-CA"/>
              </w:rPr>
            </w:pPr>
            <w:r w:rsidRPr="00966011">
              <w:rPr>
                <w:rFonts w:ascii="Calibri" w:eastAsia="Times New Roman" w:hAnsi="Calibri" w:cs="Calibri"/>
                <w:b/>
                <w:bCs/>
                <w:color w:val="000000"/>
                <w:sz w:val="20"/>
                <w:szCs w:val="20"/>
                <w:lang w:eastAsia="en-CA"/>
              </w:rPr>
              <w:t>&lt;0.001</w:t>
            </w:r>
          </w:p>
        </w:tc>
        <w:tc>
          <w:tcPr>
            <w:tcW w:w="1060" w:type="dxa"/>
            <w:tcBorders>
              <w:top w:val="nil"/>
              <w:left w:val="single" w:sz="4" w:space="0" w:color="auto"/>
              <w:bottom w:val="nil"/>
              <w:right w:val="nil"/>
            </w:tcBorders>
            <w:shd w:val="clear" w:color="auto" w:fill="auto"/>
            <w:noWrap/>
            <w:vAlign w:val="bottom"/>
            <w:hideMark/>
          </w:tcPr>
          <w:p w14:paraId="117035A0"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0.615</w:t>
            </w:r>
          </w:p>
        </w:tc>
        <w:tc>
          <w:tcPr>
            <w:tcW w:w="672" w:type="dxa"/>
            <w:tcBorders>
              <w:top w:val="nil"/>
              <w:left w:val="nil"/>
              <w:bottom w:val="nil"/>
              <w:right w:val="nil"/>
            </w:tcBorders>
            <w:shd w:val="clear" w:color="auto" w:fill="auto"/>
            <w:noWrap/>
            <w:vAlign w:val="bottom"/>
            <w:hideMark/>
          </w:tcPr>
          <w:p w14:paraId="18C5F948"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0.075</w:t>
            </w:r>
          </w:p>
        </w:tc>
        <w:tc>
          <w:tcPr>
            <w:tcW w:w="775" w:type="dxa"/>
            <w:tcBorders>
              <w:top w:val="nil"/>
              <w:left w:val="nil"/>
              <w:bottom w:val="nil"/>
              <w:right w:val="nil"/>
            </w:tcBorders>
            <w:shd w:val="clear" w:color="auto" w:fill="auto"/>
            <w:noWrap/>
            <w:vAlign w:val="bottom"/>
            <w:hideMark/>
          </w:tcPr>
          <w:p w14:paraId="7DF8F92F" w14:textId="77777777" w:rsidR="001E2AF5" w:rsidRPr="00966011" w:rsidRDefault="001E2AF5" w:rsidP="00B63FAC">
            <w:pPr>
              <w:spacing w:after="0" w:line="240" w:lineRule="auto"/>
              <w:rPr>
                <w:rFonts w:ascii="Calibri" w:eastAsia="Times New Roman" w:hAnsi="Calibri" w:cs="Calibri"/>
                <w:b/>
                <w:bCs/>
                <w:color w:val="000000"/>
                <w:sz w:val="20"/>
                <w:szCs w:val="20"/>
                <w:lang w:eastAsia="en-CA"/>
              </w:rPr>
            </w:pPr>
            <w:r w:rsidRPr="00966011">
              <w:rPr>
                <w:rFonts w:ascii="Calibri" w:eastAsia="Times New Roman" w:hAnsi="Calibri" w:cs="Calibri"/>
                <w:b/>
                <w:bCs/>
                <w:color w:val="000000"/>
                <w:sz w:val="20"/>
                <w:szCs w:val="20"/>
                <w:lang w:eastAsia="en-CA"/>
              </w:rPr>
              <w:t>&lt;0.001</w:t>
            </w:r>
          </w:p>
        </w:tc>
      </w:tr>
      <w:tr w:rsidR="001E2AF5" w:rsidRPr="00966011" w14:paraId="666C1002" w14:textId="77777777" w:rsidTr="00B63FAC">
        <w:trPr>
          <w:trHeight w:val="300"/>
        </w:trPr>
        <w:tc>
          <w:tcPr>
            <w:tcW w:w="1843" w:type="dxa"/>
            <w:tcBorders>
              <w:top w:val="nil"/>
              <w:left w:val="nil"/>
              <w:bottom w:val="nil"/>
              <w:right w:val="nil"/>
            </w:tcBorders>
            <w:shd w:val="clear" w:color="auto" w:fill="auto"/>
            <w:noWrap/>
            <w:vAlign w:val="bottom"/>
            <w:hideMark/>
          </w:tcPr>
          <w:p w14:paraId="6B5BD98A"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Slope</w:t>
            </w:r>
          </w:p>
        </w:tc>
        <w:tc>
          <w:tcPr>
            <w:tcW w:w="1047" w:type="dxa"/>
            <w:tcBorders>
              <w:top w:val="nil"/>
              <w:left w:val="single" w:sz="4" w:space="0" w:color="auto"/>
              <w:bottom w:val="nil"/>
              <w:right w:val="nil"/>
            </w:tcBorders>
            <w:shd w:val="clear" w:color="auto" w:fill="auto"/>
            <w:noWrap/>
            <w:vAlign w:val="bottom"/>
            <w:hideMark/>
          </w:tcPr>
          <w:p w14:paraId="3DB56271"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0.006</w:t>
            </w:r>
          </w:p>
        </w:tc>
        <w:tc>
          <w:tcPr>
            <w:tcW w:w="672" w:type="dxa"/>
            <w:tcBorders>
              <w:top w:val="nil"/>
              <w:left w:val="nil"/>
              <w:bottom w:val="nil"/>
              <w:right w:val="nil"/>
            </w:tcBorders>
            <w:shd w:val="clear" w:color="auto" w:fill="auto"/>
            <w:noWrap/>
            <w:vAlign w:val="bottom"/>
            <w:hideMark/>
          </w:tcPr>
          <w:p w14:paraId="728E64AF"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0.399</w:t>
            </w:r>
          </w:p>
        </w:tc>
        <w:tc>
          <w:tcPr>
            <w:tcW w:w="775" w:type="dxa"/>
            <w:tcBorders>
              <w:top w:val="nil"/>
              <w:left w:val="nil"/>
              <w:bottom w:val="nil"/>
              <w:right w:val="single" w:sz="4" w:space="0" w:color="auto"/>
            </w:tcBorders>
            <w:shd w:val="clear" w:color="auto" w:fill="auto"/>
            <w:noWrap/>
            <w:vAlign w:val="bottom"/>
            <w:hideMark/>
          </w:tcPr>
          <w:p w14:paraId="5BB99365"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0.99</w:t>
            </w:r>
          </w:p>
        </w:tc>
        <w:tc>
          <w:tcPr>
            <w:tcW w:w="943" w:type="dxa"/>
            <w:tcBorders>
              <w:top w:val="nil"/>
              <w:left w:val="nil"/>
              <w:bottom w:val="nil"/>
              <w:right w:val="nil"/>
            </w:tcBorders>
            <w:shd w:val="clear" w:color="auto" w:fill="auto"/>
            <w:noWrap/>
            <w:vAlign w:val="bottom"/>
            <w:hideMark/>
          </w:tcPr>
          <w:p w14:paraId="7958736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0.023</w:t>
            </w:r>
          </w:p>
        </w:tc>
        <w:tc>
          <w:tcPr>
            <w:tcW w:w="672" w:type="dxa"/>
            <w:tcBorders>
              <w:top w:val="nil"/>
              <w:left w:val="nil"/>
              <w:bottom w:val="nil"/>
              <w:right w:val="nil"/>
            </w:tcBorders>
            <w:shd w:val="clear" w:color="auto" w:fill="auto"/>
            <w:noWrap/>
            <w:vAlign w:val="bottom"/>
            <w:hideMark/>
          </w:tcPr>
          <w:p w14:paraId="51508EA9"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0.007</w:t>
            </w:r>
          </w:p>
        </w:tc>
        <w:tc>
          <w:tcPr>
            <w:tcW w:w="775" w:type="dxa"/>
            <w:tcBorders>
              <w:top w:val="nil"/>
              <w:left w:val="nil"/>
              <w:bottom w:val="nil"/>
              <w:right w:val="nil"/>
            </w:tcBorders>
            <w:shd w:val="clear" w:color="auto" w:fill="auto"/>
            <w:noWrap/>
            <w:vAlign w:val="bottom"/>
            <w:hideMark/>
          </w:tcPr>
          <w:p w14:paraId="1A7DCBA1" w14:textId="77777777" w:rsidR="001E2AF5" w:rsidRPr="00966011" w:rsidRDefault="001E2AF5" w:rsidP="00B63FAC">
            <w:pPr>
              <w:spacing w:after="0" w:line="240" w:lineRule="auto"/>
              <w:jc w:val="right"/>
              <w:rPr>
                <w:rFonts w:ascii="Calibri" w:eastAsia="Times New Roman" w:hAnsi="Calibri" w:cs="Calibri"/>
                <w:b/>
                <w:bCs/>
                <w:color w:val="000000"/>
                <w:sz w:val="20"/>
                <w:szCs w:val="20"/>
                <w:lang w:eastAsia="en-CA"/>
              </w:rPr>
            </w:pPr>
            <w:r w:rsidRPr="00966011">
              <w:rPr>
                <w:rFonts w:ascii="Calibri" w:eastAsia="Times New Roman" w:hAnsi="Calibri" w:cs="Calibri"/>
                <w:b/>
                <w:bCs/>
                <w:color w:val="000000"/>
                <w:sz w:val="20"/>
                <w:szCs w:val="20"/>
                <w:lang w:eastAsia="en-CA"/>
              </w:rPr>
              <w:t>0.002</w:t>
            </w:r>
          </w:p>
        </w:tc>
        <w:tc>
          <w:tcPr>
            <w:tcW w:w="1060" w:type="dxa"/>
            <w:tcBorders>
              <w:top w:val="nil"/>
              <w:left w:val="single" w:sz="4" w:space="0" w:color="auto"/>
              <w:bottom w:val="nil"/>
              <w:right w:val="nil"/>
            </w:tcBorders>
            <w:shd w:val="clear" w:color="auto" w:fill="auto"/>
            <w:noWrap/>
            <w:vAlign w:val="bottom"/>
            <w:hideMark/>
          </w:tcPr>
          <w:p w14:paraId="66F997FB"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0.038</w:t>
            </w:r>
          </w:p>
        </w:tc>
        <w:tc>
          <w:tcPr>
            <w:tcW w:w="672" w:type="dxa"/>
            <w:tcBorders>
              <w:top w:val="nil"/>
              <w:left w:val="nil"/>
              <w:bottom w:val="nil"/>
              <w:right w:val="nil"/>
            </w:tcBorders>
            <w:shd w:val="clear" w:color="auto" w:fill="auto"/>
            <w:noWrap/>
            <w:vAlign w:val="bottom"/>
            <w:hideMark/>
          </w:tcPr>
          <w:p w14:paraId="104876BE"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0.012</w:t>
            </w:r>
          </w:p>
        </w:tc>
        <w:tc>
          <w:tcPr>
            <w:tcW w:w="775" w:type="dxa"/>
            <w:tcBorders>
              <w:top w:val="nil"/>
              <w:left w:val="nil"/>
              <w:bottom w:val="nil"/>
              <w:right w:val="nil"/>
            </w:tcBorders>
            <w:shd w:val="clear" w:color="auto" w:fill="auto"/>
            <w:noWrap/>
            <w:vAlign w:val="bottom"/>
            <w:hideMark/>
          </w:tcPr>
          <w:p w14:paraId="4700027B" w14:textId="77777777" w:rsidR="001E2AF5" w:rsidRPr="00966011" w:rsidRDefault="001E2AF5" w:rsidP="00B63FAC">
            <w:pPr>
              <w:spacing w:after="0" w:line="240" w:lineRule="auto"/>
              <w:jc w:val="right"/>
              <w:rPr>
                <w:rFonts w:ascii="Calibri" w:eastAsia="Times New Roman" w:hAnsi="Calibri" w:cs="Calibri"/>
                <w:b/>
                <w:bCs/>
                <w:color w:val="000000"/>
                <w:sz w:val="20"/>
                <w:szCs w:val="20"/>
                <w:lang w:eastAsia="en-CA"/>
              </w:rPr>
            </w:pPr>
            <w:r w:rsidRPr="00966011">
              <w:rPr>
                <w:rFonts w:ascii="Calibri" w:eastAsia="Times New Roman" w:hAnsi="Calibri" w:cs="Calibri"/>
                <w:b/>
                <w:bCs/>
                <w:color w:val="000000"/>
                <w:sz w:val="20"/>
                <w:szCs w:val="20"/>
                <w:lang w:eastAsia="en-CA"/>
              </w:rPr>
              <w:t>0.003</w:t>
            </w:r>
          </w:p>
        </w:tc>
      </w:tr>
      <w:tr w:rsidR="001E2AF5" w:rsidRPr="00966011" w14:paraId="7AB676AC" w14:textId="77777777" w:rsidTr="00B63FAC">
        <w:trPr>
          <w:trHeight w:val="300"/>
        </w:trPr>
        <w:tc>
          <w:tcPr>
            <w:tcW w:w="1843" w:type="dxa"/>
            <w:tcBorders>
              <w:top w:val="nil"/>
              <w:left w:val="nil"/>
              <w:bottom w:val="nil"/>
              <w:right w:val="nil"/>
            </w:tcBorders>
            <w:shd w:val="clear" w:color="auto" w:fill="auto"/>
            <w:noWrap/>
            <w:vAlign w:val="bottom"/>
            <w:hideMark/>
          </w:tcPr>
          <w:p w14:paraId="5AAF0912"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ICC</w:t>
            </w:r>
          </w:p>
        </w:tc>
        <w:tc>
          <w:tcPr>
            <w:tcW w:w="1047" w:type="dxa"/>
            <w:tcBorders>
              <w:top w:val="nil"/>
              <w:left w:val="single" w:sz="4" w:space="0" w:color="auto"/>
              <w:bottom w:val="nil"/>
              <w:right w:val="nil"/>
            </w:tcBorders>
            <w:shd w:val="clear" w:color="auto" w:fill="auto"/>
            <w:noWrap/>
            <w:vAlign w:val="bottom"/>
            <w:hideMark/>
          </w:tcPr>
          <w:p w14:paraId="07FBEA68"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0.61</w:t>
            </w:r>
          </w:p>
        </w:tc>
        <w:tc>
          <w:tcPr>
            <w:tcW w:w="672" w:type="dxa"/>
            <w:tcBorders>
              <w:top w:val="nil"/>
              <w:left w:val="nil"/>
              <w:bottom w:val="nil"/>
              <w:right w:val="nil"/>
            </w:tcBorders>
            <w:shd w:val="clear" w:color="auto" w:fill="auto"/>
            <w:noWrap/>
            <w:vAlign w:val="bottom"/>
            <w:hideMark/>
          </w:tcPr>
          <w:p w14:paraId="665C5CB7"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single" w:sz="4" w:space="0" w:color="auto"/>
            </w:tcBorders>
            <w:shd w:val="clear" w:color="auto" w:fill="auto"/>
            <w:noWrap/>
            <w:vAlign w:val="bottom"/>
            <w:hideMark/>
          </w:tcPr>
          <w:p w14:paraId="005DB685"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nil"/>
              <w:right w:val="nil"/>
            </w:tcBorders>
            <w:shd w:val="clear" w:color="auto" w:fill="auto"/>
            <w:noWrap/>
            <w:vAlign w:val="bottom"/>
            <w:hideMark/>
          </w:tcPr>
          <w:p w14:paraId="262FBE38"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0.704</w:t>
            </w:r>
          </w:p>
        </w:tc>
        <w:tc>
          <w:tcPr>
            <w:tcW w:w="672" w:type="dxa"/>
            <w:tcBorders>
              <w:top w:val="nil"/>
              <w:left w:val="nil"/>
              <w:bottom w:val="nil"/>
              <w:right w:val="nil"/>
            </w:tcBorders>
            <w:shd w:val="clear" w:color="auto" w:fill="auto"/>
            <w:noWrap/>
            <w:vAlign w:val="bottom"/>
            <w:hideMark/>
          </w:tcPr>
          <w:p w14:paraId="10A14323"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159960F2"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bottom w:val="nil"/>
              <w:right w:val="nil"/>
            </w:tcBorders>
            <w:shd w:val="clear" w:color="auto" w:fill="auto"/>
            <w:noWrap/>
            <w:vAlign w:val="bottom"/>
            <w:hideMark/>
          </w:tcPr>
          <w:p w14:paraId="3828E57A"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0.647</w:t>
            </w:r>
          </w:p>
        </w:tc>
        <w:tc>
          <w:tcPr>
            <w:tcW w:w="672" w:type="dxa"/>
            <w:tcBorders>
              <w:top w:val="nil"/>
              <w:left w:val="nil"/>
              <w:bottom w:val="nil"/>
              <w:right w:val="nil"/>
            </w:tcBorders>
            <w:shd w:val="clear" w:color="auto" w:fill="auto"/>
            <w:noWrap/>
            <w:vAlign w:val="bottom"/>
            <w:hideMark/>
          </w:tcPr>
          <w:p w14:paraId="13F850B1"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nil"/>
              <w:right w:val="nil"/>
            </w:tcBorders>
            <w:shd w:val="clear" w:color="auto" w:fill="auto"/>
            <w:noWrap/>
            <w:vAlign w:val="bottom"/>
            <w:hideMark/>
          </w:tcPr>
          <w:p w14:paraId="383C41D6"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r w:rsidR="001E2AF5" w:rsidRPr="00966011" w14:paraId="26117189" w14:textId="77777777" w:rsidTr="00B63FAC">
        <w:trPr>
          <w:trHeight w:val="300"/>
        </w:trPr>
        <w:tc>
          <w:tcPr>
            <w:tcW w:w="1843" w:type="dxa"/>
            <w:tcBorders>
              <w:top w:val="nil"/>
              <w:left w:val="nil"/>
              <w:right w:val="nil"/>
            </w:tcBorders>
            <w:shd w:val="clear" w:color="auto" w:fill="auto"/>
            <w:noWrap/>
            <w:vAlign w:val="bottom"/>
            <w:hideMark/>
          </w:tcPr>
          <w:p w14:paraId="44F38CB6"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AIC intercept model</w:t>
            </w:r>
          </w:p>
        </w:tc>
        <w:tc>
          <w:tcPr>
            <w:tcW w:w="1047" w:type="dxa"/>
            <w:tcBorders>
              <w:top w:val="nil"/>
              <w:left w:val="single" w:sz="4" w:space="0" w:color="auto"/>
              <w:right w:val="nil"/>
            </w:tcBorders>
            <w:shd w:val="clear" w:color="auto" w:fill="auto"/>
            <w:noWrap/>
            <w:vAlign w:val="bottom"/>
            <w:hideMark/>
          </w:tcPr>
          <w:p w14:paraId="4E69EF11"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-16.52</w:t>
            </w:r>
          </w:p>
        </w:tc>
        <w:tc>
          <w:tcPr>
            <w:tcW w:w="672" w:type="dxa"/>
            <w:tcBorders>
              <w:top w:val="nil"/>
              <w:left w:val="nil"/>
              <w:right w:val="nil"/>
            </w:tcBorders>
            <w:shd w:val="clear" w:color="auto" w:fill="auto"/>
            <w:noWrap/>
            <w:vAlign w:val="bottom"/>
            <w:hideMark/>
          </w:tcPr>
          <w:p w14:paraId="51054DEB"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right w:val="single" w:sz="4" w:space="0" w:color="auto"/>
            </w:tcBorders>
            <w:shd w:val="clear" w:color="auto" w:fill="auto"/>
            <w:noWrap/>
            <w:vAlign w:val="bottom"/>
            <w:hideMark/>
          </w:tcPr>
          <w:p w14:paraId="538B1C0B"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right w:val="nil"/>
            </w:tcBorders>
            <w:shd w:val="clear" w:color="auto" w:fill="auto"/>
            <w:noWrap/>
            <w:vAlign w:val="bottom"/>
            <w:hideMark/>
          </w:tcPr>
          <w:p w14:paraId="1ABFAC83"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-99.19</w:t>
            </w:r>
          </w:p>
        </w:tc>
        <w:tc>
          <w:tcPr>
            <w:tcW w:w="672" w:type="dxa"/>
            <w:tcBorders>
              <w:top w:val="nil"/>
              <w:left w:val="nil"/>
              <w:right w:val="nil"/>
            </w:tcBorders>
            <w:shd w:val="clear" w:color="auto" w:fill="auto"/>
            <w:noWrap/>
            <w:vAlign w:val="bottom"/>
            <w:hideMark/>
          </w:tcPr>
          <w:p w14:paraId="4649E140"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right w:val="nil"/>
            </w:tcBorders>
            <w:shd w:val="clear" w:color="auto" w:fill="auto"/>
            <w:noWrap/>
            <w:vAlign w:val="bottom"/>
            <w:hideMark/>
          </w:tcPr>
          <w:p w14:paraId="1B532EEA"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right w:val="nil"/>
            </w:tcBorders>
            <w:shd w:val="clear" w:color="auto" w:fill="auto"/>
            <w:noWrap/>
            <w:vAlign w:val="bottom"/>
            <w:hideMark/>
          </w:tcPr>
          <w:p w14:paraId="613B989A"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-68.35</w:t>
            </w:r>
          </w:p>
        </w:tc>
        <w:tc>
          <w:tcPr>
            <w:tcW w:w="672" w:type="dxa"/>
            <w:tcBorders>
              <w:top w:val="nil"/>
              <w:left w:val="nil"/>
              <w:right w:val="nil"/>
            </w:tcBorders>
            <w:shd w:val="clear" w:color="auto" w:fill="auto"/>
            <w:noWrap/>
            <w:vAlign w:val="bottom"/>
            <w:hideMark/>
          </w:tcPr>
          <w:p w14:paraId="465A44BB"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right w:val="nil"/>
            </w:tcBorders>
            <w:shd w:val="clear" w:color="auto" w:fill="auto"/>
            <w:noWrap/>
            <w:vAlign w:val="bottom"/>
            <w:hideMark/>
          </w:tcPr>
          <w:p w14:paraId="100B8C48"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r w:rsidR="001E2AF5" w:rsidRPr="00966011" w14:paraId="15D56EE6" w14:textId="77777777" w:rsidTr="00B63FAC">
        <w:trPr>
          <w:trHeight w:val="300"/>
        </w:trPr>
        <w:tc>
          <w:tcPr>
            <w:tcW w:w="1843" w:type="dxa"/>
            <w:tcBorders>
              <w:top w:val="nil"/>
              <w:left w:val="nil"/>
              <w:bottom w:val="single" w:sz="4" w:space="0" w:color="auto"/>
              <w:right w:val="nil"/>
            </w:tcBorders>
            <w:shd w:val="clear" w:color="auto" w:fill="auto"/>
            <w:noWrap/>
            <w:vAlign w:val="bottom"/>
            <w:hideMark/>
          </w:tcPr>
          <w:p w14:paraId="063D6446"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AIC slope model</w:t>
            </w:r>
          </w:p>
        </w:tc>
        <w:tc>
          <w:tcPr>
            <w:tcW w:w="1047" w:type="dxa"/>
            <w:tcBorders>
              <w:top w:val="nil"/>
              <w:left w:val="single" w:sz="4" w:space="0" w:color="auto"/>
              <w:bottom w:val="single" w:sz="4" w:space="0" w:color="auto"/>
              <w:right w:val="nil"/>
            </w:tcBorders>
            <w:shd w:val="clear" w:color="auto" w:fill="auto"/>
            <w:noWrap/>
            <w:vAlign w:val="bottom"/>
            <w:hideMark/>
          </w:tcPr>
          <w:p w14:paraId="7C3C7A30"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-9.82</w:t>
            </w:r>
          </w:p>
        </w:tc>
        <w:tc>
          <w:tcPr>
            <w:tcW w:w="672" w:type="dxa"/>
            <w:tcBorders>
              <w:top w:val="nil"/>
              <w:left w:val="nil"/>
              <w:bottom w:val="single" w:sz="4" w:space="0" w:color="auto"/>
              <w:right w:val="nil"/>
            </w:tcBorders>
            <w:shd w:val="clear" w:color="auto" w:fill="auto"/>
            <w:noWrap/>
            <w:vAlign w:val="bottom"/>
            <w:hideMark/>
          </w:tcPr>
          <w:p w14:paraId="37287C73"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single" w:sz="4" w:space="0" w:color="auto"/>
              <w:right w:val="single" w:sz="4" w:space="0" w:color="auto"/>
            </w:tcBorders>
            <w:shd w:val="clear" w:color="auto" w:fill="auto"/>
            <w:noWrap/>
            <w:vAlign w:val="bottom"/>
            <w:hideMark/>
          </w:tcPr>
          <w:p w14:paraId="273B08BE" w14:textId="77777777" w:rsidR="001E2AF5" w:rsidRPr="00966011" w:rsidRDefault="001E2AF5" w:rsidP="00B63FAC">
            <w:pPr>
              <w:spacing w:after="0" w:line="240" w:lineRule="auto"/>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 </w:t>
            </w:r>
          </w:p>
        </w:tc>
        <w:tc>
          <w:tcPr>
            <w:tcW w:w="943" w:type="dxa"/>
            <w:tcBorders>
              <w:top w:val="nil"/>
              <w:left w:val="nil"/>
              <w:bottom w:val="single" w:sz="4" w:space="0" w:color="auto"/>
              <w:right w:val="nil"/>
            </w:tcBorders>
            <w:shd w:val="clear" w:color="auto" w:fill="auto"/>
            <w:noWrap/>
            <w:vAlign w:val="bottom"/>
            <w:hideMark/>
          </w:tcPr>
          <w:p w14:paraId="1ECB2702"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-92.49</w:t>
            </w:r>
          </w:p>
        </w:tc>
        <w:tc>
          <w:tcPr>
            <w:tcW w:w="672" w:type="dxa"/>
            <w:tcBorders>
              <w:top w:val="nil"/>
              <w:left w:val="nil"/>
              <w:bottom w:val="single" w:sz="4" w:space="0" w:color="auto"/>
              <w:right w:val="nil"/>
            </w:tcBorders>
            <w:shd w:val="clear" w:color="auto" w:fill="auto"/>
            <w:noWrap/>
            <w:vAlign w:val="bottom"/>
            <w:hideMark/>
          </w:tcPr>
          <w:p w14:paraId="72A4443A"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single" w:sz="4" w:space="0" w:color="auto"/>
              <w:right w:val="nil"/>
            </w:tcBorders>
            <w:shd w:val="clear" w:color="auto" w:fill="auto"/>
            <w:noWrap/>
            <w:vAlign w:val="bottom"/>
            <w:hideMark/>
          </w:tcPr>
          <w:p w14:paraId="22DA505F"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c>
          <w:tcPr>
            <w:tcW w:w="1060" w:type="dxa"/>
            <w:tcBorders>
              <w:top w:val="nil"/>
              <w:left w:val="single" w:sz="4" w:space="0" w:color="auto"/>
              <w:bottom w:val="single" w:sz="4" w:space="0" w:color="auto"/>
              <w:right w:val="nil"/>
            </w:tcBorders>
            <w:shd w:val="clear" w:color="auto" w:fill="auto"/>
            <w:noWrap/>
            <w:vAlign w:val="bottom"/>
            <w:hideMark/>
          </w:tcPr>
          <w:p w14:paraId="2C4A042F"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r w:rsidRPr="00966011">
              <w:rPr>
                <w:rFonts w:ascii="Calibri" w:eastAsia="Times New Roman" w:hAnsi="Calibri" w:cs="Calibri"/>
                <w:color w:val="000000"/>
                <w:sz w:val="20"/>
                <w:szCs w:val="20"/>
                <w:lang w:eastAsia="en-CA"/>
              </w:rPr>
              <w:t>-61.66</w:t>
            </w:r>
          </w:p>
        </w:tc>
        <w:tc>
          <w:tcPr>
            <w:tcW w:w="672" w:type="dxa"/>
            <w:tcBorders>
              <w:top w:val="nil"/>
              <w:left w:val="nil"/>
              <w:bottom w:val="single" w:sz="4" w:space="0" w:color="auto"/>
              <w:right w:val="nil"/>
            </w:tcBorders>
            <w:shd w:val="clear" w:color="auto" w:fill="auto"/>
            <w:noWrap/>
            <w:vAlign w:val="bottom"/>
            <w:hideMark/>
          </w:tcPr>
          <w:p w14:paraId="2E8F5757" w14:textId="77777777" w:rsidR="001E2AF5" w:rsidRPr="00966011" w:rsidRDefault="001E2AF5" w:rsidP="00B63FAC">
            <w:pPr>
              <w:spacing w:after="0" w:line="240" w:lineRule="auto"/>
              <w:jc w:val="right"/>
              <w:rPr>
                <w:rFonts w:ascii="Calibri" w:eastAsia="Times New Roman" w:hAnsi="Calibri" w:cs="Calibri"/>
                <w:color w:val="000000"/>
                <w:sz w:val="20"/>
                <w:szCs w:val="20"/>
                <w:lang w:eastAsia="en-CA"/>
              </w:rPr>
            </w:pPr>
          </w:p>
        </w:tc>
        <w:tc>
          <w:tcPr>
            <w:tcW w:w="775" w:type="dxa"/>
            <w:tcBorders>
              <w:top w:val="nil"/>
              <w:left w:val="nil"/>
              <w:bottom w:val="single" w:sz="4" w:space="0" w:color="auto"/>
              <w:right w:val="nil"/>
            </w:tcBorders>
            <w:shd w:val="clear" w:color="auto" w:fill="auto"/>
            <w:noWrap/>
            <w:vAlign w:val="bottom"/>
            <w:hideMark/>
          </w:tcPr>
          <w:p w14:paraId="4C167D65" w14:textId="77777777" w:rsidR="001E2AF5" w:rsidRPr="00966011" w:rsidRDefault="001E2AF5" w:rsidP="00B63FAC">
            <w:pPr>
              <w:spacing w:after="0" w:line="240" w:lineRule="auto"/>
              <w:rPr>
                <w:rFonts w:ascii="Times New Roman" w:eastAsia="Times New Roman" w:hAnsi="Times New Roman" w:cs="Times New Roman"/>
                <w:sz w:val="20"/>
                <w:szCs w:val="20"/>
                <w:lang w:eastAsia="en-CA"/>
              </w:rPr>
            </w:pPr>
          </w:p>
        </w:tc>
      </w:tr>
    </w:tbl>
    <w:p w14:paraId="380C33EA" w14:textId="77777777" w:rsidR="001E2AF5" w:rsidRDefault="001E2AF5" w:rsidP="001E2AF5"/>
    <w:p w14:paraId="473060FD" w14:textId="77777777" w:rsidR="001E2AF5" w:rsidRDefault="001E2AF5" w:rsidP="001E2AF5"/>
    <w:p w14:paraId="40EF13DB" w14:textId="67B8E2AF" w:rsidR="001E2AF5" w:rsidRPr="00A677A8" w:rsidRDefault="001E2AF5" w:rsidP="001E2AF5">
      <w:pPr>
        <w:spacing w:line="480" w:lineRule="auto"/>
        <w:rPr>
          <w:sz w:val="24"/>
        </w:rPr>
      </w:pPr>
      <w:r w:rsidRPr="00A677A8">
        <w:rPr>
          <w:color w:val="000000" w:themeColor="text1"/>
        </w:rPr>
        <w:t>Table 3. Predator sighting</w:t>
      </w:r>
      <w:r w:rsidR="00053187">
        <w:rPr>
          <w:color w:val="000000" w:themeColor="text1"/>
        </w:rPr>
        <w:t>s per hour</w:t>
      </w:r>
      <w:r w:rsidR="009D00E7">
        <w:rPr>
          <w:color w:val="000000" w:themeColor="text1"/>
        </w:rPr>
        <w:t xml:space="preserve"> </w:t>
      </w:r>
      <w:r w:rsidR="00053187">
        <w:rPr>
          <w:color w:val="000000" w:themeColor="text1"/>
        </w:rPr>
        <w:t>(</w:t>
      </w:r>
      <w:r w:rsidRPr="00A677A8">
        <w:rPr>
          <w:color w:val="000000" w:themeColor="text1"/>
        </w:rPr>
        <w:t xml:space="preserve">adjusted by </w:t>
      </w:r>
      <w:r w:rsidR="00053187">
        <w:rPr>
          <w:color w:val="000000" w:themeColor="text1"/>
        </w:rPr>
        <w:t>observation hours</w:t>
      </w:r>
      <w:r w:rsidRPr="00A677A8">
        <w:rPr>
          <w:color w:val="000000" w:themeColor="text1"/>
        </w:rPr>
        <w:t xml:space="preserve"> per site</w:t>
      </w:r>
      <w:r w:rsidR="00053187">
        <w:rPr>
          <w:color w:val="000000" w:themeColor="text1"/>
        </w:rPr>
        <w:t>)</w:t>
      </w:r>
      <w:r w:rsidRPr="00A677A8">
        <w:rPr>
          <w:color w:val="000000" w:themeColor="text1"/>
        </w:rPr>
        <w:t xml:space="preserve"> on Fuerteventura, Canary Islands, Spain for the years 2014-2016.</w:t>
      </w:r>
    </w:p>
    <w:tbl>
      <w:tblPr>
        <w:tblStyle w:val="PlainTable21"/>
        <w:tblW w:w="4440" w:type="dxa"/>
        <w:tblLook w:val="06A0" w:firstRow="1" w:lastRow="0" w:firstColumn="1" w:lastColumn="0" w:noHBand="1" w:noVBand="1"/>
      </w:tblPr>
      <w:tblGrid>
        <w:gridCol w:w="1560"/>
        <w:gridCol w:w="960"/>
        <w:gridCol w:w="960"/>
        <w:gridCol w:w="960"/>
      </w:tblGrid>
      <w:tr w:rsidR="001E2AF5" w:rsidRPr="00FB2B64" w14:paraId="58C47F82" w14:textId="77777777" w:rsidTr="00B63FA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noWrap/>
          </w:tcPr>
          <w:p w14:paraId="2ED97F38" w14:textId="77777777" w:rsidR="001E2AF5" w:rsidRPr="00137F0D" w:rsidRDefault="001E2AF5" w:rsidP="00B63FAC">
            <w:pPr>
              <w:rPr>
                <w:rFonts w:ascii="Calibri" w:hAnsi="Calibri" w:cs="Calibri"/>
                <w:color w:val="000000"/>
                <w:sz w:val="20"/>
              </w:rPr>
            </w:pPr>
            <w:r>
              <w:rPr>
                <w:rFonts w:ascii="Calibri" w:hAnsi="Calibri" w:cs="Calibri"/>
                <w:color w:val="000000"/>
                <w:sz w:val="20"/>
              </w:rPr>
              <w:t>Predation rate</w:t>
            </w:r>
          </w:p>
        </w:tc>
        <w:tc>
          <w:tcPr>
            <w:tcW w:w="960" w:type="dxa"/>
            <w:noWrap/>
          </w:tcPr>
          <w:p w14:paraId="68F245D5" w14:textId="77777777" w:rsidR="001E2AF5" w:rsidRPr="00137F0D" w:rsidRDefault="001E2AF5" w:rsidP="00B63FAC">
            <w:pPr>
              <w:jc w:val="right"/>
              <w:cnfStyle w:val="100000000000" w:firstRow="1" w:lastRow="0" w:firstColumn="0" w:lastColumn="0" w:oddVBand="0" w:evenVBand="0" w:oddHBand="0" w:evenHBand="0" w:firstRowFirstColumn="0" w:firstRowLastColumn="0" w:lastRowFirstColumn="0" w:lastRowLastColumn="0"/>
              <w:rPr>
                <w:rFonts w:ascii="Calibri" w:hAnsi="Calibri" w:cs="Calibri"/>
                <w:color w:val="000000"/>
                <w:sz w:val="20"/>
              </w:rPr>
            </w:pPr>
            <w:r>
              <w:rPr>
                <w:rFonts w:ascii="Calibri" w:hAnsi="Calibri" w:cs="Calibri"/>
                <w:color w:val="000000"/>
                <w:sz w:val="20"/>
              </w:rPr>
              <w:t>Site 1</w:t>
            </w:r>
          </w:p>
        </w:tc>
        <w:tc>
          <w:tcPr>
            <w:tcW w:w="960" w:type="dxa"/>
            <w:noWrap/>
          </w:tcPr>
          <w:p w14:paraId="316DE8F4" w14:textId="77777777" w:rsidR="001E2AF5" w:rsidRPr="00137F0D" w:rsidRDefault="001E2AF5" w:rsidP="00B63FAC">
            <w:pPr>
              <w:jc w:val="right"/>
              <w:cnfStyle w:val="100000000000" w:firstRow="1" w:lastRow="0" w:firstColumn="0" w:lastColumn="0" w:oddVBand="0" w:evenVBand="0" w:oddHBand="0" w:evenHBand="0" w:firstRowFirstColumn="0" w:firstRowLastColumn="0" w:lastRowFirstColumn="0" w:lastRowLastColumn="0"/>
              <w:rPr>
                <w:rFonts w:ascii="Calibri" w:hAnsi="Calibri" w:cs="Calibri"/>
                <w:color w:val="000000"/>
                <w:sz w:val="20"/>
              </w:rPr>
            </w:pPr>
            <w:r>
              <w:rPr>
                <w:rFonts w:ascii="Calibri" w:hAnsi="Calibri" w:cs="Calibri"/>
                <w:color w:val="000000"/>
                <w:sz w:val="20"/>
              </w:rPr>
              <w:t>Site 2</w:t>
            </w:r>
          </w:p>
        </w:tc>
        <w:tc>
          <w:tcPr>
            <w:tcW w:w="960" w:type="dxa"/>
            <w:noWrap/>
          </w:tcPr>
          <w:p w14:paraId="608E93AF" w14:textId="77777777" w:rsidR="001E2AF5" w:rsidRPr="00137F0D" w:rsidRDefault="001E2AF5" w:rsidP="00B63FAC">
            <w:pPr>
              <w:jc w:val="right"/>
              <w:cnfStyle w:val="100000000000" w:firstRow="1" w:lastRow="0" w:firstColumn="0" w:lastColumn="0" w:oddVBand="0" w:evenVBand="0" w:oddHBand="0" w:evenHBand="0" w:firstRowFirstColumn="0" w:firstRowLastColumn="0" w:lastRowFirstColumn="0" w:lastRowLastColumn="0"/>
              <w:rPr>
                <w:rFonts w:ascii="Calibri" w:hAnsi="Calibri" w:cs="Calibri"/>
                <w:color w:val="000000"/>
                <w:sz w:val="20"/>
              </w:rPr>
            </w:pPr>
            <w:r>
              <w:rPr>
                <w:rFonts w:ascii="Calibri" w:hAnsi="Calibri" w:cs="Calibri"/>
                <w:color w:val="000000"/>
                <w:sz w:val="20"/>
              </w:rPr>
              <w:t>Site 3</w:t>
            </w:r>
          </w:p>
        </w:tc>
      </w:tr>
      <w:tr w:rsidR="001E2AF5" w:rsidRPr="00FB2B64" w14:paraId="2E5CE6C7" w14:textId="77777777" w:rsidTr="00B63FAC">
        <w:trPr>
          <w:trHeight w:val="300"/>
        </w:trPr>
        <w:tc>
          <w:tcPr>
            <w:cnfStyle w:val="001000000000" w:firstRow="0" w:lastRow="0" w:firstColumn="1" w:lastColumn="0" w:oddVBand="0" w:evenVBand="0" w:oddHBand="0" w:evenHBand="0" w:firstRowFirstColumn="0" w:firstRowLastColumn="0" w:lastRowFirstColumn="0" w:lastRowLastColumn="0"/>
            <w:tcW w:w="1560" w:type="dxa"/>
            <w:noWrap/>
            <w:hideMark/>
          </w:tcPr>
          <w:p w14:paraId="055C7D64" w14:textId="77777777" w:rsidR="001E2AF5" w:rsidRPr="007E5124" w:rsidRDefault="001E2AF5" w:rsidP="00B63FAC">
            <w:pPr>
              <w:rPr>
                <w:rFonts w:ascii="Calibri" w:hAnsi="Calibri" w:cs="Calibri"/>
                <w:b w:val="0"/>
                <w:color w:val="000000"/>
                <w:sz w:val="20"/>
              </w:rPr>
            </w:pPr>
            <w:r w:rsidRPr="007E5124">
              <w:rPr>
                <w:rFonts w:ascii="Calibri" w:hAnsi="Calibri" w:cs="Calibri"/>
                <w:b w:val="0"/>
                <w:color w:val="000000"/>
                <w:sz w:val="20"/>
              </w:rPr>
              <w:t xml:space="preserve">Aerial </w:t>
            </w:r>
          </w:p>
        </w:tc>
        <w:tc>
          <w:tcPr>
            <w:tcW w:w="960" w:type="dxa"/>
            <w:noWrap/>
            <w:hideMark/>
          </w:tcPr>
          <w:p w14:paraId="48430CAA" w14:textId="77777777" w:rsidR="001E2AF5" w:rsidRPr="00FB2B64" w:rsidRDefault="001E2AF5" w:rsidP="00B63FAC">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rPr>
            </w:pPr>
            <w:r w:rsidRPr="00FB2B64">
              <w:rPr>
                <w:rFonts w:ascii="Calibri" w:hAnsi="Calibri" w:cs="Calibri"/>
                <w:color w:val="000000"/>
                <w:sz w:val="20"/>
              </w:rPr>
              <w:t>0.20</w:t>
            </w:r>
          </w:p>
        </w:tc>
        <w:tc>
          <w:tcPr>
            <w:tcW w:w="960" w:type="dxa"/>
            <w:noWrap/>
            <w:hideMark/>
          </w:tcPr>
          <w:p w14:paraId="4F49BD75" w14:textId="77777777" w:rsidR="001E2AF5" w:rsidRPr="00FB2B64" w:rsidRDefault="001E2AF5" w:rsidP="00B63FAC">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rPr>
            </w:pPr>
            <w:r w:rsidRPr="00FB2B64">
              <w:rPr>
                <w:rFonts w:ascii="Calibri" w:hAnsi="Calibri" w:cs="Calibri"/>
                <w:color w:val="000000"/>
                <w:sz w:val="20"/>
              </w:rPr>
              <w:t>0.23</w:t>
            </w:r>
          </w:p>
        </w:tc>
        <w:tc>
          <w:tcPr>
            <w:tcW w:w="960" w:type="dxa"/>
            <w:noWrap/>
            <w:hideMark/>
          </w:tcPr>
          <w:p w14:paraId="5AF61A54" w14:textId="77777777" w:rsidR="001E2AF5" w:rsidRPr="00FB2B64" w:rsidRDefault="001E2AF5" w:rsidP="00B63FAC">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rPr>
            </w:pPr>
            <w:r w:rsidRPr="00FB2B64">
              <w:rPr>
                <w:rFonts w:ascii="Calibri" w:hAnsi="Calibri" w:cs="Calibri"/>
                <w:color w:val="000000"/>
                <w:sz w:val="20"/>
              </w:rPr>
              <w:t>0.32</w:t>
            </w:r>
          </w:p>
        </w:tc>
      </w:tr>
      <w:tr w:rsidR="001E2AF5" w:rsidRPr="00FB2B64" w14:paraId="23FFC2BC" w14:textId="77777777" w:rsidTr="00B63FAC">
        <w:trPr>
          <w:trHeight w:val="300"/>
        </w:trPr>
        <w:tc>
          <w:tcPr>
            <w:cnfStyle w:val="001000000000" w:firstRow="0" w:lastRow="0" w:firstColumn="1" w:lastColumn="0" w:oddVBand="0" w:evenVBand="0" w:oddHBand="0" w:evenHBand="0" w:firstRowFirstColumn="0" w:firstRowLastColumn="0" w:lastRowFirstColumn="0" w:lastRowLastColumn="0"/>
            <w:tcW w:w="1560" w:type="dxa"/>
            <w:noWrap/>
            <w:hideMark/>
          </w:tcPr>
          <w:p w14:paraId="3D0E271A" w14:textId="77777777" w:rsidR="001E2AF5" w:rsidRPr="007E5124" w:rsidRDefault="001E2AF5" w:rsidP="00B63FAC">
            <w:pPr>
              <w:rPr>
                <w:rFonts w:ascii="Calibri" w:hAnsi="Calibri" w:cs="Calibri"/>
                <w:b w:val="0"/>
                <w:color w:val="000000"/>
                <w:sz w:val="20"/>
              </w:rPr>
            </w:pPr>
            <w:r w:rsidRPr="007E5124">
              <w:rPr>
                <w:rFonts w:ascii="Calibri" w:hAnsi="Calibri" w:cs="Calibri"/>
                <w:b w:val="0"/>
                <w:color w:val="000000"/>
                <w:sz w:val="20"/>
              </w:rPr>
              <w:t xml:space="preserve">Terrestrial </w:t>
            </w:r>
          </w:p>
        </w:tc>
        <w:tc>
          <w:tcPr>
            <w:tcW w:w="960" w:type="dxa"/>
            <w:noWrap/>
            <w:hideMark/>
          </w:tcPr>
          <w:p w14:paraId="62FEDCDF" w14:textId="77777777" w:rsidR="001E2AF5" w:rsidRPr="00FB2B64" w:rsidRDefault="001E2AF5" w:rsidP="00B63FAC">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rPr>
            </w:pPr>
            <w:r w:rsidRPr="00FB2B64">
              <w:rPr>
                <w:rFonts w:ascii="Calibri" w:hAnsi="Calibri" w:cs="Calibri"/>
                <w:color w:val="000000"/>
                <w:sz w:val="20"/>
              </w:rPr>
              <w:t>0.21</w:t>
            </w:r>
          </w:p>
        </w:tc>
        <w:tc>
          <w:tcPr>
            <w:tcW w:w="960" w:type="dxa"/>
            <w:noWrap/>
            <w:hideMark/>
          </w:tcPr>
          <w:p w14:paraId="666C3B57" w14:textId="77777777" w:rsidR="001E2AF5" w:rsidRPr="00FB2B64" w:rsidRDefault="001E2AF5" w:rsidP="00B63FAC">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rPr>
            </w:pPr>
            <w:r w:rsidRPr="00FB2B64">
              <w:rPr>
                <w:rFonts w:ascii="Calibri" w:hAnsi="Calibri" w:cs="Calibri"/>
                <w:color w:val="000000"/>
                <w:sz w:val="20"/>
              </w:rPr>
              <w:t>0.05</w:t>
            </w:r>
          </w:p>
        </w:tc>
        <w:tc>
          <w:tcPr>
            <w:tcW w:w="960" w:type="dxa"/>
            <w:noWrap/>
            <w:hideMark/>
          </w:tcPr>
          <w:p w14:paraId="612D5AC3" w14:textId="77777777" w:rsidR="001E2AF5" w:rsidRPr="00FB2B64" w:rsidRDefault="001E2AF5" w:rsidP="00B63FAC">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rPr>
            </w:pPr>
            <w:r w:rsidRPr="00FB2B64">
              <w:rPr>
                <w:rFonts w:ascii="Calibri" w:hAnsi="Calibri" w:cs="Calibri"/>
                <w:color w:val="000000"/>
                <w:sz w:val="20"/>
              </w:rPr>
              <w:t>0.08</w:t>
            </w:r>
          </w:p>
        </w:tc>
      </w:tr>
      <w:tr w:rsidR="001E2AF5" w:rsidRPr="00FB2B64" w14:paraId="07760687" w14:textId="77777777" w:rsidTr="00B63FAC">
        <w:trPr>
          <w:trHeight w:val="300"/>
        </w:trPr>
        <w:tc>
          <w:tcPr>
            <w:cnfStyle w:val="001000000000" w:firstRow="0" w:lastRow="0" w:firstColumn="1" w:lastColumn="0" w:oddVBand="0" w:evenVBand="0" w:oddHBand="0" w:evenHBand="0" w:firstRowFirstColumn="0" w:firstRowLastColumn="0" w:lastRowFirstColumn="0" w:lastRowLastColumn="0"/>
            <w:tcW w:w="1560" w:type="dxa"/>
            <w:noWrap/>
          </w:tcPr>
          <w:p w14:paraId="25DE5C3F" w14:textId="77777777" w:rsidR="001E2AF5" w:rsidRPr="007E5124" w:rsidRDefault="001E2AF5" w:rsidP="00B63FAC">
            <w:pPr>
              <w:rPr>
                <w:rFonts w:ascii="Calibri" w:hAnsi="Calibri" w:cs="Calibri"/>
                <w:b w:val="0"/>
                <w:color w:val="000000"/>
                <w:sz w:val="20"/>
              </w:rPr>
            </w:pPr>
            <w:r w:rsidRPr="007E5124">
              <w:rPr>
                <w:rFonts w:ascii="Calibri" w:hAnsi="Calibri" w:cs="Calibri"/>
                <w:b w:val="0"/>
                <w:color w:val="000000"/>
                <w:sz w:val="20"/>
              </w:rPr>
              <w:t xml:space="preserve">Total </w:t>
            </w:r>
          </w:p>
        </w:tc>
        <w:tc>
          <w:tcPr>
            <w:tcW w:w="960" w:type="dxa"/>
            <w:noWrap/>
          </w:tcPr>
          <w:p w14:paraId="5E85AE55" w14:textId="77777777" w:rsidR="001E2AF5" w:rsidRPr="00137F0D" w:rsidRDefault="001E2AF5" w:rsidP="00B63FAC">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rPr>
            </w:pPr>
            <w:r w:rsidRPr="00A679D5">
              <w:rPr>
                <w:rFonts w:ascii="Calibri" w:hAnsi="Calibri" w:cs="Calibri"/>
                <w:color w:val="000000"/>
                <w:sz w:val="20"/>
              </w:rPr>
              <w:t>0.41</w:t>
            </w:r>
          </w:p>
        </w:tc>
        <w:tc>
          <w:tcPr>
            <w:tcW w:w="960" w:type="dxa"/>
            <w:noWrap/>
          </w:tcPr>
          <w:p w14:paraId="497DDDBA" w14:textId="77777777" w:rsidR="001E2AF5" w:rsidRPr="00137F0D" w:rsidRDefault="001E2AF5" w:rsidP="00B63FAC">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rPr>
            </w:pPr>
            <w:r w:rsidRPr="00A679D5">
              <w:rPr>
                <w:rFonts w:ascii="Calibri" w:hAnsi="Calibri" w:cs="Calibri"/>
                <w:color w:val="000000"/>
                <w:sz w:val="20"/>
              </w:rPr>
              <w:t>0.28</w:t>
            </w:r>
          </w:p>
        </w:tc>
        <w:tc>
          <w:tcPr>
            <w:tcW w:w="960" w:type="dxa"/>
            <w:noWrap/>
          </w:tcPr>
          <w:p w14:paraId="7CB00328" w14:textId="77777777" w:rsidR="001E2AF5" w:rsidRPr="00137F0D" w:rsidRDefault="001E2AF5" w:rsidP="00B63FAC">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rPr>
            </w:pPr>
            <w:r w:rsidRPr="00A679D5">
              <w:rPr>
                <w:rFonts w:ascii="Calibri" w:hAnsi="Calibri" w:cs="Calibri"/>
                <w:color w:val="000000"/>
                <w:sz w:val="20"/>
              </w:rPr>
              <w:t>0.40</w:t>
            </w:r>
          </w:p>
        </w:tc>
      </w:tr>
    </w:tbl>
    <w:p w14:paraId="38CCE037" w14:textId="77777777" w:rsidR="00F613F3" w:rsidRDefault="00F613F3" w:rsidP="00F613F3"/>
    <w:p w14:paraId="12F27423" w14:textId="77777777" w:rsidR="00F613F3" w:rsidRDefault="00F613F3" w:rsidP="00F613F3"/>
    <w:p w14:paraId="7377658F" w14:textId="77777777" w:rsidR="00F613F3" w:rsidRDefault="00F613F3" w:rsidP="00F613F3"/>
    <w:p w14:paraId="684145FD" w14:textId="77777777" w:rsidR="00F613F3" w:rsidRDefault="00F613F3" w:rsidP="00F613F3"/>
    <w:p w14:paraId="2FD36DAA" w14:textId="77777777" w:rsidR="00F613F3" w:rsidRDefault="00F613F3" w:rsidP="00F613F3"/>
    <w:p w14:paraId="0117BB12" w14:textId="77777777" w:rsidR="00F613F3" w:rsidRDefault="00F613F3" w:rsidP="00F613F3"/>
    <w:p w14:paraId="2785FC29" w14:textId="77777777" w:rsidR="00F613F3" w:rsidRDefault="00F613F3" w:rsidP="00F613F3"/>
    <w:p w14:paraId="47DD124A" w14:textId="77777777" w:rsidR="00F613F3" w:rsidRDefault="00F613F3" w:rsidP="00F613F3"/>
    <w:p w14:paraId="3A90942A" w14:textId="77777777" w:rsidR="00F613F3" w:rsidRDefault="00F613F3" w:rsidP="00F613F3"/>
    <w:p w14:paraId="59BB147A" w14:textId="77777777" w:rsidR="00F613F3" w:rsidRDefault="00F613F3" w:rsidP="00F613F3"/>
    <w:p w14:paraId="2AEBEA0A" w14:textId="77777777" w:rsidR="00F613F3" w:rsidRDefault="00F613F3" w:rsidP="00F613F3"/>
    <w:p w14:paraId="217FB3B1" w14:textId="6227DB99" w:rsidR="001E2AF5" w:rsidRPr="007966AB" w:rsidRDefault="001E2AF5" w:rsidP="007966AB">
      <w:pPr>
        <w:pStyle w:val="Heading2"/>
        <w:rPr>
          <w:color w:val="auto"/>
          <w:sz w:val="22"/>
        </w:rPr>
      </w:pPr>
      <w:r w:rsidRPr="001E2AF5">
        <w:rPr>
          <w:color w:val="auto"/>
          <w:sz w:val="22"/>
        </w:rPr>
        <w:lastRenderedPageBreak/>
        <w:t>Figures</w:t>
      </w:r>
    </w:p>
    <w:p w14:paraId="3B1D3EC1" w14:textId="77777777" w:rsidR="001E2AF5" w:rsidRDefault="001E2AF5" w:rsidP="001E2AF5">
      <w:pPr>
        <w:keepNext/>
      </w:pPr>
      <w:r>
        <w:rPr>
          <w:noProof/>
          <w:lang w:eastAsia="en-CA"/>
        </w:rPr>
        <w:drawing>
          <wp:inline distT="0" distB="0" distL="0" distR="0" wp14:anchorId="6B61D1CD" wp14:editId="22BAA8C0">
            <wp:extent cx="5943600" cy="4752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r w:rsidRPr="00935895">
        <w:t xml:space="preserve"> </w:t>
      </w:r>
    </w:p>
    <w:p w14:paraId="6BFD4774" w14:textId="0CD99CB7" w:rsidR="001E2AF5" w:rsidRPr="00CE4118" w:rsidRDefault="001E2AF5" w:rsidP="001E2AF5">
      <w:pPr>
        <w:pStyle w:val="Caption"/>
        <w:spacing w:line="480" w:lineRule="auto"/>
        <w:rPr>
          <w:i w:val="0"/>
          <w:color w:val="auto"/>
          <w:sz w:val="22"/>
        </w:rPr>
      </w:pPr>
      <w:r w:rsidRPr="00CE4118">
        <w:rPr>
          <w:i w:val="0"/>
          <w:color w:val="auto"/>
          <w:sz w:val="22"/>
        </w:rPr>
        <w:t>Figure 1. Quantile regression of individual (A) low-quality and (B) high-quality vigilance on group size, and of collective (C) low-quality and (B) high-quality vigilance on group size in Barbary ground squirrels. The solid grey regression lines represent the 0.2 and 0.8 quantiles</w:t>
      </w:r>
      <w:r w:rsidR="005A6270">
        <w:rPr>
          <w:i w:val="0"/>
          <w:color w:val="auto"/>
          <w:sz w:val="22"/>
        </w:rPr>
        <w:t>,</w:t>
      </w:r>
      <w:r w:rsidRPr="00CE4118">
        <w:rPr>
          <w:i w:val="0"/>
          <w:color w:val="auto"/>
          <w:sz w:val="22"/>
        </w:rPr>
        <w:t xml:space="preserve"> and the solid red regression line represents the 0.5 (median) quantile. Note the different y-scale for low- and high-quality vigilance.</w:t>
      </w:r>
    </w:p>
    <w:p w14:paraId="6EAB2912" w14:textId="77777777" w:rsidR="001E2AF5" w:rsidRDefault="001E2AF5" w:rsidP="001E2AF5"/>
    <w:p w14:paraId="3753822A" w14:textId="08A002BA" w:rsidR="001E2AF5" w:rsidRDefault="00D01866" w:rsidP="001E2AF5">
      <w:pPr>
        <w:keepNext/>
      </w:pPr>
      <w:r w:rsidRPr="00D01866">
        <w:rPr>
          <w:noProof/>
          <w:lang w:eastAsia="en-CA"/>
        </w:rPr>
        <w:lastRenderedPageBreak/>
        <w:drawing>
          <wp:inline distT="0" distB="0" distL="0" distR="0" wp14:anchorId="75E74257" wp14:editId="507737AF">
            <wp:extent cx="5715000" cy="23812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15000" cy="2381250"/>
                    </a:xfrm>
                    <a:prstGeom prst="rect">
                      <a:avLst/>
                    </a:prstGeom>
                    <a:noFill/>
                    <a:ln>
                      <a:noFill/>
                    </a:ln>
                  </pic:spPr>
                </pic:pic>
              </a:graphicData>
            </a:graphic>
          </wp:inline>
        </w:drawing>
      </w:r>
    </w:p>
    <w:p w14:paraId="7920C64B" w14:textId="70334497" w:rsidR="001E2AF5" w:rsidRPr="001E2AF5" w:rsidRDefault="001E2AF5" w:rsidP="007966AB">
      <w:pPr>
        <w:pStyle w:val="Caption"/>
        <w:spacing w:line="480" w:lineRule="auto"/>
      </w:pPr>
      <w:r w:rsidRPr="00CE4118">
        <w:rPr>
          <w:i w:val="0"/>
          <w:color w:val="auto"/>
          <w:sz w:val="22"/>
        </w:rPr>
        <w:t>Figure 2. Call duration (A) and proportion of callers (B) for Barbary ground squirrels when aerial and terrestrial predators were present. The call</w:t>
      </w:r>
      <w:r w:rsidR="005A6270">
        <w:rPr>
          <w:i w:val="0"/>
          <w:color w:val="auto"/>
          <w:sz w:val="22"/>
        </w:rPr>
        <w:t>-</w:t>
      </w:r>
      <w:r w:rsidRPr="00CE4118">
        <w:rPr>
          <w:i w:val="0"/>
          <w:color w:val="auto"/>
          <w:sz w:val="22"/>
        </w:rPr>
        <w:t>eliciting source ‘other’ were heterospecific species. ‘Not observed’ referred to situations when predators or heterospecific species were not observed. Dark line represents the median, the box edges are the upper and lower quartile, the whiskers are 50% from the median, and the closed circles correspond to the outliers, calculated as the values smaller or larger than 1.5 times the box length (i.e., upper – lower quantile). Significant differences are denoted by asterisks (P &lt; 0.05 as *, P &lt; 0.01 as **, and P &lt; 0.001 as ***).</w:t>
      </w:r>
    </w:p>
    <w:sectPr w:rsidR="001E2AF5" w:rsidRPr="001E2AF5" w:rsidSect="00BF0C28">
      <w:footerReference w:type="default" r:id="rId12"/>
      <w:pgSz w:w="12240" w:h="15840"/>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18E10F" w14:textId="77777777" w:rsidR="005F765A" w:rsidRDefault="005F765A" w:rsidP="00750BE0">
      <w:pPr>
        <w:spacing w:after="0" w:line="240" w:lineRule="auto"/>
      </w:pPr>
      <w:r>
        <w:separator/>
      </w:r>
    </w:p>
  </w:endnote>
  <w:endnote w:type="continuationSeparator" w:id="0">
    <w:p w14:paraId="1B178DBA" w14:textId="77777777" w:rsidR="005F765A" w:rsidRDefault="005F765A" w:rsidP="00750BE0">
      <w:pPr>
        <w:spacing w:after="0" w:line="240" w:lineRule="auto"/>
      </w:pPr>
      <w:r>
        <w:continuationSeparator/>
      </w:r>
    </w:p>
  </w:endnote>
  <w:endnote w:type="continuationNotice" w:id="1">
    <w:p w14:paraId="5C4B61FA" w14:textId="77777777" w:rsidR="005F765A" w:rsidRDefault="005F76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Mangal">
    <w:altName w:val="Courier New"/>
    <w:panose1 w:val="00000400000000000000"/>
    <w:charset w:val="01"/>
    <w:family w:val="roman"/>
    <w:notTrueType/>
    <w:pitch w:val="variable"/>
    <w:sig w:usb0="00002000" w:usb1="00000000" w:usb2="00000000" w:usb3="00000000" w:csb0="00000000" w:csb1="00000000"/>
  </w:font>
  <w:font w:name="Verdana">
    <w:panose1 w:val="020B0604030504040204"/>
    <w:charset w:val="00"/>
    <w:family w:val="swiss"/>
    <w:pitch w:val="variable"/>
    <w:sig w:usb0="A00006FF" w:usb1="4000205B" w:usb2="00000010" w:usb3="00000000" w:csb0="0000019F" w:csb1="00000000"/>
  </w:font>
  <w:font w:name="MS Reference Sans Serif">
    <w:panose1 w:val="020B0604030504040204"/>
    <w:charset w:val="00"/>
    <w:family w:val="swiss"/>
    <w:pitch w:val="variable"/>
    <w:sig w:usb0="20000287" w:usb1="00000000"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7785961"/>
      <w:docPartObj>
        <w:docPartGallery w:val="Page Numbers (Bottom of Page)"/>
        <w:docPartUnique/>
      </w:docPartObj>
    </w:sdtPr>
    <w:sdtEndPr>
      <w:rPr>
        <w:noProof/>
      </w:rPr>
    </w:sdtEndPr>
    <w:sdtContent>
      <w:p w14:paraId="5FE2C1FC" w14:textId="3C1A5B9B" w:rsidR="0008368F" w:rsidRDefault="0008368F">
        <w:pPr>
          <w:pStyle w:val="Footer"/>
          <w:jc w:val="right"/>
        </w:pPr>
        <w:r>
          <w:fldChar w:fldCharType="begin"/>
        </w:r>
        <w:r>
          <w:instrText xml:space="preserve"> PAGE   \* MERGEFORMAT </w:instrText>
        </w:r>
        <w:r>
          <w:fldChar w:fldCharType="separate"/>
        </w:r>
        <w:r w:rsidR="007D341C">
          <w:rPr>
            <w:noProof/>
          </w:rPr>
          <w:t>21</w:t>
        </w:r>
        <w:r>
          <w:rPr>
            <w:noProof/>
          </w:rPr>
          <w:fldChar w:fldCharType="end"/>
        </w:r>
      </w:p>
    </w:sdtContent>
  </w:sdt>
  <w:p w14:paraId="1B11D602" w14:textId="77777777" w:rsidR="0008368F" w:rsidRDefault="0008368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419F4F" w14:textId="77777777" w:rsidR="005F765A" w:rsidRDefault="005F765A" w:rsidP="00750BE0">
      <w:pPr>
        <w:spacing w:after="0" w:line="240" w:lineRule="auto"/>
      </w:pPr>
      <w:r>
        <w:separator/>
      </w:r>
    </w:p>
  </w:footnote>
  <w:footnote w:type="continuationSeparator" w:id="0">
    <w:p w14:paraId="364210E5" w14:textId="77777777" w:rsidR="005F765A" w:rsidRDefault="005F765A" w:rsidP="00750BE0">
      <w:pPr>
        <w:spacing w:after="0" w:line="240" w:lineRule="auto"/>
      </w:pPr>
      <w:r>
        <w:continuationSeparator/>
      </w:r>
    </w:p>
  </w:footnote>
  <w:footnote w:type="continuationNotice" w:id="1">
    <w:p w14:paraId="479DDD7B" w14:textId="77777777" w:rsidR="005F765A" w:rsidRDefault="005F765A">
      <w:pPr>
        <w:spacing w:after="0" w:line="240" w:lineRule="auto"/>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0D04D4F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7F28DAA"/>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467E9E00"/>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CD4A3010"/>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444EAF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2E6E8C0E"/>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94027E04"/>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DDD4B1E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44585EB2"/>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DBAE2A1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40A7EE6"/>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7823BAA"/>
    <w:multiLevelType w:val="hybridMultilevel"/>
    <w:tmpl w:val="348E9B7E"/>
    <w:lvl w:ilvl="0" w:tplc="10090019">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2" w15:restartNumberingAfterBreak="0">
    <w:nsid w:val="0DD972F8"/>
    <w:multiLevelType w:val="hybridMultilevel"/>
    <w:tmpl w:val="EA72AE6C"/>
    <w:lvl w:ilvl="0" w:tplc="D138066A">
      <w:start w:val="1"/>
      <w:numFmt w:val="bullet"/>
      <w:lvlText w:val="•"/>
      <w:lvlJc w:val="left"/>
      <w:pPr>
        <w:tabs>
          <w:tab w:val="num" w:pos="720"/>
        </w:tabs>
        <w:ind w:left="720" w:hanging="360"/>
      </w:pPr>
      <w:rPr>
        <w:rFonts w:ascii="Arial" w:hAnsi="Arial" w:hint="default"/>
      </w:rPr>
    </w:lvl>
    <w:lvl w:ilvl="1" w:tplc="7218A2F8" w:tentative="1">
      <w:start w:val="1"/>
      <w:numFmt w:val="bullet"/>
      <w:lvlText w:val="•"/>
      <w:lvlJc w:val="left"/>
      <w:pPr>
        <w:tabs>
          <w:tab w:val="num" w:pos="1440"/>
        </w:tabs>
        <w:ind w:left="1440" w:hanging="360"/>
      </w:pPr>
      <w:rPr>
        <w:rFonts w:ascii="Arial" w:hAnsi="Arial" w:hint="default"/>
      </w:rPr>
    </w:lvl>
    <w:lvl w:ilvl="2" w:tplc="8D6E3FFA" w:tentative="1">
      <w:start w:val="1"/>
      <w:numFmt w:val="bullet"/>
      <w:lvlText w:val="•"/>
      <w:lvlJc w:val="left"/>
      <w:pPr>
        <w:tabs>
          <w:tab w:val="num" w:pos="2160"/>
        </w:tabs>
        <w:ind w:left="2160" w:hanging="360"/>
      </w:pPr>
      <w:rPr>
        <w:rFonts w:ascii="Arial" w:hAnsi="Arial" w:hint="default"/>
      </w:rPr>
    </w:lvl>
    <w:lvl w:ilvl="3" w:tplc="E2462712" w:tentative="1">
      <w:start w:val="1"/>
      <w:numFmt w:val="bullet"/>
      <w:lvlText w:val="•"/>
      <w:lvlJc w:val="left"/>
      <w:pPr>
        <w:tabs>
          <w:tab w:val="num" w:pos="2880"/>
        </w:tabs>
        <w:ind w:left="2880" w:hanging="360"/>
      </w:pPr>
      <w:rPr>
        <w:rFonts w:ascii="Arial" w:hAnsi="Arial" w:hint="default"/>
      </w:rPr>
    </w:lvl>
    <w:lvl w:ilvl="4" w:tplc="4DB6A8F4" w:tentative="1">
      <w:start w:val="1"/>
      <w:numFmt w:val="bullet"/>
      <w:lvlText w:val="•"/>
      <w:lvlJc w:val="left"/>
      <w:pPr>
        <w:tabs>
          <w:tab w:val="num" w:pos="3600"/>
        </w:tabs>
        <w:ind w:left="3600" w:hanging="360"/>
      </w:pPr>
      <w:rPr>
        <w:rFonts w:ascii="Arial" w:hAnsi="Arial" w:hint="default"/>
      </w:rPr>
    </w:lvl>
    <w:lvl w:ilvl="5" w:tplc="4B788EB2" w:tentative="1">
      <w:start w:val="1"/>
      <w:numFmt w:val="bullet"/>
      <w:lvlText w:val="•"/>
      <w:lvlJc w:val="left"/>
      <w:pPr>
        <w:tabs>
          <w:tab w:val="num" w:pos="4320"/>
        </w:tabs>
        <w:ind w:left="4320" w:hanging="360"/>
      </w:pPr>
      <w:rPr>
        <w:rFonts w:ascii="Arial" w:hAnsi="Arial" w:hint="default"/>
      </w:rPr>
    </w:lvl>
    <w:lvl w:ilvl="6" w:tplc="AC5E3BB4" w:tentative="1">
      <w:start w:val="1"/>
      <w:numFmt w:val="bullet"/>
      <w:lvlText w:val="•"/>
      <w:lvlJc w:val="left"/>
      <w:pPr>
        <w:tabs>
          <w:tab w:val="num" w:pos="5040"/>
        </w:tabs>
        <w:ind w:left="5040" w:hanging="360"/>
      </w:pPr>
      <w:rPr>
        <w:rFonts w:ascii="Arial" w:hAnsi="Arial" w:hint="default"/>
      </w:rPr>
    </w:lvl>
    <w:lvl w:ilvl="7" w:tplc="DD22E986" w:tentative="1">
      <w:start w:val="1"/>
      <w:numFmt w:val="bullet"/>
      <w:lvlText w:val="•"/>
      <w:lvlJc w:val="left"/>
      <w:pPr>
        <w:tabs>
          <w:tab w:val="num" w:pos="5760"/>
        </w:tabs>
        <w:ind w:left="5760" w:hanging="360"/>
      </w:pPr>
      <w:rPr>
        <w:rFonts w:ascii="Arial" w:hAnsi="Arial" w:hint="default"/>
      </w:rPr>
    </w:lvl>
    <w:lvl w:ilvl="8" w:tplc="61CAF91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0F6707E8"/>
    <w:multiLevelType w:val="hybridMultilevel"/>
    <w:tmpl w:val="8F1A81CC"/>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1E196DA2"/>
    <w:multiLevelType w:val="hybridMultilevel"/>
    <w:tmpl w:val="71C8665E"/>
    <w:lvl w:ilvl="0" w:tplc="AD7A9D64">
      <w:start w:val="1"/>
      <w:numFmt w:val="bullet"/>
      <w:lvlText w:val="•"/>
      <w:lvlJc w:val="left"/>
      <w:pPr>
        <w:tabs>
          <w:tab w:val="num" w:pos="720"/>
        </w:tabs>
        <w:ind w:left="720" w:hanging="360"/>
      </w:pPr>
      <w:rPr>
        <w:rFonts w:ascii="Arial" w:hAnsi="Arial" w:hint="default"/>
      </w:rPr>
    </w:lvl>
    <w:lvl w:ilvl="1" w:tplc="A5BC89AA" w:tentative="1">
      <w:start w:val="1"/>
      <w:numFmt w:val="bullet"/>
      <w:lvlText w:val="•"/>
      <w:lvlJc w:val="left"/>
      <w:pPr>
        <w:tabs>
          <w:tab w:val="num" w:pos="1440"/>
        </w:tabs>
        <w:ind w:left="1440" w:hanging="360"/>
      </w:pPr>
      <w:rPr>
        <w:rFonts w:ascii="Arial" w:hAnsi="Arial" w:hint="default"/>
      </w:rPr>
    </w:lvl>
    <w:lvl w:ilvl="2" w:tplc="B9CEC0B8">
      <w:start w:val="1"/>
      <w:numFmt w:val="bullet"/>
      <w:lvlText w:val="•"/>
      <w:lvlJc w:val="left"/>
      <w:pPr>
        <w:tabs>
          <w:tab w:val="num" w:pos="2160"/>
        </w:tabs>
        <w:ind w:left="2160" w:hanging="360"/>
      </w:pPr>
      <w:rPr>
        <w:rFonts w:ascii="Arial" w:hAnsi="Arial" w:hint="default"/>
      </w:rPr>
    </w:lvl>
    <w:lvl w:ilvl="3" w:tplc="CE88BB58" w:tentative="1">
      <w:start w:val="1"/>
      <w:numFmt w:val="bullet"/>
      <w:lvlText w:val="•"/>
      <w:lvlJc w:val="left"/>
      <w:pPr>
        <w:tabs>
          <w:tab w:val="num" w:pos="2880"/>
        </w:tabs>
        <w:ind w:left="2880" w:hanging="360"/>
      </w:pPr>
      <w:rPr>
        <w:rFonts w:ascii="Arial" w:hAnsi="Arial" w:hint="default"/>
      </w:rPr>
    </w:lvl>
    <w:lvl w:ilvl="4" w:tplc="A55A143A" w:tentative="1">
      <w:start w:val="1"/>
      <w:numFmt w:val="bullet"/>
      <w:lvlText w:val="•"/>
      <w:lvlJc w:val="left"/>
      <w:pPr>
        <w:tabs>
          <w:tab w:val="num" w:pos="3600"/>
        </w:tabs>
        <w:ind w:left="3600" w:hanging="360"/>
      </w:pPr>
      <w:rPr>
        <w:rFonts w:ascii="Arial" w:hAnsi="Arial" w:hint="default"/>
      </w:rPr>
    </w:lvl>
    <w:lvl w:ilvl="5" w:tplc="35349580" w:tentative="1">
      <w:start w:val="1"/>
      <w:numFmt w:val="bullet"/>
      <w:lvlText w:val="•"/>
      <w:lvlJc w:val="left"/>
      <w:pPr>
        <w:tabs>
          <w:tab w:val="num" w:pos="4320"/>
        </w:tabs>
        <w:ind w:left="4320" w:hanging="360"/>
      </w:pPr>
      <w:rPr>
        <w:rFonts w:ascii="Arial" w:hAnsi="Arial" w:hint="default"/>
      </w:rPr>
    </w:lvl>
    <w:lvl w:ilvl="6" w:tplc="B9DCD7E0" w:tentative="1">
      <w:start w:val="1"/>
      <w:numFmt w:val="bullet"/>
      <w:lvlText w:val="•"/>
      <w:lvlJc w:val="left"/>
      <w:pPr>
        <w:tabs>
          <w:tab w:val="num" w:pos="5040"/>
        </w:tabs>
        <w:ind w:left="5040" w:hanging="360"/>
      </w:pPr>
      <w:rPr>
        <w:rFonts w:ascii="Arial" w:hAnsi="Arial" w:hint="default"/>
      </w:rPr>
    </w:lvl>
    <w:lvl w:ilvl="7" w:tplc="6316C666" w:tentative="1">
      <w:start w:val="1"/>
      <w:numFmt w:val="bullet"/>
      <w:lvlText w:val="•"/>
      <w:lvlJc w:val="left"/>
      <w:pPr>
        <w:tabs>
          <w:tab w:val="num" w:pos="5760"/>
        </w:tabs>
        <w:ind w:left="5760" w:hanging="360"/>
      </w:pPr>
      <w:rPr>
        <w:rFonts w:ascii="Arial" w:hAnsi="Arial" w:hint="default"/>
      </w:rPr>
    </w:lvl>
    <w:lvl w:ilvl="8" w:tplc="C67C22F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117372F"/>
    <w:multiLevelType w:val="hybridMultilevel"/>
    <w:tmpl w:val="FF8E6FDA"/>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22A67A9E"/>
    <w:multiLevelType w:val="hybridMultilevel"/>
    <w:tmpl w:val="F9ACD5B4"/>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15:restartNumberingAfterBreak="0">
    <w:nsid w:val="2C295CD4"/>
    <w:multiLevelType w:val="hybridMultilevel"/>
    <w:tmpl w:val="0ADCFB04"/>
    <w:lvl w:ilvl="0" w:tplc="9DD09B8E">
      <w:numFmt w:val="bullet"/>
      <w:lvlText w:val="-"/>
      <w:lvlJc w:val="left"/>
      <w:pPr>
        <w:ind w:left="720" w:hanging="360"/>
      </w:pPr>
      <w:rPr>
        <w:rFonts w:ascii="Calibri" w:eastAsia="MS Mincho"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5DE48BE"/>
    <w:multiLevelType w:val="hybridMultilevel"/>
    <w:tmpl w:val="BEBA650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3917661A"/>
    <w:multiLevelType w:val="hybridMultilevel"/>
    <w:tmpl w:val="9BD6EC5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3B405610"/>
    <w:multiLevelType w:val="hybridMultilevel"/>
    <w:tmpl w:val="CD64FC20"/>
    <w:lvl w:ilvl="0" w:tplc="10029610">
      <w:start w:val="1"/>
      <w:numFmt w:val="bullet"/>
      <w:lvlText w:val="•"/>
      <w:lvlJc w:val="left"/>
      <w:pPr>
        <w:tabs>
          <w:tab w:val="num" w:pos="720"/>
        </w:tabs>
        <w:ind w:left="720" w:hanging="360"/>
      </w:pPr>
      <w:rPr>
        <w:rFonts w:ascii="Arial" w:hAnsi="Arial" w:hint="default"/>
      </w:rPr>
    </w:lvl>
    <w:lvl w:ilvl="1" w:tplc="68C81734" w:tentative="1">
      <w:start w:val="1"/>
      <w:numFmt w:val="bullet"/>
      <w:lvlText w:val="•"/>
      <w:lvlJc w:val="left"/>
      <w:pPr>
        <w:tabs>
          <w:tab w:val="num" w:pos="1440"/>
        </w:tabs>
        <w:ind w:left="1440" w:hanging="360"/>
      </w:pPr>
      <w:rPr>
        <w:rFonts w:ascii="Arial" w:hAnsi="Arial" w:hint="default"/>
      </w:rPr>
    </w:lvl>
    <w:lvl w:ilvl="2" w:tplc="AF3E5B16">
      <w:start w:val="1"/>
      <w:numFmt w:val="bullet"/>
      <w:lvlText w:val="•"/>
      <w:lvlJc w:val="left"/>
      <w:pPr>
        <w:tabs>
          <w:tab w:val="num" w:pos="2160"/>
        </w:tabs>
        <w:ind w:left="2160" w:hanging="360"/>
      </w:pPr>
      <w:rPr>
        <w:rFonts w:ascii="Arial" w:hAnsi="Arial" w:hint="default"/>
      </w:rPr>
    </w:lvl>
    <w:lvl w:ilvl="3" w:tplc="C4D0D0C0" w:tentative="1">
      <w:start w:val="1"/>
      <w:numFmt w:val="bullet"/>
      <w:lvlText w:val="•"/>
      <w:lvlJc w:val="left"/>
      <w:pPr>
        <w:tabs>
          <w:tab w:val="num" w:pos="2880"/>
        </w:tabs>
        <w:ind w:left="2880" w:hanging="360"/>
      </w:pPr>
      <w:rPr>
        <w:rFonts w:ascii="Arial" w:hAnsi="Arial" w:hint="default"/>
      </w:rPr>
    </w:lvl>
    <w:lvl w:ilvl="4" w:tplc="CABAD73E" w:tentative="1">
      <w:start w:val="1"/>
      <w:numFmt w:val="bullet"/>
      <w:lvlText w:val="•"/>
      <w:lvlJc w:val="left"/>
      <w:pPr>
        <w:tabs>
          <w:tab w:val="num" w:pos="3600"/>
        </w:tabs>
        <w:ind w:left="3600" w:hanging="360"/>
      </w:pPr>
      <w:rPr>
        <w:rFonts w:ascii="Arial" w:hAnsi="Arial" w:hint="default"/>
      </w:rPr>
    </w:lvl>
    <w:lvl w:ilvl="5" w:tplc="EA74F946" w:tentative="1">
      <w:start w:val="1"/>
      <w:numFmt w:val="bullet"/>
      <w:lvlText w:val="•"/>
      <w:lvlJc w:val="left"/>
      <w:pPr>
        <w:tabs>
          <w:tab w:val="num" w:pos="4320"/>
        </w:tabs>
        <w:ind w:left="4320" w:hanging="360"/>
      </w:pPr>
      <w:rPr>
        <w:rFonts w:ascii="Arial" w:hAnsi="Arial" w:hint="default"/>
      </w:rPr>
    </w:lvl>
    <w:lvl w:ilvl="6" w:tplc="8CDC7186" w:tentative="1">
      <w:start w:val="1"/>
      <w:numFmt w:val="bullet"/>
      <w:lvlText w:val="•"/>
      <w:lvlJc w:val="left"/>
      <w:pPr>
        <w:tabs>
          <w:tab w:val="num" w:pos="5040"/>
        </w:tabs>
        <w:ind w:left="5040" w:hanging="360"/>
      </w:pPr>
      <w:rPr>
        <w:rFonts w:ascii="Arial" w:hAnsi="Arial" w:hint="default"/>
      </w:rPr>
    </w:lvl>
    <w:lvl w:ilvl="7" w:tplc="82346E96" w:tentative="1">
      <w:start w:val="1"/>
      <w:numFmt w:val="bullet"/>
      <w:lvlText w:val="•"/>
      <w:lvlJc w:val="left"/>
      <w:pPr>
        <w:tabs>
          <w:tab w:val="num" w:pos="5760"/>
        </w:tabs>
        <w:ind w:left="5760" w:hanging="360"/>
      </w:pPr>
      <w:rPr>
        <w:rFonts w:ascii="Arial" w:hAnsi="Arial" w:hint="default"/>
      </w:rPr>
    </w:lvl>
    <w:lvl w:ilvl="8" w:tplc="ED5EC8CC"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3F236FFA"/>
    <w:multiLevelType w:val="hybridMultilevel"/>
    <w:tmpl w:val="1DBAE5A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4C290919"/>
    <w:multiLevelType w:val="hybridMultilevel"/>
    <w:tmpl w:val="36CEE332"/>
    <w:lvl w:ilvl="0" w:tplc="59F0C06A">
      <w:start w:val="1"/>
      <w:numFmt w:val="bullet"/>
      <w:lvlText w:val=""/>
      <w:lvlJc w:val="left"/>
      <w:pPr>
        <w:ind w:left="720" w:hanging="360"/>
      </w:pPr>
      <w:rPr>
        <w:rFonts w:ascii="Wingdings" w:eastAsia="MS Mincho" w:hAnsi="Wingding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5C3C458E"/>
    <w:multiLevelType w:val="hybridMultilevel"/>
    <w:tmpl w:val="A95242A2"/>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16"/>
  </w:num>
  <w:num w:numId="2">
    <w:abstractNumId w:val="15"/>
  </w:num>
  <w:num w:numId="3">
    <w:abstractNumId w:val="11"/>
  </w:num>
  <w:num w:numId="4">
    <w:abstractNumId w:val="13"/>
  </w:num>
  <w:num w:numId="5">
    <w:abstractNumId w:val="23"/>
  </w:num>
  <w:num w:numId="6">
    <w:abstractNumId w:val="20"/>
  </w:num>
  <w:num w:numId="7">
    <w:abstractNumId w:val="14"/>
  </w:num>
  <w:num w:numId="8">
    <w:abstractNumId w:val="12"/>
  </w:num>
  <w:num w:numId="9">
    <w:abstractNumId w:val="22"/>
  </w:num>
  <w:num w:numId="10">
    <w:abstractNumId w:val="0"/>
  </w:num>
  <w:num w:numId="11">
    <w:abstractNumId w:val="1"/>
  </w:num>
  <w:num w:numId="12">
    <w:abstractNumId w:val="2"/>
  </w:num>
  <w:num w:numId="13">
    <w:abstractNumId w:val="3"/>
  </w:num>
  <w:num w:numId="14">
    <w:abstractNumId w:val="4"/>
  </w:num>
  <w:num w:numId="15">
    <w:abstractNumId w:val="9"/>
  </w:num>
  <w:num w:numId="16">
    <w:abstractNumId w:val="5"/>
  </w:num>
  <w:num w:numId="17">
    <w:abstractNumId w:val="6"/>
  </w:num>
  <w:num w:numId="18">
    <w:abstractNumId w:val="7"/>
  </w:num>
  <w:num w:numId="19">
    <w:abstractNumId w:val="8"/>
  </w:num>
  <w:num w:numId="20">
    <w:abstractNumId w:val="10"/>
  </w:num>
  <w:num w:numId="21">
    <w:abstractNumId w:val="17"/>
  </w:num>
  <w:num w:numId="22">
    <w:abstractNumId w:val="21"/>
  </w:num>
  <w:num w:numId="23">
    <w:abstractNumId w:val="19"/>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C0NDGxNDUwNDc2MDFX0lEKTi0uzszPAykwrAUAmNMqXywAAAA="/>
  </w:docVars>
  <w:rsids>
    <w:rsidRoot w:val="00ED075A"/>
    <w:rsid w:val="00000C64"/>
    <w:rsid w:val="00000E7D"/>
    <w:rsid w:val="00001666"/>
    <w:rsid w:val="00001A5E"/>
    <w:rsid w:val="00002AAB"/>
    <w:rsid w:val="000036C6"/>
    <w:rsid w:val="000039D4"/>
    <w:rsid w:val="00003A0B"/>
    <w:rsid w:val="00004AED"/>
    <w:rsid w:val="000072C2"/>
    <w:rsid w:val="0001140B"/>
    <w:rsid w:val="0001236F"/>
    <w:rsid w:val="00012847"/>
    <w:rsid w:val="00014DB1"/>
    <w:rsid w:val="00014F9E"/>
    <w:rsid w:val="00015D15"/>
    <w:rsid w:val="000163AB"/>
    <w:rsid w:val="00016FEB"/>
    <w:rsid w:val="00017FDC"/>
    <w:rsid w:val="0002039B"/>
    <w:rsid w:val="00023078"/>
    <w:rsid w:val="00023403"/>
    <w:rsid w:val="000268FE"/>
    <w:rsid w:val="00027916"/>
    <w:rsid w:val="00027DE2"/>
    <w:rsid w:val="00030156"/>
    <w:rsid w:val="00030423"/>
    <w:rsid w:val="00030FDE"/>
    <w:rsid w:val="000326F7"/>
    <w:rsid w:val="000342F2"/>
    <w:rsid w:val="00034C71"/>
    <w:rsid w:val="00034F18"/>
    <w:rsid w:val="000358C6"/>
    <w:rsid w:val="0003666E"/>
    <w:rsid w:val="00036A9D"/>
    <w:rsid w:val="00036CB0"/>
    <w:rsid w:val="0004033C"/>
    <w:rsid w:val="00040485"/>
    <w:rsid w:val="0004067F"/>
    <w:rsid w:val="00040D2C"/>
    <w:rsid w:val="000419A4"/>
    <w:rsid w:val="00042BED"/>
    <w:rsid w:val="00043E94"/>
    <w:rsid w:val="000443B1"/>
    <w:rsid w:val="0004523A"/>
    <w:rsid w:val="00045564"/>
    <w:rsid w:val="000466AC"/>
    <w:rsid w:val="000470C6"/>
    <w:rsid w:val="000528A8"/>
    <w:rsid w:val="0005300F"/>
    <w:rsid w:val="00053187"/>
    <w:rsid w:val="000531C9"/>
    <w:rsid w:val="00054E00"/>
    <w:rsid w:val="0005525A"/>
    <w:rsid w:val="000558F5"/>
    <w:rsid w:val="00055B54"/>
    <w:rsid w:val="000560CB"/>
    <w:rsid w:val="00056852"/>
    <w:rsid w:val="00056B83"/>
    <w:rsid w:val="00057220"/>
    <w:rsid w:val="0005726E"/>
    <w:rsid w:val="00060706"/>
    <w:rsid w:val="00062485"/>
    <w:rsid w:val="00062555"/>
    <w:rsid w:val="00062C04"/>
    <w:rsid w:val="00064143"/>
    <w:rsid w:val="00064F94"/>
    <w:rsid w:val="00066045"/>
    <w:rsid w:val="00067B15"/>
    <w:rsid w:val="00067BBD"/>
    <w:rsid w:val="0007026F"/>
    <w:rsid w:val="000702B7"/>
    <w:rsid w:val="00070CD1"/>
    <w:rsid w:val="00071087"/>
    <w:rsid w:val="00071ED7"/>
    <w:rsid w:val="00072667"/>
    <w:rsid w:val="0007375B"/>
    <w:rsid w:val="0007384F"/>
    <w:rsid w:val="00073A17"/>
    <w:rsid w:val="00074078"/>
    <w:rsid w:val="000743E9"/>
    <w:rsid w:val="00074A0F"/>
    <w:rsid w:val="000755AD"/>
    <w:rsid w:val="0007573F"/>
    <w:rsid w:val="0007675D"/>
    <w:rsid w:val="00076A42"/>
    <w:rsid w:val="000772AF"/>
    <w:rsid w:val="00077661"/>
    <w:rsid w:val="00077FF2"/>
    <w:rsid w:val="000818A9"/>
    <w:rsid w:val="00081F07"/>
    <w:rsid w:val="000830B5"/>
    <w:rsid w:val="0008368F"/>
    <w:rsid w:val="00084747"/>
    <w:rsid w:val="00084918"/>
    <w:rsid w:val="000861DA"/>
    <w:rsid w:val="00086B98"/>
    <w:rsid w:val="00086EBD"/>
    <w:rsid w:val="0009071C"/>
    <w:rsid w:val="00091270"/>
    <w:rsid w:val="0009187A"/>
    <w:rsid w:val="0009211F"/>
    <w:rsid w:val="00092242"/>
    <w:rsid w:val="000926FA"/>
    <w:rsid w:val="0009279A"/>
    <w:rsid w:val="00092882"/>
    <w:rsid w:val="00092956"/>
    <w:rsid w:val="00092A06"/>
    <w:rsid w:val="00093E5F"/>
    <w:rsid w:val="00094F8F"/>
    <w:rsid w:val="0009584E"/>
    <w:rsid w:val="00096AF2"/>
    <w:rsid w:val="00096DC2"/>
    <w:rsid w:val="0009785C"/>
    <w:rsid w:val="00097BF1"/>
    <w:rsid w:val="00097E2E"/>
    <w:rsid w:val="000A0C94"/>
    <w:rsid w:val="000A2084"/>
    <w:rsid w:val="000A22D8"/>
    <w:rsid w:val="000A2A74"/>
    <w:rsid w:val="000A2C44"/>
    <w:rsid w:val="000A38DA"/>
    <w:rsid w:val="000A47E4"/>
    <w:rsid w:val="000A4D24"/>
    <w:rsid w:val="000A641E"/>
    <w:rsid w:val="000B0740"/>
    <w:rsid w:val="000B13EB"/>
    <w:rsid w:val="000B1A52"/>
    <w:rsid w:val="000B1E01"/>
    <w:rsid w:val="000B2B73"/>
    <w:rsid w:val="000B34BB"/>
    <w:rsid w:val="000B45C8"/>
    <w:rsid w:val="000B4977"/>
    <w:rsid w:val="000B4DFE"/>
    <w:rsid w:val="000B4E83"/>
    <w:rsid w:val="000B4FF6"/>
    <w:rsid w:val="000B5705"/>
    <w:rsid w:val="000B78A8"/>
    <w:rsid w:val="000B7AC1"/>
    <w:rsid w:val="000B7C69"/>
    <w:rsid w:val="000C0163"/>
    <w:rsid w:val="000C0BF8"/>
    <w:rsid w:val="000C0C6B"/>
    <w:rsid w:val="000C1ED2"/>
    <w:rsid w:val="000C2431"/>
    <w:rsid w:val="000C47B8"/>
    <w:rsid w:val="000C4BAB"/>
    <w:rsid w:val="000C514C"/>
    <w:rsid w:val="000C5C30"/>
    <w:rsid w:val="000C6B0B"/>
    <w:rsid w:val="000C6B0E"/>
    <w:rsid w:val="000C6D52"/>
    <w:rsid w:val="000D1443"/>
    <w:rsid w:val="000D2148"/>
    <w:rsid w:val="000D33AE"/>
    <w:rsid w:val="000D393C"/>
    <w:rsid w:val="000D5D18"/>
    <w:rsid w:val="000D7D66"/>
    <w:rsid w:val="000E16C5"/>
    <w:rsid w:val="000E1CD9"/>
    <w:rsid w:val="000E254B"/>
    <w:rsid w:val="000E28F2"/>
    <w:rsid w:val="000E2BD2"/>
    <w:rsid w:val="000E3A28"/>
    <w:rsid w:val="000E3E4C"/>
    <w:rsid w:val="000E420A"/>
    <w:rsid w:val="000E4C88"/>
    <w:rsid w:val="000E5FBD"/>
    <w:rsid w:val="000E6385"/>
    <w:rsid w:val="000E6F35"/>
    <w:rsid w:val="000F4749"/>
    <w:rsid w:val="000F520A"/>
    <w:rsid w:val="000F5871"/>
    <w:rsid w:val="000F6117"/>
    <w:rsid w:val="000F67A2"/>
    <w:rsid w:val="000F7454"/>
    <w:rsid w:val="0010029C"/>
    <w:rsid w:val="00100CF1"/>
    <w:rsid w:val="001018F5"/>
    <w:rsid w:val="00101DEC"/>
    <w:rsid w:val="00102500"/>
    <w:rsid w:val="00102A97"/>
    <w:rsid w:val="00103138"/>
    <w:rsid w:val="0010359D"/>
    <w:rsid w:val="00104461"/>
    <w:rsid w:val="00106294"/>
    <w:rsid w:val="00106C1E"/>
    <w:rsid w:val="00107488"/>
    <w:rsid w:val="00107812"/>
    <w:rsid w:val="00110143"/>
    <w:rsid w:val="0011064C"/>
    <w:rsid w:val="00111999"/>
    <w:rsid w:val="00111D6F"/>
    <w:rsid w:val="001134AB"/>
    <w:rsid w:val="00113A25"/>
    <w:rsid w:val="00114E66"/>
    <w:rsid w:val="00115DF2"/>
    <w:rsid w:val="00116D82"/>
    <w:rsid w:val="00116D85"/>
    <w:rsid w:val="00117CB8"/>
    <w:rsid w:val="00117FAB"/>
    <w:rsid w:val="0012076E"/>
    <w:rsid w:val="00120B3C"/>
    <w:rsid w:val="00121D7D"/>
    <w:rsid w:val="0012764A"/>
    <w:rsid w:val="001278E7"/>
    <w:rsid w:val="00130337"/>
    <w:rsid w:val="0013053C"/>
    <w:rsid w:val="00130C68"/>
    <w:rsid w:val="0013257B"/>
    <w:rsid w:val="00132F25"/>
    <w:rsid w:val="00134839"/>
    <w:rsid w:val="00134A5D"/>
    <w:rsid w:val="00135E7B"/>
    <w:rsid w:val="001361A8"/>
    <w:rsid w:val="0013696F"/>
    <w:rsid w:val="00137F0D"/>
    <w:rsid w:val="00140A42"/>
    <w:rsid w:val="00141332"/>
    <w:rsid w:val="00141F6A"/>
    <w:rsid w:val="0014221D"/>
    <w:rsid w:val="00142774"/>
    <w:rsid w:val="00143270"/>
    <w:rsid w:val="0014429D"/>
    <w:rsid w:val="00144343"/>
    <w:rsid w:val="001449AB"/>
    <w:rsid w:val="001453FE"/>
    <w:rsid w:val="00146503"/>
    <w:rsid w:val="00146C4C"/>
    <w:rsid w:val="001508D5"/>
    <w:rsid w:val="0015135C"/>
    <w:rsid w:val="00152A1C"/>
    <w:rsid w:val="00153555"/>
    <w:rsid w:val="00153642"/>
    <w:rsid w:val="001536A3"/>
    <w:rsid w:val="00153815"/>
    <w:rsid w:val="00155D10"/>
    <w:rsid w:val="00161AD1"/>
    <w:rsid w:val="00161E97"/>
    <w:rsid w:val="0016277B"/>
    <w:rsid w:val="0016327D"/>
    <w:rsid w:val="00165279"/>
    <w:rsid w:val="00165573"/>
    <w:rsid w:val="00165959"/>
    <w:rsid w:val="001677D7"/>
    <w:rsid w:val="00167997"/>
    <w:rsid w:val="0017011C"/>
    <w:rsid w:val="001710A9"/>
    <w:rsid w:val="0017122A"/>
    <w:rsid w:val="001723FE"/>
    <w:rsid w:val="00173110"/>
    <w:rsid w:val="00173714"/>
    <w:rsid w:val="001761B8"/>
    <w:rsid w:val="00176E93"/>
    <w:rsid w:val="0018089D"/>
    <w:rsid w:val="00181416"/>
    <w:rsid w:val="0018147B"/>
    <w:rsid w:val="001814B0"/>
    <w:rsid w:val="00182589"/>
    <w:rsid w:val="00182F1D"/>
    <w:rsid w:val="00183CFF"/>
    <w:rsid w:val="00183E67"/>
    <w:rsid w:val="001872D2"/>
    <w:rsid w:val="001906AA"/>
    <w:rsid w:val="001906F1"/>
    <w:rsid w:val="0019145B"/>
    <w:rsid w:val="00191F29"/>
    <w:rsid w:val="00192E1F"/>
    <w:rsid w:val="001934AB"/>
    <w:rsid w:val="001952D6"/>
    <w:rsid w:val="001953C8"/>
    <w:rsid w:val="00196A06"/>
    <w:rsid w:val="00196DD9"/>
    <w:rsid w:val="0019761A"/>
    <w:rsid w:val="001A29DF"/>
    <w:rsid w:val="001A377B"/>
    <w:rsid w:val="001A3FEC"/>
    <w:rsid w:val="001A4263"/>
    <w:rsid w:val="001A575C"/>
    <w:rsid w:val="001A6716"/>
    <w:rsid w:val="001B0905"/>
    <w:rsid w:val="001B244C"/>
    <w:rsid w:val="001B3AE2"/>
    <w:rsid w:val="001B4A30"/>
    <w:rsid w:val="001B53AE"/>
    <w:rsid w:val="001B53EA"/>
    <w:rsid w:val="001B67BC"/>
    <w:rsid w:val="001B73A6"/>
    <w:rsid w:val="001B7A8C"/>
    <w:rsid w:val="001C005D"/>
    <w:rsid w:val="001C01AE"/>
    <w:rsid w:val="001C030D"/>
    <w:rsid w:val="001C05D1"/>
    <w:rsid w:val="001C09E9"/>
    <w:rsid w:val="001C1A81"/>
    <w:rsid w:val="001C295E"/>
    <w:rsid w:val="001C29DC"/>
    <w:rsid w:val="001C5305"/>
    <w:rsid w:val="001C58A8"/>
    <w:rsid w:val="001C6005"/>
    <w:rsid w:val="001C68FA"/>
    <w:rsid w:val="001C6DB2"/>
    <w:rsid w:val="001C7551"/>
    <w:rsid w:val="001C7CB1"/>
    <w:rsid w:val="001D2559"/>
    <w:rsid w:val="001D3F0B"/>
    <w:rsid w:val="001D55E9"/>
    <w:rsid w:val="001D5D4B"/>
    <w:rsid w:val="001D706D"/>
    <w:rsid w:val="001E0C2A"/>
    <w:rsid w:val="001E1498"/>
    <w:rsid w:val="001E14CF"/>
    <w:rsid w:val="001E23B3"/>
    <w:rsid w:val="001E2AF5"/>
    <w:rsid w:val="001E2D85"/>
    <w:rsid w:val="001E3EEF"/>
    <w:rsid w:val="001E43B3"/>
    <w:rsid w:val="001E455D"/>
    <w:rsid w:val="001E4793"/>
    <w:rsid w:val="001E639F"/>
    <w:rsid w:val="001E77A9"/>
    <w:rsid w:val="001E7999"/>
    <w:rsid w:val="001F0302"/>
    <w:rsid w:val="001F0515"/>
    <w:rsid w:val="001F08D3"/>
    <w:rsid w:val="001F0E69"/>
    <w:rsid w:val="001F1150"/>
    <w:rsid w:val="001F13CF"/>
    <w:rsid w:val="001F30D2"/>
    <w:rsid w:val="001F6680"/>
    <w:rsid w:val="001F747A"/>
    <w:rsid w:val="001F7BC1"/>
    <w:rsid w:val="001F7EF1"/>
    <w:rsid w:val="0020060F"/>
    <w:rsid w:val="0020075A"/>
    <w:rsid w:val="002010B7"/>
    <w:rsid w:val="0020149C"/>
    <w:rsid w:val="002015D9"/>
    <w:rsid w:val="0020197B"/>
    <w:rsid w:val="00201E15"/>
    <w:rsid w:val="00202B9B"/>
    <w:rsid w:val="00203286"/>
    <w:rsid w:val="00204099"/>
    <w:rsid w:val="00205CCF"/>
    <w:rsid w:val="00205E0A"/>
    <w:rsid w:val="00206F3E"/>
    <w:rsid w:val="0020776D"/>
    <w:rsid w:val="002100DD"/>
    <w:rsid w:val="002101DC"/>
    <w:rsid w:val="00210D78"/>
    <w:rsid w:val="00211958"/>
    <w:rsid w:val="00212C09"/>
    <w:rsid w:val="00212ED8"/>
    <w:rsid w:val="0021304C"/>
    <w:rsid w:val="0021369C"/>
    <w:rsid w:val="00213734"/>
    <w:rsid w:val="00213EFD"/>
    <w:rsid w:val="00215028"/>
    <w:rsid w:val="00216BBE"/>
    <w:rsid w:val="00217669"/>
    <w:rsid w:val="00220160"/>
    <w:rsid w:val="0022076F"/>
    <w:rsid w:val="00223151"/>
    <w:rsid w:val="00223E46"/>
    <w:rsid w:val="00225216"/>
    <w:rsid w:val="00226A61"/>
    <w:rsid w:val="00230BDB"/>
    <w:rsid w:val="00231946"/>
    <w:rsid w:val="0023204E"/>
    <w:rsid w:val="0023230F"/>
    <w:rsid w:val="00232A5A"/>
    <w:rsid w:val="00232C37"/>
    <w:rsid w:val="00235A30"/>
    <w:rsid w:val="0023615A"/>
    <w:rsid w:val="002372DE"/>
    <w:rsid w:val="00237F88"/>
    <w:rsid w:val="00237F91"/>
    <w:rsid w:val="002405CF"/>
    <w:rsid w:val="00240816"/>
    <w:rsid w:val="0024313F"/>
    <w:rsid w:val="0024319C"/>
    <w:rsid w:val="00243530"/>
    <w:rsid w:val="002437CF"/>
    <w:rsid w:val="00243C97"/>
    <w:rsid w:val="002448D8"/>
    <w:rsid w:val="002456A0"/>
    <w:rsid w:val="0024582E"/>
    <w:rsid w:val="00245A3B"/>
    <w:rsid w:val="00245F0A"/>
    <w:rsid w:val="002467CF"/>
    <w:rsid w:val="00246C2B"/>
    <w:rsid w:val="00246DD2"/>
    <w:rsid w:val="002474CF"/>
    <w:rsid w:val="00247B08"/>
    <w:rsid w:val="00250B42"/>
    <w:rsid w:val="002512AC"/>
    <w:rsid w:val="00251D9E"/>
    <w:rsid w:val="00252FD3"/>
    <w:rsid w:val="002534CE"/>
    <w:rsid w:val="00254117"/>
    <w:rsid w:val="002551CD"/>
    <w:rsid w:val="0025711F"/>
    <w:rsid w:val="002573A8"/>
    <w:rsid w:val="002608C6"/>
    <w:rsid w:val="00260C95"/>
    <w:rsid w:val="00262A2E"/>
    <w:rsid w:val="00264212"/>
    <w:rsid w:val="00264975"/>
    <w:rsid w:val="0026508C"/>
    <w:rsid w:val="00265B5E"/>
    <w:rsid w:val="00265BF7"/>
    <w:rsid w:val="00267BE5"/>
    <w:rsid w:val="00267D7A"/>
    <w:rsid w:val="00271D19"/>
    <w:rsid w:val="0027363E"/>
    <w:rsid w:val="00273E6B"/>
    <w:rsid w:val="00274978"/>
    <w:rsid w:val="00276491"/>
    <w:rsid w:val="00276ABE"/>
    <w:rsid w:val="00277621"/>
    <w:rsid w:val="002805A8"/>
    <w:rsid w:val="002810C0"/>
    <w:rsid w:val="002827E0"/>
    <w:rsid w:val="00282D1E"/>
    <w:rsid w:val="00283858"/>
    <w:rsid w:val="00284873"/>
    <w:rsid w:val="00284C67"/>
    <w:rsid w:val="00284D8D"/>
    <w:rsid w:val="0028507E"/>
    <w:rsid w:val="002858CF"/>
    <w:rsid w:val="00286D7E"/>
    <w:rsid w:val="00287004"/>
    <w:rsid w:val="00287006"/>
    <w:rsid w:val="002874CB"/>
    <w:rsid w:val="00287849"/>
    <w:rsid w:val="0029312E"/>
    <w:rsid w:val="002941A0"/>
    <w:rsid w:val="00296735"/>
    <w:rsid w:val="002969CD"/>
    <w:rsid w:val="00297388"/>
    <w:rsid w:val="002979C3"/>
    <w:rsid w:val="002A0E9A"/>
    <w:rsid w:val="002A1083"/>
    <w:rsid w:val="002A23AB"/>
    <w:rsid w:val="002A27E1"/>
    <w:rsid w:val="002A29DC"/>
    <w:rsid w:val="002A3A61"/>
    <w:rsid w:val="002A3EA4"/>
    <w:rsid w:val="002A43EC"/>
    <w:rsid w:val="002A48AD"/>
    <w:rsid w:val="002A4A5F"/>
    <w:rsid w:val="002A66E9"/>
    <w:rsid w:val="002A6B3D"/>
    <w:rsid w:val="002A6C41"/>
    <w:rsid w:val="002A6DD5"/>
    <w:rsid w:val="002A7F09"/>
    <w:rsid w:val="002B0278"/>
    <w:rsid w:val="002B0815"/>
    <w:rsid w:val="002B0D5D"/>
    <w:rsid w:val="002B1501"/>
    <w:rsid w:val="002B1B48"/>
    <w:rsid w:val="002B2D90"/>
    <w:rsid w:val="002B3478"/>
    <w:rsid w:val="002B3E21"/>
    <w:rsid w:val="002B4B2C"/>
    <w:rsid w:val="002B4E50"/>
    <w:rsid w:val="002B5207"/>
    <w:rsid w:val="002B5300"/>
    <w:rsid w:val="002B6A41"/>
    <w:rsid w:val="002B6DAA"/>
    <w:rsid w:val="002B77D0"/>
    <w:rsid w:val="002C15B6"/>
    <w:rsid w:val="002C1C51"/>
    <w:rsid w:val="002C2923"/>
    <w:rsid w:val="002C3435"/>
    <w:rsid w:val="002C4B96"/>
    <w:rsid w:val="002C4D0D"/>
    <w:rsid w:val="002C7379"/>
    <w:rsid w:val="002C7B77"/>
    <w:rsid w:val="002D0386"/>
    <w:rsid w:val="002D1950"/>
    <w:rsid w:val="002D2675"/>
    <w:rsid w:val="002D2E66"/>
    <w:rsid w:val="002D4AB5"/>
    <w:rsid w:val="002D4BF1"/>
    <w:rsid w:val="002D4FD2"/>
    <w:rsid w:val="002D658E"/>
    <w:rsid w:val="002E0144"/>
    <w:rsid w:val="002E16D8"/>
    <w:rsid w:val="002E2A19"/>
    <w:rsid w:val="002E2A20"/>
    <w:rsid w:val="002E41B2"/>
    <w:rsid w:val="002E4AE1"/>
    <w:rsid w:val="002E4D18"/>
    <w:rsid w:val="002E4F5A"/>
    <w:rsid w:val="002E650D"/>
    <w:rsid w:val="002E6A3D"/>
    <w:rsid w:val="002E7231"/>
    <w:rsid w:val="002E7A5B"/>
    <w:rsid w:val="002E7B6B"/>
    <w:rsid w:val="002F0B8A"/>
    <w:rsid w:val="002F187F"/>
    <w:rsid w:val="002F248C"/>
    <w:rsid w:val="002F2830"/>
    <w:rsid w:val="002F2D73"/>
    <w:rsid w:val="002F39CB"/>
    <w:rsid w:val="002F3AF6"/>
    <w:rsid w:val="002F4D74"/>
    <w:rsid w:val="002F4E4C"/>
    <w:rsid w:val="002F669F"/>
    <w:rsid w:val="002F6857"/>
    <w:rsid w:val="002F72ED"/>
    <w:rsid w:val="002F7829"/>
    <w:rsid w:val="002F7943"/>
    <w:rsid w:val="002F7E70"/>
    <w:rsid w:val="0030080F"/>
    <w:rsid w:val="00300B24"/>
    <w:rsid w:val="00301F77"/>
    <w:rsid w:val="00302A35"/>
    <w:rsid w:val="0030453A"/>
    <w:rsid w:val="00304FC8"/>
    <w:rsid w:val="003058C6"/>
    <w:rsid w:val="0030591C"/>
    <w:rsid w:val="00306EF5"/>
    <w:rsid w:val="003077F8"/>
    <w:rsid w:val="00307F9D"/>
    <w:rsid w:val="003103AA"/>
    <w:rsid w:val="0031103E"/>
    <w:rsid w:val="00311BF7"/>
    <w:rsid w:val="003133C2"/>
    <w:rsid w:val="00314114"/>
    <w:rsid w:val="00315040"/>
    <w:rsid w:val="003157FA"/>
    <w:rsid w:val="00315A71"/>
    <w:rsid w:val="00315E28"/>
    <w:rsid w:val="00317DD5"/>
    <w:rsid w:val="00317E16"/>
    <w:rsid w:val="0032114E"/>
    <w:rsid w:val="003230F0"/>
    <w:rsid w:val="00323179"/>
    <w:rsid w:val="003235AF"/>
    <w:rsid w:val="00323F64"/>
    <w:rsid w:val="00324725"/>
    <w:rsid w:val="00325647"/>
    <w:rsid w:val="00326043"/>
    <w:rsid w:val="00327010"/>
    <w:rsid w:val="00327470"/>
    <w:rsid w:val="003314A1"/>
    <w:rsid w:val="003322D2"/>
    <w:rsid w:val="003334A5"/>
    <w:rsid w:val="00333F07"/>
    <w:rsid w:val="00333F6D"/>
    <w:rsid w:val="003344BC"/>
    <w:rsid w:val="00334B2E"/>
    <w:rsid w:val="00335C2D"/>
    <w:rsid w:val="00335FEE"/>
    <w:rsid w:val="00336D3D"/>
    <w:rsid w:val="00337C4D"/>
    <w:rsid w:val="0034084F"/>
    <w:rsid w:val="0034086E"/>
    <w:rsid w:val="00341571"/>
    <w:rsid w:val="00341D08"/>
    <w:rsid w:val="00342F50"/>
    <w:rsid w:val="00344C32"/>
    <w:rsid w:val="00344EDB"/>
    <w:rsid w:val="00345027"/>
    <w:rsid w:val="0034515A"/>
    <w:rsid w:val="0034712A"/>
    <w:rsid w:val="00347915"/>
    <w:rsid w:val="00347D1A"/>
    <w:rsid w:val="00347EC5"/>
    <w:rsid w:val="003504D8"/>
    <w:rsid w:val="00350DEF"/>
    <w:rsid w:val="003510BF"/>
    <w:rsid w:val="003518FD"/>
    <w:rsid w:val="003525BA"/>
    <w:rsid w:val="0035277D"/>
    <w:rsid w:val="00352C78"/>
    <w:rsid w:val="00354B49"/>
    <w:rsid w:val="0035516F"/>
    <w:rsid w:val="00355679"/>
    <w:rsid w:val="00355F24"/>
    <w:rsid w:val="00356465"/>
    <w:rsid w:val="0035794C"/>
    <w:rsid w:val="00357D33"/>
    <w:rsid w:val="00360A63"/>
    <w:rsid w:val="0036197F"/>
    <w:rsid w:val="003620FC"/>
    <w:rsid w:val="0036231B"/>
    <w:rsid w:val="00363827"/>
    <w:rsid w:val="00363B3E"/>
    <w:rsid w:val="003648E9"/>
    <w:rsid w:val="00364FBC"/>
    <w:rsid w:val="0037055C"/>
    <w:rsid w:val="003717CF"/>
    <w:rsid w:val="00372D7E"/>
    <w:rsid w:val="00372DE8"/>
    <w:rsid w:val="00374CF1"/>
    <w:rsid w:val="00374D48"/>
    <w:rsid w:val="00375366"/>
    <w:rsid w:val="003754C4"/>
    <w:rsid w:val="003766C3"/>
    <w:rsid w:val="00380EE5"/>
    <w:rsid w:val="003811E5"/>
    <w:rsid w:val="00381466"/>
    <w:rsid w:val="003816A4"/>
    <w:rsid w:val="00381CF1"/>
    <w:rsid w:val="00381EA6"/>
    <w:rsid w:val="003828EE"/>
    <w:rsid w:val="00384549"/>
    <w:rsid w:val="00386E89"/>
    <w:rsid w:val="00390320"/>
    <w:rsid w:val="003909A3"/>
    <w:rsid w:val="003909CB"/>
    <w:rsid w:val="00391493"/>
    <w:rsid w:val="003916AD"/>
    <w:rsid w:val="003931F9"/>
    <w:rsid w:val="00393669"/>
    <w:rsid w:val="00393CE5"/>
    <w:rsid w:val="00394C8E"/>
    <w:rsid w:val="0039774F"/>
    <w:rsid w:val="003A180D"/>
    <w:rsid w:val="003A231E"/>
    <w:rsid w:val="003A26D3"/>
    <w:rsid w:val="003A2ED0"/>
    <w:rsid w:val="003A2F4E"/>
    <w:rsid w:val="003A32CA"/>
    <w:rsid w:val="003A5447"/>
    <w:rsid w:val="003A56D8"/>
    <w:rsid w:val="003A61C6"/>
    <w:rsid w:val="003A7F9C"/>
    <w:rsid w:val="003B0260"/>
    <w:rsid w:val="003B095B"/>
    <w:rsid w:val="003B370B"/>
    <w:rsid w:val="003B591B"/>
    <w:rsid w:val="003B694B"/>
    <w:rsid w:val="003B72AD"/>
    <w:rsid w:val="003B73DE"/>
    <w:rsid w:val="003B74D0"/>
    <w:rsid w:val="003B7B20"/>
    <w:rsid w:val="003C0777"/>
    <w:rsid w:val="003C1B9A"/>
    <w:rsid w:val="003C3200"/>
    <w:rsid w:val="003C3CFC"/>
    <w:rsid w:val="003C42C2"/>
    <w:rsid w:val="003C4873"/>
    <w:rsid w:val="003C533F"/>
    <w:rsid w:val="003C6E94"/>
    <w:rsid w:val="003D0A26"/>
    <w:rsid w:val="003D14FC"/>
    <w:rsid w:val="003D1963"/>
    <w:rsid w:val="003D2D55"/>
    <w:rsid w:val="003D3D85"/>
    <w:rsid w:val="003D403C"/>
    <w:rsid w:val="003D4159"/>
    <w:rsid w:val="003D4FD5"/>
    <w:rsid w:val="003D6949"/>
    <w:rsid w:val="003D6964"/>
    <w:rsid w:val="003D76D7"/>
    <w:rsid w:val="003D7761"/>
    <w:rsid w:val="003E0582"/>
    <w:rsid w:val="003E0650"/>
    <w:rsid w:val="003E09A4"/>
    <w:rsid w:val="003E1250"/>
    <w:rsid w:val="003E1773"/>
    <w:rsid w:val="003E17CC"/>
    <w:rsid w:val="003E1A97"/>
    <w:rsid w:val="003E1A9F"/>
    <w:rsid w:val="003E2CA0"/>
    <w:rsid w:val="003E444D"/>
    <w:rsid w:val="003E4890"/>
    <w:rsid w:val="003E5775"/>
    <w:rsid w:val="003E6512"/>
    <w:rsid w:val="003E6AEE"/>
    <w:rsid w:val="003E6E7F"/>
    <w:rsid w:val="003E6EA3"/>
    <w:rsid w:val="003E6EED"/>
    <w:rsid w:val="003E7147"/>
    <w:rsid w:val="003F2AAF"/>
    <w:rsid w:val="003F323B"/>
    <w:rsid w:val="003F333C"/>
    <w:rsid w:val="003F3381"/>
    <w:rsid w:val="003F3B25"/>
    <w:rsid w:val="003F3D5B"/>
    <w:rsid w:val="003F465E"/>
    <w:rsid w:val="003F4B57"/>
    <w:rsid w:val="003F4E01"/>
    <w:rsid w:val="003F6E5A"/>
    <w:rsid w:val="003F710F"/>
    <w:rsid w:val="003F7552"/>
    <w:rsid w:val="003F756D"/>
    <w:rsid w:val="004009E3"/>
    <w:rsid w:val="004014EE"/>
    <w:rsid w:val="00401E71"/>
    <w:rsid w:val="00402970"/>
    <w:rsid w:val="00404AFF"/>
    <w:rsid w:val="004054B5"/>
    <w:rsid w:val="0040576E"/>
    <w:rsid w:val="004063C9"/>
    <w:rsid w:val="0040666C"/>
    <w:rsid w:val="00407DA1"/>
    <w:rsid w:val="004100FB"/>
    <w:rsid w:val="00410454"/>
    <w:rsid w:val="00410465"/>
    <w:rsid w:val="00410A69"/>
    <w:rsid w:val="00410C38"/>
    <w:rsid w:val="00413A53"/>
    <w:rsid w:val="00414BEB"/>
    <w:rsid w:val="00416E89"/>
    <w:rsid w:val="00417541"/>
    <w:rsid w:val="00417D29"/>
    <w:rsid w:val="004215BB"/>
    <w:rsid w:val="00422021"/>
    <w:rsid w:val="00422DF6"/>
    <w:rsid w:val="004237A1"/>
    <w:rsid w:val="004254B7"/>
    <w:rsid w:val="00425812"/>
    <w:rsid w:val="00425F30"/>
    <w:rsid w:val="004274E5"/>
    <w:rsid w:val="00431079"/>
    <w:rsid w:val="0043120D"/>
    <w:rsid w:val="004313C9"/>
    <w:rsid w:val="0043162A"/>
    <w:rsid w:val="00431E33"/>
    <w:rsid w:val="00432590"/>
    <w:rsid w:val="004363B5"/>
    <w:rsid w:val="00436AD7"/>
    <w:rsid w:val="00436D7A"/>
    <w:rsid w:val="00437899"/>
    <w:rsid w:val="00437946"/>
    <w:rsid w:val="00440185"/>
    <w:rsid w:val="00440897"/>
    <w:rsid w:val="0044150C"/>
    <w:rsid w:val="00441636"/>
    <w:rsid w:val="004421BA"/>
    <w:rsid w:val="00442D4C"/>
    <w:rsid w:val="00443A38"/>
    <w:rsid w:val="00446B76"/>
    <w:rsid w:val="00450D46"/>
    <w:rsid w:val="00451261"/>
    <w:rsid w:val="00451F99"/>
    <w:rsid w:val="00452FE0"/>
    <w:rsid w:val="00453336"/>
    <w:rsid w:val="004549F0"/>
    <w:rsid w:val="00455298"/>
    <w:rsid w:val="00456415"/>
    <w:rsid w:val="0046215A"/>
    <w:rsid w:val="0046285A"/>
    <w:rsid w:val="00462D48"/>
    <w:rsid w:val="00462EBE"/>
    <w:rsid w:val="004634DA"/>
    <w:rsid w:val="004636CF"/>
    <w:rsid w:val="0046405A"/>
    <w:rsid w:val="0046743E"/>
    <w:rsid w:val="00467853"/>
    <w:rsid w:val="00471EC8"/>
    <w:rsid w:val="004726FA"/>
    <w:rsid w:val="00472FAA"/>
    <w:rsid w:val="004732C3"/>
    <w:rsid w:val="004732E9"/>
    <w:rsid w:val="00473CBA"/>
    <w:rsid w:val="00475A6B"/>
    <w:rsid w:val="00477082"/>
    <w:rsid w:val="00477F41"/>
    <w:rsid w:val="004806E2"/>
    <w:rsid w:val="004819B4"/>
    <w:rsid w:val="00482E09"/>
    <w:rsid w:val="00484DE9"/>
    <w:rsid w:val="00484E5C"/>
    <w:rsid w:val="00486642"/>
    <w:rsid w:val="004867E0"/>
    <w:rsid w:val="0048783F"/>
    <w:rsid w:val="00487C26"/>
    <w:rsid w:val="004912C8"/>
    <w:rsid w:val="004914BD"/>
    <w:rsid w:val="004915C7"/>
    <w:rsid w:val="00491E62"/>
    <w:rsid w:val="00492AAB"/>
    <w:rsid w:val="00494132"/>
    <w:rsid w:val="00495877"/>
    <w:rsid w:val="0049657B"/>
    <w:rsid w:val="004968F5"/>
    <w:rsid w:val="00496911"/>
    <w:rsid w:val="004A1A06"/>
    <w:rsid w:val="004A1B25"/>
    <w:rsid w:val="004A222F"/>
    <w:rsid w:val="004A3731"/>
    <w:rsid w:val="004A39A9"/>
    <w:rsid w:val="004A4591"/>
    <w:rsid w:val="004A508E"/>
    <w:rsid w:val="004A514A"/>
    <w:rsid w:val="004A6F88"/>
    <w:rsid w:val="004B054F"/>
    <w:rsid w:val="004B13BA"/>
    <w:rsid w:val="004B13EE"/>
    <w:rsid w:val="004B14DA"/>
    <w:rsid w:val="004B1E91"/>
    <w:rsid w:val="004B2CBB"/>
    <w:rsid w:val="004B2E31"/>
    <w:rsid w:val="004B5D74"/>
    <w:rsid w:val="004B6836"/>
    <w:rsid w:val="004B698D"/>
    <w:rsid w:val="004B6DE2"/>
    <w:rsid w:val="004B6DF2"/>
    <w:rsid w:val="004B74F4"/>
    <w:rsid w:val="004B7D7C"/>
    <w:rsid w:val="004B7EE0"/>
    <w:rsid w:val="004B7F05"/>
    <w:rsid w:val="004C261A"/>
    <w:rsid w:val="004C29E4"/>
    <w:rsid w:val="004C3239"/>
    <w:rsid w:val="004C45FE"/>
    <w:rsid w:val="004C4BA7"/>
    <w:rsid w:val="004C5A82"/>
    <w:rsid w:val="004C6125"/>
    <w:rsid w:val="004C66DA"/>
    <w:rsid w:val="004C7735"/>
    <w:rsid w:val="004D0420"/>
    <w:rsid w:val="004D2481"/>
    <w:rsid w:val="004D328E"/>
    <w:rsid w:val="004D33BA"/>
    <w:rsid w:val="004D4188"/>
    <w:rsid w:val="004D4DB1"/>
    <w:rsid w:val="004D4EC9"/>
    <w:rsid w:val="004D554A"/>
    <w:rsid w:val="004D63F9"/>
    <w:rsid w:val="004D653A"/>
    <w:rsid w:val="004E01A4"/>
    <w:rsid w:val="004E01BA"/>
    <w:rsid w:val="004E0D52"/>
    <w:rsid w:val="004E1DAF"/>
    <w:rsid w:val="004E2923"/>
    <w:rsid w:val="004E2C06"/>
    <w:rsid w:val="004E37E4"/>
    <w:rsid w:val="004E4070"/>
    <w:rsid w:val="004E407C"/>
    <w:rsid w:val="004E40B9"/>
    <w:rsid w:val="004E4590"/>
    <w:rsid w:val="004E4EE1"/>
    <w:rsid w:val="004E5D70"/>
    <w:rsid w:val="004E6CAE"/>
    <w:rsid w:val="004E73C8"/>
    <w:rsid w:val="004E7F80"/>
    <w:rsid w:val="004F3027"/>
    <w:rsid w:val="004F4A9E"/>
    <w:rsid w:val="004F4D33"/>
    <w:rsid w:val="004F50A6"/>
    <w:rsid w:val="004F55B3"/>
    <w:rsid w:val="00501239"/>
    <w:rsid w:val="00501537"/>
    <w:rsid w:val="00501746"/>
    <w:rsid w:val="00501DE9"/>
    <w:rsid w:val="00504226"/>
    <w:rsid w:val="00506C9C"/>
    <w:rsid w:val="00506DB7"/>
    <w:rsid w:val="005070B3"/>
    <w:rsid w:val="0050730C"/>
    <w:rsid w:val="005130C7"/>
    <w:rsid w:val="005136DB"/>
    <w:rsid w:val="0051581C"/>
    <w:rsid w:val="00517211"/>
    <w:rsid w:val="00517FC9"/>
    <w:rsid w:val="00520A29"/>
    <w:rsid w:val="00521361"/>
    <w:rsid w:val="00523AC6"/>
    <w:rsid w:val="00523C7A"/>
    <w:rsid w:val="00524245"/>
    <w:rsid w:val="0052469C"/>
    <w:rsid w:val="005247A3"/>
    <w:rsid w:val="00524B80"/>
    <w:rsid w:val="00526C95"/>
    <w:rsid w:val="00527EF7"/>
    <w:rsid w:val="00527F16"/>
    <w:rsid w:val="005304DB"/>
    <w:rsid w:val="00531621"/>
    <w:rsid w:val="0053253A"/>
    <w:rsid w:val="00532F0A"/>
    <w:rsid w:val="00533CF3"/>
    <w:rsid w:val="00535B9B"/>
    <w:rsid w:val="00535C82"/>
    <w:rsid w:val="00536A2F"/>
    <w:rsid w:val="00537CBB"/>
    <w:rsid w:val="00537E6A"/>
    <w:rsid w:val="00540177"/>
    <w:rsid w:val="00541FBA"/>
    <w:rsid w:val="00542A19"/>
    <w:rsid w:val="005437B7"/>
    <w:rsid w:val="00543814"/>
    <w:rsid w:val="00544739"/>
    <w:rsid w:val="0054567B"/>
    <w:rsid w:val="0054709E"/>
    <w:rsid w:val="00552B9A"/>
    <w:rsid w:val="005538D8"/>
    <w:rsid w:val="0055440E"/>
    <w:rsid w:val="005611E8"/>
    <w:rsid w:val="00562F9D"/>
    <w:rsid w:val="00563240"/>
    <w:rsid w:val="00563D47"/>
    <w:rsid w:val="00563F58"/>
    <w:rsid w:val="00564AE7"/>
    <w:rsid w:val="00565EEF"/>
    <w:rsid w:val="005671F6"/>
    <w:rsid w:val="005721D9"/>
    <w:rsid w:val="00572A38"/>
    <w:rsid w:val="00574668"/>
    <w:rsid w:val="00574D32"/>
    <w:rsid w:val="005750F3"/>
    <w:rsid w:val="00575885"/>
    <w:rsid w:val="00577386"/>
    <w:rsid w:val="00577D03"/>
    <w:rsid w:val="005805A1"/>
    <w:rsid w:val="00580CBB"/>
    <w:rsid w:val="00581F18"/>
    <w:rsid w:val="00583A76"/>
    <w:rsid w:val="00584E78"/>
    <w:rsid w:val="00585135"/>
    <w:rsid w:val="00585981"/>
    <w:rsid w:val="00587521"/>
    <w:rsid w:val="00587787"/>
    <w:rsid w:val="00587BC8"/>
    <w:rsid w:val="00587D9C"/>
    <w:rsid w:val="0059064F"/>
    <w:rsid w:val="00590764"/>
    <w:rsid w:val="00590B2F"/>
    <w:rsid w:val="005914AA"/>
    <w:rsid w:val="00593EFA"/>
    <w:rsid w:val="005943FF"/>
    <w:rsid w:val="00595B03"/>
    <w:rsid w:val="00595D32"/>
    <w:rsid w:val="0059651D"/>
    <w:rsid w:val="00596F76"/>
    <w:rsid w:val="00597289"/>
    <w:rsid w:val="005A0095"/>
    <w:rsid w:val="005A0187"/>
    <w:rsid w:val="005A0A26"/>
    <w:rsid w:val="005A1033"/>
    <w:rsid w:val="005A134F"/>
    <w:rsid w:val="005A1769"/>
    <w:rsid w:val="005A2028"/>
    <w:rsid w:val="005A3643"/>
    <w:rsid w:val="005A3710"/>
    <w:rsid w:val="005A4B04"/>
    <w:rsid w:val="005A50F2"/>
    <w:rsid w:val="005A565E"/>
    <w:rsid w:val="005A6270"/>
    <w:rsid w:val="005B0688"/>
    <w:rsid w:val="005B1537"/>
    <w:rsid w:val="005B2998"/>
    <w:rsid w:val="005B3784"/>
    <w:rsid w:val="005B5025"/>
    <w:rsid w:val="005B5E57"/>
    <w:rsid w:val="005B5E76"/>
    <w:rsid w:val="005B5EB0"/>
    <w:rsid w:val="005B6387"/>
    <w:rsid w:val="005B72DD"/>
    <w:rsid w:val="005C19BB"/>
    <w:rsid w:val="005C2E76"/>
    <w:rsid w:val="005C5A17"/>
    <w:rsid w:val="005C5CB7"/>
    <w:rsid w:val="005C6159"/>
    <w:rsid w:val="005D0BE0"/>
    <w:rsid w:val="005D0C47"/>
    <w:rsid w:val="005D1C84"/>
    <w:rsid w:val="005D2B3A"/>
    <w:rsid w:val="005D2C46"/>
    <w:rsid w:val="005D2C95"/>
    <w:rsid w:val="005D2E58"/>
    <w:rsid w:val="005D33BC"/>
    <w:rsid w:val="005D367E"/>
    <w:rsid w:val="005D38AC"/>
    <w:rsid w:val="005D5982"/>
    <w:rsid w:val="005D7402"/>
    <w:rsid w:val="005D7C2A"/>
    <w:rsid w:val="005D7DD5"/>
    <w:rsid w:val="005E0AD4"/>
    <w:rsid w:val="005E2011"/>
    <w:rsid w:val="005E2AAA"/>
    <w:rsid w:val="005E2CAC"/>
    <w:rsid w:val="005E3C02"/>
    <w:rsid w:val="005E41C6"/>
    <w:rsid w:val="005E5457"/>
    <w:rsid w:val="005F0255"/>
    <w:rsid w:val="005F099B"/>
    <w:rsid w:val="005F3F81"/>
    <w:rsid w:val="005F4B86"/>
    <w:rsid w:val="005F5001"/>
    <w:rsid w:val="005F51C4"/>
    <w:rsid w:val="005F6B2F"/>
    <w:rsid w:val="005F765A"/>
    <w:rsid w:val="0060330D"/>
    <w:rsid w:val="006059D4"/>
    <w:rsid w:val="00605ACA"/>
    <w:rsid w:val="00605DAD"/>
    <w:rsid w:val="0060630F"/>
    <w:rsid w:val="00606A38"/>
    <w:rsid w:val="006070AC"/>
    <w:rsid w:val="00607900"/>
    <w:rsid w:val="00611C49"/>
    <w:rsid w:val="006125E9"/>
    <w:rsid w:val="00612DF6"/>
    <w:rsid w:val="006131F3"/>
    <w:rsid w:val="006147D7"/>
    <w:rsid w:val="006148E0"/>
    <w:rsid w:val="00614A83"/>
    <w:rsid w:val="00616979"/>
    <w:rsid w:val="00616F26"/>
    <w:rsid w:val="00617839"/>
    <w:rsid w:val="00617FAF"/>
    <w:rsid w:val="00620FC1"/>
    <w:rsid w:val="0062468B"/>
    <w:rsid w:val="00624D3D"/>
    <w:rsid w:val="0062718D"/>
    <w:rsid w:val="006271F9"/>
    <w:rsid w:val="00627C6D"/>
    <w:rsid w:val="006304AA"/>
    <w:rsid w:val="00630638"/>
    <w:rsid w:val="00630D07"/>
    <w:rsid w:val="00631A57"/>
    <w:rsid w:val="0063293F"/>
    <w:rsid w:val="006351FC"/>
    <w:rsid w:val="00635838"/>
    <w:rsid w:val="00635AFA"/>
    <w:rsid w:val="006363F7"/>
    <w:rsid w:val="006378B6"/>
    <w:rsid w:val="00642208"/>
    <w:rsid w:val="0064267D"/>
    <w:rsid w:val="0064455A"/>
    <w:rsid w:val="006474A1"/>
    <w:rsid w:val="006507B1"/>
    <w:rsid w:val="00651501"/>
    <w:rsid w:val="006544F8"/>
    <w:rsid w:val="0065565D"/>
    <w:rsid w:val="00655B71"/>
    <w:rsid w:val="006567AA"/>
    <w:rsid w:val="006568F4"/>
    <w:rsid w:val="006569DB"/>
    <w:rsid w:val="00660152"/>
    <w:rsid w:val="00661FE1"/>
    <w:rsid w:val="0066200D"/>
    <w:rsid w:val="00662660"/>
    <w:rsid w:val="006634F0"/>
    <w:rsid w:val="00664DFF"/>
    <w:rsid w:val="00665CE8"/>
    <w:rsid w:val="00665D18"/>
    <w:rsid w:val="006669A0"/>
    <w:rsid w:val="00666B28"/>
    <w:rsid w:val="00666C6A"/>
    <w:rsid w:val="006670D1"/>
    <w:rsid w:val="006679E7"/>
    <w:rsid w:val="00670550"/>
    <w:rsid w:val="00671059"/>
    <w:rsid w:val="00671465"/>
    <w:rsid w:val="00672CEB"/>
    <w:rsid w:val="006731F9"/>
    <w:rsid w:val="00674A03"/>
    <w:rsid w:val="00674E6A"/>
    <w:rsid w:val="00676038"/>
    <w:rsid w:val="00676830"/>
    <w:rsid w:val="00676AAB"/>
    <w:rsid w:val="00681660"/>
    <w:rsid w:val="00681A0C"/>
    <w:rsid w:val="00681B7B"/>
    <w:rsid w:val="0068200E"/>
    <w:rsid w:val="006820A4"/>
    <w:rsid w:val="006831A8"/>
    <w:rsid w:val="00683280"/>
    <w:rsid w:val="00683B17"/>
    <w:rsid w:val="00685699"/>
    <w:rsid w:val="006857A4"/>
    <w:rsid w:val="006863F1"/>
    <w:rsid w:val="00686CBB"/>
    <w:rsid w:val="00687453"/>
    <w:rsid w:val="00687ADF"/>
    <w:rsid w:val="0069030D"/>
    <w:rsid w:val="0069098E"/>
    <w:rsid w:val="00690DA3"/>
    <w:rsid w:val="00690FAD"/>
    <w:rsid w:val="00691946"/>
    <w:rsid w:val="00691A52"/>
    <w:rsid w:val="006932BF"/>
    <w:rsid w:val="0069428B"/>
    <w:rsid w:val="00695FCF"/>
    <w:rsid w:val="006963D5"/>
    <w:rsid w:val="00697371"/>
    <w:rsid w:val="00697429"/>
    <w:rsid w:val="006A0B68"/>
    <w:rsid w:val="006A0B8F"/>
    <w:rsid w:val="006A248C"/>
    <w:rsid w:val="006A2B3D"/>
    <w:rsid w:val="006A2C2A"/>
    <w:rsid w:val="006A3C26"/>
    <w:rsid w:val="006A434A"/>
    <w:rsid w:val="006A47FB"/>
    <w:rsid w:val="006A4F0D"/>
    <w:rsid w:val="006A6388"/>
    <w:rsid w:val="006A6F95"/>
    <w:rsid w:val="006A76D5"/>
    <w:rsid w:val="006A7EEB"/>
    <w:rsid w:val="006B28E8"/>
    <w:rsid w:val="006B33FB"/>
    <w:rsid w:val="006B34E1"/>
    <w:rsid w:val="006B35C0"/>
    <w:rsid w:val="006B4C2A"/>
    <w:rsid w:val="006B5995"/>
    <w:rsid w:val="006B67AA"/>
    <w:rsid w:val="006B7274"/>
    <w:rsid w:val="006B7401"/>
    <w:rsid w:val="006C2925"/>
    <w:rsid w:val="006C293C"/>
    <w:rsid w:val="006C2F07"/>
    <w:rsid w:val="006C309C"/>
    <w:rsid w:val="006C3411"/>
    <w:rsid w:val="006C48C3"/>
    <w:rsid w:val="006C55A5"/>
    <w:rsid w:val="006C5C0E"/>
    <w:rsid w:val="006C6BE2"/>
    <w:rsid w:val="006D0689"/>
    <w:rsid w:val="006D0EC8"/>
    <w:rsid w:val="006D1123"/>
    <w:rsid w:val="006D23FA"/>
    <w:rsid w:val="006D30A1"/>
    <w:rsid w:val="006D42A7"/>
    <w:rsid w:val="006D474D"/>
    <w:rsid w:val="006D62FF"/>
    <w:rsid w:val="006E007B"/>
    <w:rsid w:val="006E0366"/>
    <w:rsid w:val="006E0BE6"/>
    <w:rsid w:val="006E0ECF"/>
    <w:rsid w:val="006E1A53"/>
    <w:rsid w:val="006E29A3"/>
    <w:rsid w:val="006E2BC5"/>
    <w:rsid w:val="006E372B"/>
    <w:rsid w:val="006E5D1B"/>
    <w:rsid w:val="006E7A86"/>
    <w:rsid w:val="006E7AAF"/>
    <w:rsid w:val="006F0BC0"/>
    <w:rsid w:val="006F142B"/>
    <w:rsid w:val="006F145D"/>
    <w:rsid w:val="006F1575"/>
    <w:rsid w:val="006F1D06"/>
    <w:rsid w:val="006F4149"/>
    <w:rsid w:val="006F51FF"/>
    <w:rsid w:val="006F53B6"/>
    <w:rsid w:val="006F565B"/>
    <w:rsid w:val="006F592A"/>
    <w:rsid w:val="006F71C7"/>
    <w:rsid w:val="006F7A16"/>
    <w:rsid w:val="00700B62"/>
    <w:rsid w:val="00701C39"/>
    <w:rsid w:val="00702528"/>
    <w:rsid w:val="00702786"/>
    <w:rsid w:val="00702886"/>
    <w:rsid w:val="00702BDA"/>
    <w:rsid w:val="00703E1E"/>
    <w:rsid w:val="00703E41"/>
    <w:rsid w:val="0070424A"/>
    <w:rsid w:val="00704DB2"/>
    <w:rsid w:val="00705641"/>
    <w:rsid w:val="00705D45"/>
    <w:rsid w:val="007074EF"/>
    <w:rsid w:val="00707866"/>
    <w:rsid w:val="00707D38"/>
    <w:rsid w:val="00710326"/>
    <w:rsid w:val="0071232E"/>
    <w:rsid w:val="00712DB2"/>
    <w:rsid w:val="00712FA8"/>
    <w:rsid w:val="00715BF2"/>
    <w:rsid w:val="00717EA6"/>
    <w:rsid w:val="007203D6"/>
    <w:rsid w:val="007208C9"/>
    <w:rsid w:val="007214EC"/>
    <w:rsid w:val="007231D2"/>
    <w:rsid w:val="00724734"/>
    <w:rsid w:val="00724C7D"/>
    <w:rsid w:val="0072500F"/>
    <w:rsid w:val="007255CE"/>
    <w:rsid w:val="007257B2"/>
    <w:rsid w:val="007258C4"/>
    <w:rsid w:val="00725EC8"/>
    <w:rsid w:val="007261C5"/>
    <w:rsid w:val="007262D2"/>
    <w:rsid w:val="00727358"/>
    <w:rsid w:val="0072747D"/>
    <w:rsid w:val="00727984"/>
    <w:rsid w:val="00730F97"/>
    <w:rsid w:val="00731640"/>
    <w:rsid w:val="00731F39"/>
    <w:rsid w:val="00732182"/>
    <w:rsid w:val="00732767"/>
    <w:rsid w:val="00732E4B"/>
    <w:rsid w:val="0073387F"/>
    <w:rsid w:val="00733907"/>
    <w:rsid w:val="00734222"/>
    <w:rsid w:val="007358AC"/>
    <w:rsid w:val="0073607D"/>
    <w:rsid w:val="00736545"/>
    <w:rsid w:val="00736603"/>
    <w:rsid w:val="00740080"/>
    <w:rsid w:val="0074036A"/>
    <w:rsid w:val="00741089"/>
    <w:rsid w:val="007415F7"/>
    <w:rsid w:val="00741AD7"/>
    <w:rsid w:val="00741D4A"/>
    <w:rsid w:val="00741F53"/>
    <w:rsid w:val="007430A5"/>
    <w:rsid w:val="00743802"/>
    <w:rsid w:val="007438A7"/>
    <w:rsid w:val="007438DA"/>
    <w:rsid w:val="007446F1"/>
    <w:rsid w:val="0074507D"/>
    <w:rsid w:val="0074594E"/>
    <w:rsid w:val="0074622E"/>
    <w:rsid w:val="007473D6"/>
    <w:rsid w:val="00747ECA"/>
    <w:rsid w:val="0075067F"/>
    <w:rsid w:val="007509CD"/>
    <w:rsid w:val="00750BE0"/>
    <w:rsid w:val="007525C3"/>
    <w:rsid w:val="00752C3E"/>
    <w:rsid w:val="00753409"/>
    <w:rsid w:val="00755B9D"/>
    <w:rsid w:val="00756F14"/>
    <w:rsid w:val="0075721C"/>
    <w:rsid w:val="007600CF"/>
    <w:rsid w:val="00761E48"/>
    <w:rsid w:val="00763C55"/>
    <w:rsid w:val="0076701D"/>
    <w:rsid w:val="00767320"/>
    <w:rsid w:val="007700C3"/>
    <w:rsid w:val="00771B1F"/>
    <w:rsid w:val="00771EB2"/>
    <w:rsid w:val="00772286"/>
    <w:rsid w:val="00774654"/>
    <w:rsid w:val="00774E2F"/>
    <w:rsid w:val="00774E71"/>
    <w:rsid w:val="00775581"/>
    <w:rsid w:val="00776BA6"/>
    <w:rsid w:val="00776E6A"/>
    <w:rsid w:val="007810D7"/>
    <w:rsid w:val="007811BB"/>
    <w:rsid w:val="0078192B"/>
    <w:rsid w:val="00781974"/>
    <w:rsid w:val="00781AE0"/>
    <w:rsid w:val="00782E9C"/>
    <w:rsid w:val="007833EE"/>
    <w:rsid w:val="00783925"/>
    <w:rsid w:val="00785018"/>
    <w:rsid w:val="007857A1"/>
    <w:rsid w:val="00786697"/>
    <w:rsid w:val="00787F99"/>
    <w:rsid w:val="00790D47"/>
    <w:rsid w:val="00792CA6"/>
    <w:rsid w:val="00795DBC"/>
    <w:rsid w:val="00796354"/>
    <w:rsid w:val="007966AB"/>
    <w:rsid w:val="00797522"/>
    <w:rsid w:val="007A063C"/>
    <w:rsid w:val="007A26CF"/>
    <w:rsid w:val="007A40E4"/>
    <w:rsid w:val="007A48F1"/>
    <w:rsid w:val="007A4913"/>
    <w:rsid w:val="007A508C"/>
    <w:rsid w:val="007A5BA4"/>
    <w:rsid w:val="007A6261"/>
    <w:rsid w:val="007A6BBF"/>
    <w:rsid w:val="007A6C8E"/>
    <w:rsid w:val="007B11C9"/>
    <w:rsid w:val="007B212E"/>
    <w:rsid w:val="007B315F"/>
    <w:rsid w:val="007B40CD"/>
    <w:rsid w:val="007B428A"/>
    <w:rsid w:val="007B77CF"/>
    <w:rsid w:val="007C0001"/>
    <w:rsid w:val="007C0548"/>
    <w:rsid w:val="007C0B5B"/>
    <w:rsid w:val="007C0C36"/>
    <w:rsid w:val="007C0F9A"/>
    <w:rsid w:val="007C1034"/>
    <w:rsid w:val="007C2402"/>
    <w:rsid w:val="007C338D"/>
    <w:rsid w:val="007C36BE"/>
    <w:rsid w:val="007C3957"/>
    <w:rsid w:val="007C4335"/>
    <w:rsid w:val="007C4374"/>
    <w:rsid w:val="007C463E"/>
    <w:rsid w:val="007C47C0"/>
    <w:rsid w:val="007C4A17"/>
    <w:rsid w:val="007C567E"/>
    <w:rsid w:val="007C72A7"/>
    <w:rsid w:val="007C7E7D"/>
    <w:rsid w:val="007C7EDC"/>
    <w:rsid w:val="007D1F36"/>
    <w:rsid w:val="007D2078"/>
    <w:rsid w:val="007D2BCF"/>
    <w:rsid w:val="007D2CA9"/>
    <w:rsid w:val="007D341C"/>
    <w:rsid w:val="007D37E0"/>
    <w:rsid w:val="007D389D"/>
    <w:rsid w:val="007D3ABD"/>
    <w:rsid w:val="007D62E6"/>
    <w:rsid w:val="007D6EA3"/>
    <w:rsid w:val="007D78B8"/>
    <w:rsid w:val="007D7ED8"/>
    <w:rsid w:val="007E0BCC"/>
    <w:rsid w:val="007E126D"/>
    <w:rsid w:val="007E2287"/>
    <w:rsid w:val="007E26C8"/>
    <w:rsid w:val="007E4BE2"/>
    <w:rsid w:val="007E5124"/>
    <w:rsid w:val="007E581F"/>
    <w:rsid w:val="007E5F67"/>
    <w:rsid w:val="007E71D0"/>
    <w:rsid w:val="007E7C68"/>
    <w:rsid w:val="007F26EC"/>
    <w:rsid w:val="007F2B0A"/>
    <w:rsid w:val="007F462A"/>
    <w:rsid w:val="007F4D72"/>
    <w:rsid w:val="007F7673"/>
    <w:rsid w:val="008076EB"/>
    <w:rsid w:val="008111E7"/>
    <w:rsid w:val="00811467"/>
    <w:rsid w:val="00812565"/>
    <w:rsid w:val="00813F6D"/>
    <w:rsid w:val="00815095"/>
    <w:rsid w:val="008157DA"/>
    <w:rsid w:val="00815A91"/>
    <w:rsid w:val="0081608E"/>
    <w:rsid w:val="00816256"/>
    <w:rsid w:val="008178DF"/>
    <w:rsid w:val="00817FE3"/>
    <w:rsid w:val="00820B0F"/>
    <w:rsid w:val="00820C9D"/>
    <w:rsid w:val="00821A64"/>
    <w:rsid w:val="00821B3B"/>
    <w:rsid w:val="008220BC"/>
    <w:rsid w:val="008231A6"/>
    <w:rsid w:val="008233EA"/>
    <w:rsid w:val="008233FB"/>
    <w:rsid w:val="00823DEF"/>
    <w:rsid w:val="00830BE5"/>
    <w:rsid w:val="008318E0"/>
    <w:rsid w:val="00831A56"/>
    <w:rsid w:val="00832359"/>
    <w:rsid w:val="00832833"/>
    <w:rsid w:val="00834D0B"/>
    <w:rsid w:val="00835053"/>
    <w:rsid w:val="0083693A"/>
    <w:rsid w:val="0083763D"/>
    <w:rsid w:val="008410D6"/>
    <w:rsid w:val="00842AFB"/>
    <w:rsid w:val="00843454"/>
    <w:rsid w:val="008440A4"/>
    <w:rsid w:val="0084499F"/>
    <w:rsid w:val="0084504F"/>
    <w:rsid w:val="00845246"/>
    <w:rsid w:val="00845EE7"/>
    <w:rsid w:val="00845F8B"/>
    <w:rsid w:val="00847348"/>
    <w:rsid w:val="00847800"/>
    <w:rsid w:val="008479C8"/>
    <w:rsid w:val="00852137"/>
    <w:rsid w:val="00852CF7"/>
    <w:rsid w:val="00853915"/>
    <w:rsid w:val="00854B48"/>
    <w:rsid w:val="00854FC6"/>
    <w:rsid w:val="00860779"/>
    <w:rsid w:val="00860D2A"/>
    <w:rsid w:val="008619A1"/>
    <w:rsid w:val="008621A0"/>
    <w:rsid w:val="00862F9E"/>
    <w:rsid w:val="00863A08"/>
    <w:rsid w:val="00863FAE"/>
    <w:rsid w:val="00865DD9"/>
    <w:rsid w:val="0086617C"/>
    <w:rsid w:val="00866B48"/>
    <w:rsid w:val="0086729A"/>
    <w:rsid w:val="00871263"/>
    <w:rsid w:val="0087143C"/>
    <w:rsid w:val="0087161B"/>
    <w:rsid w:val="008723CD"/>
    <w:rsid w:val="00872420"/>
    <w:rsid w:val="00872F56"/>
    <w:rsid w:val="008743F3"/>
    <w:rsid w:val="00874A14"/>
    <w:rsid w:val="00875202"/>
    <w:rsid w:val="008802D8"/>
    <w:rsid w:val="00880C24"/>
    <w:rsid w:val="00881732"/>
    <w:rsid w:val="0088255B"/>
    <w:rsid w:val="00882F5B"/>
    <w:rsid w:val="00883746"/>
    <w:rsid w:val="008850F2"/>
    <w:rsid w:val="00886AAC"/>
    <w:rsid w:val="00887768"/>
    <w:rsid w:val="00887A8C"/>
    <w:rsid w:val="00891050"/>
    <w:rsid w:val="008917CE"/>
    <w:rsid w:val="00892303"/>
    <w:rsid w:val="00894768"/>
    <w:rsid w:val="00895F19"/>
    <w:rsid w:val="00896321"/>
    <w:rsid w:val="008963F3"/>
    <w:rsid w:val="00896961"/>
    <w:rsid w:val="00896E4A"/>
    <w:rsid w:val="00896FBA"/>
    <w:rsid w:val="008A256A"/>
    <w:rsid w:val="008A2B10"/>
    <w:rsid w:val="008A2F75"/>
    <w:rsid w:val="008A3268"/>
    <w:rsid w:val="008A33CE"/>
    <w:rsid w:val="008A3900"/>
    <w:rsid w:val="008A46AE"/>
    <w:rsid w:val="008A4926"/>
    <w:rsid w:val="008A52CF"/>
    <w:rsid w:val="008A53B6"/>
    <w:rsid w:val="008A74D2"/>
    <w:rsid w:val="008A7934"/>
    <w:rsid w:val="008B129E"/>
    <w:rsid w:val="008B177C"/>
    <w:rsid w:val="008B2B1E"/>
    <w:rsid w:val="008B6568"/>
    <w:rsid w:val="008B6F32"/>
    <w:rsid w:val="008B6F57"/>
    <w:rsid w:val="008C0448"/>
    <w:rsid w:val="008C1F4F"/>
    <w:rsid w:val="008C1FAD"/>
    <w:rsid w:val="008C2130"/>
    <w:rsid w:val="008C32FE"/>
    <w:rsid w:val="008C3909"/>
    <w:rsid w:val="008C4905"/>
    <w:rsid w:val="008C7A10"/>
    <w:rsid w:val="008D004B"/>
    <w:rsid w:val="008D0E78"/>
    <w:rsid w:val="008D1778"/>
    <w:rsid w:val="008D2403"/>
    <w:rsid w:val="008D241A"/>
    <w:rsid w:val="008D5127"/>
    <w:rsid w:val="008E0323"/>
    <w:rsid w:val="008E1100"/>
    <w:rsid w:val="008E18BC"/>
    <w:rsid w:val="008E1DB7"/>
    <w:rsid w:val="008E22D7"/>
    <w:rsid w:val="008E2899"/>
    <w:rsid w:val="008E52FC"/>
    <w:rsid w:val="008E6028"/>
    <w:rsid w:val="008E750C"/>
    <w:rsid w:val="008F01BB"/>
    <w:rsid w:val="008F0840"/>
    <w:rsid w:val="008F0AA1"/>
    <w:rsid w:val="008F15E8"/>
    <w:rsid w:val="008F1B6B"/>
    <w:rsid w:val="008F1BA5"/>
    <w:rsid w:val="008F22D7"/>
    <w:rsid w:val="008F36B6"/>
    <w:rsid w:val="008F3B69"/>
    <w:rsid w:val="008F4D8A"/>
    <w:rsid w:val="008F4FF3"/>
    <w:rsid w:val="008F5B47"/>
    <w:rsid w:val="008F62E3"/>
    <w:rsid w:val="009009EA"/>
    <w:rsid w:val="009014D3"/>
    <w:rsid w:val="009017BE"/>
    <w:rsid w:val="00901AA2"/>
    <w:rsid w:val="00902E7F"/>
    <w:rsid w:val="009035AD"/>
    <w:rsid w:val="009038ED"/>
    <w:rsid w:val="009050FB"/>
    <w:rsid w:val="00907432"/>
    <w:rsid w:val="00911D03"/>
    <w:rsid w:val="009122B7"/>
    <w:rsid w:val="0091343F"/>
    <w:rsid w:val="0091467E"/>
    <w:rsid w:val="00914EB6"/>
    <w:rsid w:val="009154D2"/>
    <w:rsid w:val="00917DBF"/>
    <w:rsid w:val="00920BB5"/>
    <w:rsid w:val="009220C6"/>
    <w:rsid w:val="0092288D"/>
    <w:rsid w:val="00922C2F"/>
    <w:rsid w:val="00923F9D"/>
    <w:rsid w:val="009251B4"/>
    <w:rsid w:val="009258D0"/>
    <w:rsid w:val="009262EF"/>
    <w:rsid w:val="00926C59"/>
    <w:rsid w:val="00926F8D"/>
    <w:rsid w:val="009270B9"/>
    <w:rsid w:val="00927981"/>
    <w:rsid w:val="00931C1F"/>
    <w:rsid w:val="00931D44"/>
    <w:rsid w:val="00931EA0"/>
    <w:rsid w:val="009321E1"/>
    <w:rsid w:val="00932A85"/>
    <w:rsid w:val="009347DD"/>
    <w:rsid w:val="00935895"/>
    <w:rsid w:val="0093773B"/>
    <w:rsid w:val="00937C7A"/>
    <w:rsid w:val="00940238"/>
    <w:rsid w:val="009406AB"/>
    <w:rsid w:val="00940F61"/>
    <w:rsid w:val="00940F9B"/>
    <w:rsid w:val="00941238"/>
    <w:rsid w:val="009422AA"/>
    <w:rsid w:val="0094267A"/>
    <w:rsid w:val="009427AC"/>
    <w:rsid w:val="00943BE7"/>
    <w:rsid w:val="00943E47"/>
    <w:rsid w:val="00944066"/>
    <w:rsid w:val="0094584B"/>
    <w:rsid w:val="00945DB2"/>
    <w:rsid w:val="00946A96"/>
    <w:rsid w:val="009534A8"/>
    <w:rsid w:val="00954E8E"/>
    <w:rsid w:val="00954FF2"/>
    <w:rsid w:val="0095785A"/>
    <w:rsid w:val="00960226"/>
    <w:rsid w:val="00960685"/>
    <w:rsid w:val="009611D9"/>
    <w:rsid w:val="00961303"/>
    <w:rsid w:val="00962D0F"/>
    <w:rsid w:val="00963121"/>
    <w:rsid w:val="0096510A"/>
    <w:rsid w:val="00965FDB"/>
    <w:rsid w:val="00966011"/>
    <w:rsid w:val="00966873"/>
    <w:rsid w:val="00966A49"/>
    <w:rsid w:val="009700D2"/>
    <w:rsid w:val="00971433"/>
    <w:rsid w:val="00971650"/>
    <w:rsid w:val="009717B8"/>
    <w:rsid w:val="009718A7"/>
    <w:rsid w:val="009726B2"/>
    <w:rsid w:val="00972AFD"/>
    <w:rsid w:val="00973775"/>
    <w:rsid w:val="009744E1"/>
    <w:rsid w:val="0097667A"/>
    <w:rsid w:val="00976C66"/>
    <w:rsid w:val="00976F5F"/>
    <w:rsid w:val="00977533"/>
    <w:rsid w:val="00977585"/>
    <w:rsid w:val="00983243"/>
    <w:rsid w:val="009838FF"/>
    <w:rsid w:val="00985470"/>
    <w:rsid w:val="00985E7B"/>
    <w:rsid w:val="00986FE2"/>
    <w:rsid w:val="009877E6"/>
    <w:rsid w:val="00990233"/>
    <w:rsid w:val="00990FEC"/>
    <w:rsid w:val="009911AC"/>
    <w:rsid w:val="00991B7B"/>
    <w:rsid w:val="00993490"/>
    <w:rsid w:val="00993DCF"/>
    <w:rsid w:val="009940AE"/>
    <w:rsid w:val="0099469E"/>
    <w:rsid w:val="00995486"/>
    <w:rsid w:val="00995833"/>
    <w:rsid w:val="009965FC"/>
    <w:rsid w:val="009A1951"/>
    <w:rsid w:val="009A1AE0"/>
    <w:rsid w:val="009A1CB1"/>
    <w:rsid w:val="009A24B1"/>
    <w:rsid w:val="009A29DF"/>
    <w:rsid w:val="009A3766"/>
    <w:rsid w:val="009A3E35"/>
    <w:rsid w:val="009A406B"/>
    <w:rsid w:val="009A4651"/>
    <w:rsid w:val="009A5351"/>
    <w:rsid w:val="009A5F25"/>
    <w:rsid w:val="009A66FE"/>
    <w:rsid w:val="009A73F4"/>
    <w:rsid w:val="009A7EE0"/>
    <w:rsid w:val="009B01F3"/>
    <w:rsid w:val="009B0CE9"/>
    <w:rsid w:val="009B30D6"/>
    <w:rsid w:val="009B3C0B"/>
    <w:rsid w:val="009B4033"/>
    <w:rsid w:val="009B40B2"/>
    <w:rsid w:val="009B4A95"/>
    <w:rsid w:val="009B4BAD"/>
    <w:rsid w:val="009B4DC0"/>
    <w:rsid w:val="009B5208"/>
    <w:rsid w:val="009B55CD"/>
    <w:rsid w:val="009B5CF1"/>
    <w:rsid w:val="009B673F"/>
    <w:rsid w:val="009B7963"/>
    <w:rsid w:val="009C0100"/>
    <w:rsid w:val="009C02F9"/>
    <w:rsid w:val="009C1309"/>
    <w:rsid w:val="009C1E6F"/>
    <w:rsid w:val="009C2674"/>
    <w:rsid w:val="009C284E"/>
    <w:rsid w:val="009C2A2B"/>
    <w:rsid w:val="009C2BDA"/>
    <w:rsid w:val="009C5115"/>
    <w:rsid w:val="009C5F35"/>
    <w:rsid w:val="009C65CC"/>
    <w:rsid w:val="009D00E7"/>
    <w:rsid w:val="009D1593"/>
    <w:rsid w:val="009D1C99"/>
    <w:rsid w:val="009D2A6A"/>
    <w:rsid w:val="009D36D4"/>
    <w:rsid w:val="009D3D6B"/>
    <w:rsid w:val="009D4542"/>
    <w:rsid w:val="009D4E31"/>
    <w:rsid w:val="009D5C56"/>
    <w:rsid w:val="009D6983"/>
    <w:rsid w:val="009D736C"/>
    <w:rsid w:val="009D7899"/>
    <w:rsid w:val="009D7EAC"/>
    <w:rsid w:val="009E11FF"/>
    <w:rsid w:val="009E287E"/>
    <w:rsid w:val="009E3160"/>
    <w:rsid w:val="009E37A3"/>
    <w:rsid w:val="009E4AE7"/>
    <w:rsid w:val="009E78A2"/>
    <w:rsid w:val="009E7A19"/>
    <w:rsid w:val="009E7E7A"/>
    <w:rsid w:val="009E7FEA"/>
    <w:rsid w:val="009F01B5"/>
    <w:rsid w:val="009F0E33"/>
    <w:rsid w:val="009F155C"/>
    <w:rsid w:val="009F1899"/>
    <w:rsid w:val="009F1CFC"/>
    <w:rsid w:val="009F1D94"/>
    <w:rsid w:val="009F20F4"/>
    <w:rsid w:val="009F3022"/>
    <w:rsid w:val="009F33A3"/>
    <w:rsid w:val="009F4C02"/>
    <w:rsid w:val="009F6AE9"/>
    <w:rsid w:val="00A006EF"/>
    <w:rsid w:val="00A00EBF"/>
    <w:rsid w:val="00A017E5"/>
    <w:rsid w:val="00A018D4"/>
    <w:rsid w:val="00A024DD"/>
    <w:rsid w:val="00A02707"/>
    <w:rsid w:val="00A03C19"/>
    <w:rsid w:val="00A05006"/>
    <w:rsid w:val="00A070BD"/>
    <w:rsid w:val="00A07762"/>
    <w:rsid w:val="00A07DA0"/>
    <w:rsid w:val="00A10584"/>
    <w:rsid w:val="00A1124A"/>
    <w:rsid w:val="00A1226D"/>
    <w:rsid w:val="00A12507"/>
    <w:rsid w:val="00A12AB7"/>
    <w:rsid w:val="00A12C6D"/>
    <w:rsid w:val="00A1577C"/>
    <w:rsid w:val="00A15909"/>
    <w:rsid w:val="00A16B73"/>
    <w:rsid w:val="00A16D92"/>
    <w:rsid w:val="00A16FD2"/>
    <w:rsid w:val="00A16FED"/>
    <w:rsid w:val="00A17A53"/>
    <w:rsid w:val="00A204A5"/>
    <w:rsid w:val="00A209E0"/>
    <w:rsid w:val="00A20C9F"/>
    <w:rsid w:val="00A20CD7"/>
    <w:rsid w:val="00A22E65"/>
    <w:rsid w:val="00A23C01"/>
    <w:rsid w:val="00A24585"/>
    <w:rsid w:val="00A25E57"/>
    <w:rsid w:val="00A26614"/>
    <w:rsid w:val="00A31331"/>
    <w:rsid w:val="00A3251A"/>
    <w:rsid w:val="00A3446E"/>
    <w:rsid w:val="00A35B5C"/>
    <w:rsid w:val="00A3651D"/>
    <w:rsid w:val="00A36929"/>
    <w:rsid w:val="00A37699"/>
    <w:rsid w:val="00A41509"/>
    <w:rsid w:val="00A4245A"/>
    <w:rsid w:val="00A434BE"/>
    <w:rsid w:val="00A44C00"/>
    <w:rsid w:val="00A454F6"/>
    <w:rsid w:val="00A45921"/>
    <w:rsid w:val="00A46269"/>
    <w:rsid w:val="00A47649"/>
    <w:rsid w:val="00A4788C"/>
    <w:rsid w:val="00A500CA"/>
    <w:rsid w:val="00A50E9D"/>
    <w:rsid w:val="00A54D9E"/>
    <w:rsid w:val="00A556D6"/>
    <w:rsid w:val="00A5592D"/>
    <w:rsid w:val="00A5621F"/>
    <w:rsid w:val="00A56438"/>
    <w:rsid w:val="00A57056"/>
    <w:rsid w:val="00A57499"/>
    <w:rsid w:val="00A57AF0"/>
    <w:rsid w:val="00A57D63"/>
    <w:rsid w:val="00A57DF0"/>
    <w:rsid w:val="00A620A2"/>
    <w:rsid w:val="00A62D42"/>
    <w:rsid w:val="00A63715"/>
    <w:rsid w:val="00A639F5"/>
    <w:rsid w:val="00A64DCE"/>
    <w:rsid w:val="00A66F1C"/>
    <w:rsid w:val="00A70E22"/>
    <w:rsid w:val="00A725FB"/>
    <w:rsid w:val="00A7498F"/>
    <w:rsid w:val="00A74B7E"/>
    <w:rsid w:val="00A74D2B"/>
    <w:rsid w:val="00A76638"/>
    <w:rsid w:val="00A76AC6"/>
    <w:rsid w:val="00A77179"/>
    <w:rsid w:val="00A81FF0"/>
    <w:rsid w:val="00A83D8B"/>
    <w:rsid w:val="00A87245"/>
    <w:rsid w:val="00A87424"/>
    <w:rsid w:val="00A91D22"/>
    <w:rsid w:val="00A92FE9"/>
    <w:rsid w:val="00A936F1"/>
    <w:rsid w:val="00A938BA"/>
    <w:rsid w:val="00A93A04"/>
    <w:rsid w:val="00A94BA0"/>
    <w:rsid w:val="00A95DC3"/>
    <w:rsid w:val="00A9631D"/>
    <w:rsid w:val="00A96807"/>
    <w:rsid w:val="00A96DC9"/>
    <w:rsid w:val="00AA0F64"/>
    <w:rsid w:val="00AA3979"/>
    <w:rsid w:val="00AA4741"/>
    <w:rsid w:val="00AA47B4"/>
    <w:rsid w:val="00AA4D44"/>
    <w:rsid w:val="00AA50A3"/>
    <w:rsid w:val="00AA57F6"/>
    <w:rsid w:val="00AA7A15"/>
    <w:rsid w:val="00AA7C5D"/>
    <w:rsid w:val="00AB099F"/>
    <w:rsid w:val="00AB0BD1"/>
    <w:rsid w:val="00AB0C6F"/>
    <w:rsid w:val="00AB0F4F"/>
    <w:rsid w:val="00AB124D"/>
    <w:rsid w:val="00AB15A8"/>
    <w:rsid w:val="00AB16F1"/>
    <w:rsid w:val="00AB34BE"/>
    <w:rsid w:val="00AB4120"/>
    <w:rsid w:val="00AB4A15"/>
    <w:rsid w:val="00AB4B94"/>
    <w:rsid w:val="00AB5068"/>
    <w:rsid w:val="00AB5369"/>
    <w:rsid w:val="00AB58F5"/>
    <w:rsid w:val="00AB5E8D"/>
    <w:rsid w:val="00AB6A6E"/>
    <w:rsid w:val="00AB6CD9"/>
    <w:rsid w:val="00AB6E13"/>
    <w:rsid w:val="00AB79DA"/>
    <w:rsid w:val="00AC0271"/>
    <w:rsid w:val="00AC08D7"/>
    <w:rsid w:val="00AC0D1E"/>
    <w:rsid w:val="00AC0F1D"/>
    <w:rsid w:val="00AC2076"/>
    <w:rsid w:val="00AC2456"/>
    <w:rsid w:val="00AC2CE8"/>
    <w:rsid w:val="00AC2D19"/>
    <w:rsid w:val="00AC37BD"/>
    <w:rsid w:val="00AC3844"/>
    <w:rsid w:val="00AC5321"/>
    <w:rsid w:val="00AC6D5E"/>
    <w:rsid w:val="00AC6DDE"/>
    <w:rsid w:val="00AC7E57"/>
    <w:rsid w:val="00AD08C6"/>
    <w:rsid w:val="00AD0982"/>
    <w:rsid w:val="00AD0990"/>
    <w:rsid w:val="00AD0FDC"/>
    <w:rsid w:val="00AD14DA"/>
    <w:rsid w:val="00AD1C13"/>
    <w:rsid w:val="00AD2DB5"/>
    <w:rsid w:val="00AD365C"/>
    <w:rsid w:val="00AD38E4"/>
    <w:rsid w:val="00AD4A80"/>
    <w:rsid w:val="00AD5017"/>
    <w:rsid w:val="00AD56FC"/>
    <w:rsid w:val="00AD63C9"/>
    <w:rsid w:val="00AD64E7"/>
    <w:rsid w:val="00AD673B"/>
    <w:rsid w:val="00AD7705"/>
    <w:rsid w:val="00AE0DE7"/>
    <w:rsid w:val="00AE22E7"/>
    <w:rsid w:val="00AE3163"/>
    <w:rsid w:val="00AE34B0"/>
    <w:rsid w:val="00AE43EB"/>
    <w:rsid w:val="00AE7827"/>
    <w:rsid w:val="00AF008E"/>
    <w:rsid w:val="00AF18E1"/>
    <w:rsid w:val="00AF2125"/>
    <w:rsid w:val="00AF2AB7"/>
    <w:rsid w:val="00AF30DB"/>
    <w:rsid w:val="00AF341A"/>
    <w:rsid w:val="00AF436A"/>
    <w:rsid w:val="00AF5CCE"/>
    <w:rsid w:val="00AF740F"/>
    <w:rsid w:val="00AF78CD"/>
    <w:rsid w:val="00AF7BE5"/>
    <w:rsid w:val="00B00095"/>
    <w:rsid w:val="00B0075E"/>
    <w:rsid w:val="00B0108E"/>
    <w:rsid w:val="00B01898"/>
    <w:rsid w:val="00B02317"/>
    <w:rsid w:val="00B02D87"/>
    <w:rsid w:val="00B032E7"/>
    <w:rsid w:val="00B03BF5"/>
    <w:rsid w:val="00B04020"/>
    <w:rsid w:val="00B04465"/>
    <w:rsid w:val="00B055BC"/>
    <w:rsid w:val="00B05803"/>
    <w:rsid w:val="00B061B5"/>
    <w:rsid w:val="00B10CD3"/>
    <w:rsid w:val="00B1114D"/>
    <w:rsid w:val="00B113BF"/>
    <w:rsid w:val="00B115B2"/>
    <w:rsid w:val="00B115C1"/>
    <w:rsid w:val="00B11793"/>
    <w:rsid w:val="00B13338"/>
    <w:rsid w:val="00B137B9"/>
    <w:rsid w:val="00B14184"/>
    <w:rsid w:val="00B1463A"/>
    <w:rsid w:val="00B15DCF"/>
    <w:rsid w:val="00B16DF4"/>
    <w:rsid w:val="00B17748"/>
    <w:rsid w:val="00B177F1"/>
    <w:rsid w:val="00B17A75"/>
    <w:rsid w:val="00B2034C"/>
    <w:rsid w:val="00B20451"/>
    <w:rsid w:val="00B20C12"/>
    <w:rsid w:val="00B20CEB"/>
    <w:rsid w:val="00B20D5B"/>
    <w:rsid w:val="00B21EA7"/>
    <w:rsid w:val="00B23DB1"/>
    <w:rsid w:val="00B24BB5"/>
    <w:rsid w:val="00B26F14"/>
    <w:rsid w:val="00B2789E"/>
    <w:rsid w:val="00B325EE"/>
    <w:rsid w:val="00B327ED"/>
    <w:rsid w:val="00B33768"/>
    <w:rsid w:val="00B34D86"/>
    <w:rsid w:val="00B35857"/>
    <w:rsid w:val="00B35A20"/>
    <w:rsid w:val="00B36261"/>
    <w:rsid w:val="00B37B8D"/>
    <w:rsid w:val="00B41B20"/>
    <w:rsid w:val="00B41D3B"/>
    <w:rsid w:val="00B42794"/>
    <w:rsid w:val="00B43A59"/>
    <w:rsid w:val="00B4535D"/>
    <w:rsid w:val="00B47EA0"/>
    <w:rsid w:val="00B47FB1"/>
    <w:rsid w:val="00B51D62"/>
    <w:rsid w:val="00B52084"/>
    <w:rsid w:val="00B5340C"/>
    <w:rsid w:val="00B535C6"/>
    <w:rsid w:val="00B54E61"/>
    <w:rsid w:val="00B5764E"/>
    <w:rsid w:val="00B60721"/>
    <w:rsid w:val="00B60C30"/>
    <w:rsid w:val="00B61541"/>
    <w:rsid w:val="00B6214D"/>
    <w:rsid w:val="00B62A39"/>
    <w:rsid w:val="00B63BFE"/>
    <w:rsid w:val="00B63FAC"/>
    <w:rsid w:val="00B66A3D"/>
    <w:rsid w:val="00B6764E"/>
    <w:rsid w:val="00B7071E"/>
    <w:rsid w:val="00B718BA"/>
    <w:rsid w:val="00B7346B"/>
    <w:rsid w:val="00B7394F"/>
    <w:rsid w:val="00B73A5E"/>
    <w:rsid w:val="00B7489C"/>
    <w:rsid w:val="00B748D4"/>
    <w:rsid w:val="00B75041"/>
    <w:rsid w:val="00B751D0"/>
    <w:rsid w:val="00B75B03"/>
    <w:rsid w:val="00B75C4A"/>
    <w:rsid w:val="00B76AAC"/>
    <w:rsid w:val="00B76E71"/>
    <w:rsid w:val="00B776EA"/>
    <w:rsid w:val="00B81F06"/>
    <w:rsid w:val="00B82982"/>
    <w:rsid w:val="00B862DE"/>
    <w:rsid w:val="00B86588"/>
    <w:rsid w:val="00B8737F"/>
    <w:rsid w:val="00B9112A"/>
    <w:rsid w:val="00B91347"/>
    <w:rsid w:val="00B919C1"/>
    <w:rsid w:val="00B926BC"/>
    <w:rsid w:val="00B9277A"/>
    <w:rsid w:val="00B929BA"/>
    <w:rsid w:val="00B95046"/>
    <w:rsid w:val="00B9531B"/>
    <w:rsid w:val="00B9581C"/>
    <w:rsid w:val="00B96B51"/>
    <w:rsid w:val="00BA008C"/>
    <w:rsid w:val="00BA1FE4"/>
    <w:rsid w:val="00BA23B7"/>
    <w:rsid w:val="00BA4445"/>
    <w:rsid w:val="00BA5F3F"/>
    <w:rsid w:val="00BA6196"/>
    <w:rsid w:val="00BA7177"/>
    <w:rsid w:val="00BA7233"/>
    <w:rsid w:val="00BA7662"/>
    <w:rsid w:val="00BA7E37"/>
    <w:rsid w:val="00BB0E8D"/>
    <w:rsid w:val="00BB1ADD"/>
    <w:rsid w:val="00BB1FE5"/>
    <w:rsid w:val="00BB65CC"/>
    <w:rsid w:val="00BB7F5B"/>
    <w:rsid w:val="00BC0098"/>
    <w:rsid w:val="00BC13B4"/>
    <w:rsid w:val="00BC18FC"/>
    <w:rsid w:val="00BC230E"/>
    <w:rsid w:val="00BC34F3"/>
    <w:rsid w:val="00BC4874"/>
    <w:rsid w:val="00BC4DAC"/>
    <w:rsid w:val="00BC609D"/>
    <w:rsid w:val="00BC69E3"/>
    <w:rsid w:val="00BC6BD1"/>
    <w:rsid w:val="00BC6C88"/>
    <w:rsid w:val="00BC75DD"/>
    <w:rsid w:val="00BC7E19"/>
    <w:rsid w:val="00BD11BA"/>
    <w:rsid w:val="00BD283E"/>
    <w:rsid w:val="00BD2AAB"/>
    <w:rsid w:val="00BD2BFC"/>
    <w:rsid w:val="00BD3633"/>
    <w:rsid w:val="00BD3826"/>
    <w:rsid w:val="00BD3DE9"/>
    <w:rsid w:val="00BD40C5"/>
    <w:rsid w:val="00BD44AF"/>
    <w:rsid w:val="00BD67B2"/>
    <w:rsid w:val="00BD72BD"/>
    <w:rsid w:val="00BD78C9"/>
    <w:rsid w:val="00BE152B"/>
    <w:rsid w:val="00BE22B9"/>
    <w:rsid w:val="00BE24EA"/>
    <w:rsid w:val="00BE2574"/>
    <w:rsid w:val="00BE32D8"/>
    <w:rsid w:val="00BE377D"/>
    <w:rsid w:val="00BE3DD8"/>
    <w:rsid w:val="00BE4374"/>
    <w:rsid w:val="00BE452A"/>
    <w:rsid w:val="00BE4AFE"/>
    <w:rsid w:val="00BE53BF"/>
    <w:rsid w:val="00BE60DB"/>
    <w:rsid w:val="00BE714D"/>
    <w:rsid w:val="00BE7E5F"/>
    <w:rsid w:val="00BF0309"/>
    <w:rsid w:val="00BF05CF"/>
    <w:rsid w:val="00BF0966"/>
    <w:rsid w:val="00BF0C28"/>
    <w:rsid w:val="00BF2656"/>
    <w:rsid w:val="00BF346B"/>
    <w:rsid w:val="00BF504F"/>
    <w:rsid w:val="00BF5947"/>
    <w:rsid w:val="00BF5F21"/>
    <w:rsid w:val="00BF76A5"/>
    <w:rsid w:val="00C02044"/>
    <w:rsid w:val="00C0244F"/>
    <w:rsid w:val="00C0245C"/>
    <w:rsid w:val="00C02CE1"/>
    <w:rsid w:val="00C0307E"/>
    <w:rsid w:val="00C07377"/>
    <w:rsid w:val="00C07BFA"/>
    <w:rsid w:val="00C1034C"/>
    <w:rsid w:val="00C10648"/>
    <w:rsid w:val="00C12D09"/>
    <w:rsid w:val="00C139E8"/>
    <w:rsid w:val="00C1414A"/>
    <w:rsid w:val="00C14250"/>
    <w:rsid w:val="00C15148"/>
    <w:rsid w:val="00C15A77"/>
    <w:rsid w:val="00C15F54"/>
    <w:rsid w:val="00C161B8"/>
    <w:rsid w:val="00C17389"/>
    <w:rsid w:val="00C179C3"/>
    <w:rsid w:val="00C17E6B"/>
    <w:rsid w:val="00C20120"/>
    <w:rsid w:val="00C22DB5"/>
    <w:rsid w:val="00C25466"/>
    <w:rsid w:val="00C268D3"/>
    <w:rsid w:val="00C270DE"/>
    <w:rsid w:val="00C27123"/>
    <w:rsid w:val="00C27A07"/>
    <w:rsid w:val="00C31E2B"/>
    <w:rsid w:val="00C3214E"/>
    <w:rsid w:val="00C327F5"/>
    <w:rsid w:val="00C3343B"/>
    <w:rsid w:val="00C33D47"/>
    <w:rsid w:val="00C33FFF"/>
    <w:rsid w:val="00C351FC"/>
    <w:rsid w:val="00C35E01"/>
    <w:rsid w:val="00C35E2F"/>
    <w:rsid w:val="00C37219"/>
    <w:rsid w:val="00C40420"/>
    <w:rsid w:val="00C41C74"/>
    <w:rsid w:val="00C42D0A"/>
    <w:rsid w:val="00C4332E"/>
    <w:rsid w:val="00C43F29"/>
    <w:rsid w:val="00C450FF"/>
    <w:rsid w:val="00C4593B"/>
    <w:rsid w:val="00C4595B"/>
    <w:rsid w:val="00C45D76"/>
    <w:rsid w:val="00C472D4"/>
    <w:rsid w:val="00C50188"/>
    <w:rsid w:val="00C50606"/>
    <w:rsid w:val="00C506D0"/>
    <w:rsid w:val="00C513A9"/>
    <w:rsid w:val="00C531E8"/>
    <w:rsid w:val="00C53447"/>
    <w:rsid w:val="00C54B19"/>
    <w:rsid w:val="00C5719B"/>
    <w:rsid w:val="00C574BD"/>
    <w:rsid w:val="00C60372"/>
    <w:rsid w:val="00C60A50"/>
    <w:rsid w:val="00C60CA4"/>
    <w:rsid w:val="00C61773"/>
    <w:rsid w:val="00C61F65"/>
    <w:rsid w:val="00C6201D"/>
    <w:rsid w:val="00C63EFE"/>
    <w:rsid w:val="00C63FC0"/>
    <w:rsid w:val="00C64BD1"/>
    <w:rsid w:val="00C71297"/>
    <w:rsid w:val="00C715E8"/>
    <w:rsid w:val="00C74663"/>
    <w:rsid w:val="00C75D51"/>
    <w:rsid w:val="00C77BB4"/>
    <w:rsid w:val="00C808BD"/>
    <w:rsid w:val="00C81D25"/>
    <w:rsid w:val="00C846E1"/>
    <w:rsid w:val="00C86B6C"/>
    <w:rsid w:val="00C8789B"/>
    <w:rsid w:val="00C878A3"/>
    <w:rsid w:val="00C878AE"/>
    <w:rsid w:val="00C87D7A"/>
    <w:rsid w:val="00C902A9"/>
    <w:rsid w:val="00C919AB"/>
    <w:rsid w:val="00C927CC"/>
    <w:rsid w:val="00C92B64"/>
    <w:rsid w:val="00C92D41"/>
    <w:rsid w:val="00C93BBF"/>
    <w:rsid w:val="00C94535"/>
    <w:rsid w:val="00C947ED"/>
    <w:rsid w:val="00C94EDA"/>
    <w:rsid w:val="00C95A45"/>
    <w:rsid w:val="00C95DFE"/>
    <w:rsid w:val="00C96016"/>
    <w:rsid w:val="00C96040"/>
    <w:rsid w:val="00C96D40"/>
    <w:rsid w:val="00C96F48"/>
    <w:rsid w:val="00C97821"/>
    <w:rsid w:val="00C97ECE"/>
    <w:rsid w:val="00CA05CE"/>
    <w:rsid w:val="00CA0737"/>
    <w:rsid w:val="00CA0D43"/>
    <w:rsid w:val="00CA0DB1"/>
    <w:rsid w:val="00CA0F2B"/>
    <w:rsid w:val="00CA17F7"/>
    <w:rsid w:val="00CA188C"/>
    <w:rsid w:val="00CA18D3"/>
    <w:rsid w:val="00CA1C7C"/>
    <w:rsid w:val="00CA2D79"/>
    <w:rsid w:val="00CA3194"/>
    <w:rsid w:val="00CA4696"/>
    <w:rsid w:val="00CA6F40"/>
    <w:rsid w:val="00CB0154"/>
    <w:rsid w:val="00CB039A"/>
    <w:rsid w:val="00CB0D73"/>
    <w:rsid w:val="00CB102C"/>
    <w:rsid w:val="00CB1423"/>
    <w:rsid w:val="00CB1CC0"/>
    <w:rsid w:val="00CB1E04"/>
    <w:rsid w:val="00CB3BE5"/>
    <w:rsid w:val="00CB3D34"/>
    <w:rsid w:val="00CB4FD8"/>
    <w:rsid w:val="00CC0BBA"/>
    <w:rsid w:val="00CC0DC5"/>
    <w:rsid w:val="00CC0E65"/>
    <w:rsid w:val="00CC1151"/>
    <w:rsid w:val="00CC11B9"/>
    <w:rsid w:val="00CC171F"/>
    <w:rsid w:val="00CC2918"/>
    <w:rsid w:val="00CC3756"/>
    <w:rsid w:val="00CC3C8B"/>
    <w:rsid w:val="00CC3DDB"/>
    <w:rsid w:val="00CC4A94"/>
    <w:rsid w:val="00CC5578"/>
    <w:rsid w:val="00CD091D"/>
    <w:rsid w:val="00CD23EC"/>
    <w:rsid w:val="00CD2B33"/>
    <w:rsid w:val="00CD3837"/>
    <w:rsid w:val="00CD3BD3"/>
    <w:rsid w:val="00CD425C"/>
    <w:rsid w:val="00CD4727"/>
    <w:rsid w:val="00CD4B31"/>
    <w:rsid w:val="00CD51FB"/>
    <w:rsid w:val="00CD5880"/>
    <w:rsid w:val="00CD5AF4"/>
    <w:rsid w:val="00CD721A"/>
    <w:rsid w:val="00CD7FFD"/>
    <w:rsid w:val="00CE1436"/>
    <w:rsid w:val="00CE1596"/>
    <w:rsid w:val="00CE1DB4"/>
    <w:rsid w:val="00CE2E89"/>
    <w:rsid w:val="00CE375B"/>
    <w:rsid w:val="00CE3C5E"/>
    <w:rsid w:val="00CE4155"/>
    <w:rsid w:val="00CE45AF"/>
    <w:rsid w:val="00CE55DD"/>
    <w:rsid w:val="00CE5FFD"/>
    <w:rsid w:val="00CE65FD"/>
    <w:rsid w:val="00CE6699"/>
    <w:rsid w:val="00CE670B"/>
    <w:rsid w:val="00CE7136"/>
    <w:rsid w:val="00CF0B00"/>
    <w:rsid w:val="00CF2A38"/>
    <w:rsid w:val="00CF42FF"/>
    <w:rsid w:val="00CF6D18"/>
    <w:rsid w:val="00CF759E"/>
    <w:rsid w:val="00D00216"/>
    <w:rsid w:val="00D006E8"/>
    <w:rsid w:val="00D0106D"/>
    <w:rsid w:val="00D01092"/>
    <w:rsid w:val="00D01866"/>
    <w:rsid w:val="00D021D9"/>
    <w:rsid w:val="00D02CA2"/>
    <w:rsid w:val="00D058D0"/>
    <w:rsid w:val="00D058F6"/>
    <w:rsid w:val="00D0599A"/>
    <w:rsid w:val="00D06F2D"/>
    <w:rsid w:val="00D07DB4"/>
    <w:rsid w:val="00D109CB"/>
    <w:rsid w:val="00D116D2"/>
    <w:rsid w:val="00D125E1"/>
    <w:rsid w:val="00D12A05"/>
    <w:rsid w:val="00D130AC"/>
    <w:rsid w:val="00D13EDD"/>
    <w:rsid w:val="00D14A42"/>
    <w:rsid w:val="00D14AA5"/>
    <w:rsid w:val="00D157FB"/>
    <w:rsid w:val="00D17A13"/>
    <w:rsid w:val="00D210CB"/>
    <w:rsid w:val="00D21171"/>
    <w:rsid w:val="00D2368B"/>
    <w:rsid w:val="00D23A6D"/>
    <w:rsid w:val="00D2423D"/>
    <w:rsid w:val="00D24262"/>
    <w:rsid w:val="00D24B01"/>
    <w:rsid w:val="00D25DFD"/>
    <w:rsid w:val="00D2645E"/>
    <w:rsid w:val="00D26814"/>
    <w:rsid w:val="00D30029"/>
    <w:rsid w:val="00D31A9A"/>
    <w:rsid w:val="00D32ACE"/>
    <w:rsid w:val="00D32AD5"/>
    <w:rsid w:val="00D33F9D"/>
    <w:rsid w:val="00D3487A"/>
    <w:rsid w:val="00D35576"/>
    <w:rsid w:val="00D35866"/>
    <w:rsid w:val="00D3595E"/>
    <w:rsid w:val="00D3611A"/>
    <w:rsid w:val="00D4405B"/>
    <w:rsid w:val="00D46EDD"/>
    <w:rsid w:val="00D47A1E"/>
    <w:rsid w:val="00D505A5"/>
    <w:rsid w:val="00D5066A"/>
    <w:rsid w:val="00D50896"/>
    <w:rsid w:val="00D50FEA"/>
    <w:rsid w:val="00D51C01"/>
    <w:rsid w:val="00D51CD1"/>
    <w:rsid w:val="00D53B90"/>
    <w:rsid w:val="00D53CFF"/>
    <w:rsid w:val="00D54386"/>
    <w:rsid w:val="00D54950"/>
    <w:rsid w:val="00D55B52"/>
    <w:rsid w:val="00D6000C"/>
    <w:rsid w:val="00D60712"/>
    <w:rsid w:val="00D612E0"/>
    <w:rsid w:val="00D61BBE"/>
    <w:rsid w:val="00D62739"/>
    <w:rsid w:val="00D62A5D"/>
    <w:rsid w:val="00D64888"/>
    <w:rsid w:val="00D64AA8"/>
    <w:rsid w:val="00D71162"/>
    <w:rsid w:val="00D71357"/>
    <w:rsid w:val="00D71D74"/>
    <w:rsid w:val="00D729A3"/>
    <w:rsid w:val="00D72A40"/>
    <w:rsid w:val="00D72BAC"/>
    <w:rsid w:val="00D73A66"/>
    <w:rsid w:val="00D73CE9"/>
    <w:rsid w:val="00D7461F"/>
    <w:rsid w:val="00D75361"/>
    <w:rsid w:val="00D75B9B"/>
    <w:rsid w:val="00D75F2D"/>
    <w:rsid w:val="00D764B3"/>
    <w:rsid w:val="00D76C50"/>
    <w:rsid w:val="00D775C9"/>
    <w:rsid w:val="00D77AAB"/>
    <w:rsid w:val="00D8084E"/>
    <w:rsid w:val="00D82EC5"/>
    <w:rsid w:val="00D83B41"/>
    <w:rsid w:val="00D83EA1"/>
    <w:rsid w:val="00D8474A"/>
    <w:rsid w:val="00D86803"/>
    <w:rsid w:val="00D90D17"/>
    <w:rsid w:val="00D9164F"/>
    <w:rsid w:val="00D9406C"/>
    <w:rsid w:val="00D952F9"/>
    <w:rsid w:val="00D95A5F"/>
    <w:rsid w:val="00D95E26"/>
    <w:rsid w:val="00DA04A8"/>
    <w:rsid w:val="00DA0DBD"/>
    <w:rsid w:val="00DA119E"/>
    <w:rsid w:val="00DA1AEE"/>
    <w:rsid w:val="00DA26DD"/>
    <w:rsid w:val="00DA4211"/>
    <w:rsid w:val="00DA7D00"/>
    <w:rsid w:val="00DB0BDB"/>
    <w:rsid w:val="00DB187F"/>
    <w:rsid w:val="00DB27B8"/>
    <w:rsid w:val="00DB3BB8"/>
    <w:rsid w:val="00DB424A"/>
    <w:rsid w:val="00DB5588"/>
    <w:rsid w:val="00DB59E2"/>
    <w:rsid w:val="00DB5EBA"/>
    <w:rsid w:val="00DB6832"/>
    <w:rsid w:val="00DB68BE"/>
    <w:rsid w:val="00DB6A43"/>
    <w:rsid w:val="00DC036D"/>
    <w:rsid w:val="00DC0C9A"/>
    <w:rsid w:val="00DC0E95"/>
    <w:rsid w:val="00DC151B"/>
    <w:rsid w:val="00DC1E71"/>
    <w:rsid w:val="00DC206D"/>
    <w:rsid w:val="00DC2485"/>
    <w:rsid w:val="00DC2AEB"/>
    <w:rsid w:val="00DC2D57"/>
    <w:rsid w:val="00DC31D5"/>
    <w:rsid w:val="00DC36D5"/>
    <w:rsid w:val="00DC5382"/>
    <w:rsid w:val="00DC61ED"/>
    <w:rsid w:val="00DC6BD0"/>
    <w:rsid w:val="00DC7412"/>
    <w:rsid w:val="00DD07B7"/>
    <w:rsid w:val="00DD2098"/>
    <w:rsid w:val="00DD37F4"/>
    <w:rsid w:val="00DD3A7C"/>
    <w:rsid w:val="00DD3BEC"/>
    <w:rsid w:val="00DD5737"/>
    <w:rsid w:val="00DD7051"/>
    <w:rsid w:val="00DE0327"/>
    <w:rsid w:val="00DE0B8A"/>
    <w:rsid w:val="00DE2557"/>
    <w:rsid w:val="00DE2948"/>
    <w:rsid w:val="00DE2D55"/>
    <w:rsid w:val="00DE5173"/>
    <w:rsid w:val="00DE53EE"/>
    <w:rsid w:val="00DE5D89"/>
    <w:rsid w:val="00DF0543"/>
    <w:rsid w:val="00DF0D55"/>
    <w:rsid w:val="00DF0DD4"/>
    <w:rsid w:val="00DF235D"/>
    <w:rsid w:val="00DF26DB"/>
    <w:rsid w:val="00DF36F3"/>
    <w:rsid w:val="00DF3784"/>
    <w:rsid w:val="00DF397F"/>
    <w:rsid w:val="00DF453F"/>
    <w:rsid w:val="00DF5878"/>
    <w:rsid w:val="00DF5A92"/>
    <w:rsid w:val="00DF5F59"/>
    <w:rsid w:val="00DF610E"/>
    <w:rsid w:val="00DF6F0A"/>
    <w:rsid w:val="00DF71D9"/>
    <w:rsid w:val="00E0045A"/>
    <w:rsid w:val="00E00491"/>
    <w:rsid w:val="00E00DCC"/>
    <w:rsid w:val="00E01BC7"/>
    <w:rsid w:val="00E02A5C"/>
    <w:rsid w:val="00E039AD"/>
    <w:rsid w:val="00E0419F"/>
    <w:rsid w:val="00E0451E"/>
    <w:rsid w:val="00E0492F"/>
    <w:rsid w:val="00E05D9B"/>
    <w:rsid w:val="00E06CA5"/>
    <w:rsid w:val="00E0749A"/>
    <w:rsid w:val="00E074A4"/>
    <w:rsid w:val="00E07E70"/>
    <w:rsid w:val="00E11561"/>
    <w:rsid w:val="00E11E36"/>
    <w:rsid w:val="00E135EC"/>
    <w:rsid w:val="00E13843"/>
    <w:rsid w:val="00E14DBA"/>
    <w:rsid w:val="00E17736"/>
    <w:rsid w:val="00E17BC9"/>
    <w:rsid w:val="00E215AA"/>
    <w:rsid w:val="00E226AF"/>
    <w:rsid w:val="00E229D5"/>
    <w:rsid w:val="00E22CDB"/>
    <w:rsid w:val="00E233A4"/>
    <w:rsid w:val="00E2361B"/>
    <w:rsid w:val="00E23DD3"/>
    <w:rsid w:val="00E2495A"/>
    <w:rsid w:val="00E24A9B"/>
    <w:rsid w:val="00E24BD8"/>
    <w:rsid w:val="00E26B82"/>
    <w:rsid w:val="00E27379"/>
    <w:rsid w:val="00E27803"/>
    <w:rsid w:val="00E279EB"/>
    <w:rsid w:val="00E3087D"/>
    <w:rsid w:val="00E30D83"/>
    <w:rsid w:val="00E3154A"/>
    <w:rsid w:val="00E350CA"/>
    <w:rsid w:val="00E36776"/>
    <w:rsid w:val="00E3702C"/>
    <w:rsid w:val="00E37EFC"/>
    <w:rsid w:val="00E4113E"/>
    <w:rsid w:val="00E42A6E"/>
    <w:rsid w:val="00E43118"/>
    <w:rsid w:val="00E43490"/>
    <w:rsid w:val="00E4351C"/>
    <w:rsid w:val="00E4360B"/>
    <w:rsid w:val="00E43D66"/>
    <w:rsid w:val="00E45F2E"/>
    <w:rsid w:val="00E46D3B"/>
    <w:rsid w:val="00E47664"/>
    <w:rsid w:val="00E51009"/>
    <w:rsid w:val="00E52F11"/>
    <w:rsid w:val="00E551C3"/>
    <w:rsid w:val="00E569E6"/>
    <w:rsid w:val="00E57908"/>
    <w:rsid w:val="00E57A3F"/>
    <w:rsid w:val="00E60B61"/>
    <w:rsid w:val="00E63E13"/>
    <w:rsid w:val="00E65287"/>
    <w:rsid w:val="00E66594"/>
    <w:rsid w:val="00E667E8"/>
    <w:rsid w:val="00E671DB"/>
    <w:rsid w:val="00E7103F"/>
    <w:rsid w:val="00E71A7B"/>
    <w:rsid w:val="00E7241F"/>
    <w:rsid w:val="00E7251F"/>
    <w:rsid w:val="00E72E79"/>
    <w:rsid w:val="00E73417"/>
    <w:rsid w:val="00E746E6"/>
    <w:rsid w:val="00E76ECE"/>
    <w:rsid w:val="00E80FE1"/>
    <w:rsid w:val="00E811EE"/>
    <w:rsid w:val="00E817D2"/>
    <w:rsid w:val="00E8180D"/>
    <w:rsid w:val="00E82431"/>
    <w:rsid w:val="00E828EC"/>
    <w:rsid w:val="00E82C2F"/>
    <w:rsid w:val="00E83645"/>
    <w:rsid w:val="00E837EC"/>
    <w:rsid w:val="00E83EB5"/>
    <w:rsid w:val="00E83F73"/>
    <w:rsid w:val="00E83FE4"/>
    <w:rsid w:val="00E85E4A"/>
    <w:rsid w:val="00E8633A"/>
    <w:rsid w:val="00E909C6"/>
    <w:rsid w:val="00E91220"/>
    <w:rsid w:val="00E91A33"/>
    <w:rsid w:val="00E91A5B"/>
    <w:rsid w:val="00E9206F"/>
    <w:rsid w:val="00E9448B"/>
    <w:rsid w:val="00E9477A"/>
    <w:rsid w:val="00E94B06"/>
    <w:rsid w:val="00E96456"/>
    <w:rsid w:val="00E97A8A"/>
    <w:rsid w:val="00E97B67"/>
    <w:rsid w:val="00EA0270"/>
    <w:rsid w:val="00EA0674"/>
    <w:rsid w:val="00EA0A59"/>
    <w:rsid w:val="00EA0D99"/>
    <w:rsid w:val="00EA1385"/>
    <w:rsid w:val="00EA47E3"/>
    <w:rsid w:val="00EA4B2B"/>
    <w:rsid w:val="00EA4D9F"/>
    <w:rsid w:val="00EA65D1"/>
    <w:rsid w:val="00EA773E"/>
    <w:rsid w:val="00EB09AF"/>
    <w:rsid w:val="00EB0F62"/>
    <w:rsid w:val="00EB1E0E"/>
    <w:rsid w:val="00EB1E34"/>
    <w:rsid w:val="00EB2D00"/>
    <w:rsid w:val="00EB3127"/>
    <w:rsid w:val="00EB325B"/>
    <w:rsid w:val="00EB3E42"/>
    <w:rsid w:val="00EB4916"/>
    <w:rsid w:val="00EB49E6"/>
    <w:rsid w:val="00EB7FF8"/>
    <w:rsid w:val="00EC0745"/>
    <w:rsid w:val="00EC0E34"/>
    <w:rsid w:val="00EC136E"/>
    <w:rsid w:val="00EC146B"/>
    <w:rsid w:val="00EC196F"/>
    <w:rsid w:val="00EC1B54"/>
    <w:rsid w:val="00EC3A47"/>
    <w:rsid w:val="00EC43DF"/>
    <w:rsid w:val="00EC4B92"/>
    <w:rsid w:val="00EC4DE6"/>
    <w:rsid w:val="00EC5D7D"/>
    <w:rsid w:val="00EC7A6A"/>
    <w:rsid w:val="00ED0690"/>
    <w:rsid w:val="00ED075A"/>
    <w:rsid w:val="00ED21D4"/>
    <w:rsid w:val="00ED37D8"/>
    <w:rsid w:val="00ED3FB1"/>
    <w:rsid w:val="00ED413F"/>
    <w:rsid w:val="00ED473A"/>
    <w:rsid w:val="00ED4B1E"/>
    <w:rsid w:val="00ED585F"/>
    <w:rsid w:val="00ED5DD0"/>
    <w:rsid w:val="00ED70C2"/>
    <w:rsid w:val="00ED7AC4"/>
    <w:rsid w:val="00EE044D"/>
    <w:rsid w:val="00EE1721"/>
    <w:rsid w:val="00EE18A6"/>
    <w:rsid w:val="00EE1A3E"/>
    <w:rsid w:val="00EE38A3"/>
    <w:rsid w:val="00EE3BD4"/>
    <w:rsid w:val="00EE3F7E"/>
    <w:rsid w:val="00EE5AC5"/>
    <w:rsid w:val="00EE6830"/>
    <w:rsid w:val="00EE74DD"/>
    <w:rsid w:val="00EF2C33"/>
    <w:rsid w:val="00EF2CD0"/>
    <w:rsid w:val="00EF30AE"/>
    <w:rsid w:val="00EF312C"/>
    <w:rsid w:val="00EF3B2F"/>
    <w:rsid w:val="00EF45B3"/>
    <w:rsid w:val="00EF5669"/>
    <w:rsid w:val="00EF5720"/>
    <w:rsid w:val="00EF6BFF"/>
    <w:rsid w:val="00F009DF"/>
    <w:rsid w:val="00F03FD1"/>
    <w:rsid w:val="00F04091"/>
    <w:rsid w:val="00F0454D"/>
    <w:rsid w:val="00F05BAF"/>
    <w:rsid w:val="00F0660E"/>
    <w:rsid w:val="00F076F9"/>
    <w:rsid w:val="00F105B6"/>
    <w:rsid w:val="00F11C39"/>
    <w:rsid w:val="00F12B72"/>
    <w:rsid w:val="00F12D61"/>
    <w:rsid w:val="00F13133"/>
    <w:rsid w:val="00F1611A"/>
    <w:rsid w:val="00F17343"/>
    <w:rsid w:val="00F17ADD"/>
    <w:rsid w:val="00F20D12"/>
    <w:rsid w:val="00F20F2C"/>
    <w:rsid w:val="00F2235F"/>
    <w:rsid w:val="00F2248B"/>
    <w:rsid w:val="00F225BD"/>
    <w:rsid w:val="00F23745"/>
    <w:rsid w:val="00F2512D"/>
    <w:rsid w:val="00F25295"/>
    <w:rsid w:val="00F25664"/>
    <w:rsid w:val="00F256C5"/>
    <w:rsid w:val="00F261DB"/>
    <w:rsid w:val="00F27068"/>
    <w:rsid w:val="00F2737F"/>
    <w:rsid w:val="00F277E1"/>
    <w:rsid w:val="00F27810"/>
    <w:rsid w:val="00F27840"/>
    <w:rsid w:val="00F30E61"/>
    <w:rsid w:val="00F30EEC"/>
    <w:rsid w:val="00F31132"/>
    <w:rsid w:val="00F32F23"/>
    <w:rsid w:val="00F338D2"/>
    <w:rsid w:val="00F33FE4"/>
    <w:rsid w:val="00F34F2A"/>
    <w:rsid w:val="00F3503E"/>
    <w:rsid w:val="00F355E5"/>
    <w:rsid w:val="00F36B1B"/>
    <w:rsid w:val="00F37F02"/>
    <w:rsid w:val="00F40B88"/>
    <w:rsid w:val="00F40D94"/>
    <w:rsid w:val="00F4177E"/>
    <w:rsid w:val="00F41FB3"/>
    <w:rsid w:val="00F4424B"/>
    <w:rsid w:val="00F44469"/>
    <w:rsid w:val="00F44F38"/>
    <w:rsid w:val="00F456CD"/>
    <w:rsid w:val="00F456D4"/>
    <w:rsid w:val="00F45A8A"/>
    <w:rsid w:val="00F45EE7"/>
    <w:rsid w:val="00F46C08"/>
    <w:rsid w:val="00F508E9"/>
    <w:rsid w:val="00F511EB"/>
    <w:rsid w:val="00F51C94"/>
    <w:rsid w:val="00F5239D"/>
    <w:rsid w:val="00F5331C"/>
    <w:rsid w:val="00F533CC"/>
    <w:rsid w:val="00F53B40"/>
    <w:rsid w:val="00F54720"/>
    <w:rsid w:val="00F5518D"/>
    <w:rsid w:val="00F55BAC"/>
    <w:rsid w:val="00F56333"/>
    <w:rsid w:val="00F564F6"/>
    <w:rsid w:val="00F57C88"/>
    <w:rsid w:val="00F57FE2"/>
    <w:rsid w:val="00F601F1"/>
    <w:rsid w:val="00F605E0"/>
    <w:rsid w:val="00F60F90"/>
    <w:rsid w:val="00F613F3"/>
    <w:rsid w:val="00F6158B"/>
    <w:rsid w:val="00F61E05"/>
    <w:rsid w:val="00F6261A"/>
    <w:rsid w:val="00F62638"/>
    <w:rsid w:val="00F62E64"/>
    <w:rsid w:val="00F633CF"/>
    <w:rsid w:val="00F63737"/>
    <w:rsid w:val="00F6498E"/>
    <w:rsid w:val="00F64A2F"/>
    <w:rsid w:val="00F65238"/>
    <w:rsid w:val="00F65C16"/>
    <w:rsid w:val="00F66250"/>
    <w:rsid w:val="00F71307"/>
    <w:rsid w:val="00F722A4"/>
    <w:rsid w:val="00F7230A"/>
    <w:rsid w:val="00F733C1"/>
    <w:rsid w:val="00F73BBC"/>
    <w:rsid w:val="00F73CEB"/>
    <w:rsid w:val="00F73F32"/>
    <w:rsid w:val="00F73FE5"/>
    <w:rsid w:val="00F74489"/>
    <w:rsid w:val="00F746B9"/>
    <w:rsid w:val="00F7584C"/>
    <w:rsid w:val="00F76317"/>
    <w:rsid w:val="00F76CB8"/>
    <w:rsid w:val="00F771D8"/>
    <w:rsid w:val="00F77640"/>
    <w:rsid w:val="00F776F7"/>
    <w:rsid w:val="00F77C51"/>
    <w:rsid w:val="00F77C99"/>
    <w:rsid w:val="00F801F6"/>
    <w:rsid w:val="00F80256"/>
    <w:rsid w:val="00F80B27"/>
    <w:rsid w:val="00F80DD3"/>
    <w:rsid w:val="00F8290E"/>
    <w:rsid w:val="00F82D1E"/>
    <w:rsid w:val="00F85A47"/>
    <w:rsid w:val="00F867A3"/>
    <w:rsid w:val="00F872DB"/>
    <w:rsid w:val="00F922F5"/>
    <w:rsid w:val="00F9424D"/>
    <w:rsid w:val="00F94457"/>
    <w:rsid w:val="00F9660A"/>
    <w:rsid w:val="00F96B35"/>
    <w:rsid w:val="00F96E2F"/>
    <w:rsid w:val="00F97B11"/>
    <w:rsid w:val="00FA02C8"/>
    <w:rsid w:val="00FA0514"/>
    <w:rsid w:val="00FA0874"/>
    <w:rsid w:val="00FA0EFB"/>
    <w:rsid w:val="00FA146D"/>
    <w:rsid w:val="00FA17C5"/>
    <w:rsid w:val="00FA1BE1"/>
    <w:rsid w:val="00FA257A"/>
    <w:rsid w:val="00FA3211"/>
    <w:rsid w:val="00FA48ED"/>
    <w:rsid w:val="00FA50DB"/>
    <w:rsid w:val="00FA50E9"/>
    <w:rsid w:val="00FA61CC"/>
    <w:rsid w:val="00FA6791"/>
    <w:rsid w:val="00FA710E"/>
    <w:rsid w:val="00FA7F7E"/>
    <w:rsid w:val="00FB1972"/>
    <w:rsid w:val="00FB1A5C"/>
    <w:rsid w:val="00FB2B64"/>
    <w:rsid w:val="00FB2E37"/>
    <w:rsid w:val="00FB2EBE"/>
    <w:rsid w:val="00FB2F4D"/>
    <w:rsid w:val="00FB412D"/>
    <w:rsid w:val="00FB456B"/>
    <w:rsid w:val="00FB4A30"/>
    <w:rsid w:val="00FB5065"/>
    <w:rsid w:val="00FB59BD"/>
    <w:rsid w:val="00FB73C9"/>
    <w:rsid w:val="00FB7AEB"/>
    <w:rsid w:val="00FC0CDA"/>
    <w:rsid w:val="00FC127C"/>
    <w:rsid w:val="00FC16F4"/>
    <w:rsid w:val="00FC2467"/>
    <w:rsid w:val="00FC323C"/>
    <w:rsid w:val="00FC3C57"/>
    <w:rsid w:val="00FC4C53"/>
    <w:rsid w:val="00FC4DA5"/>
    <w:rsid w:val="00FC56CA"/>
    <w:rsid w:val="00FC7D96"/>
    <w:rsid w:val="00FD037D"/>
    <w:rsid w:val="00FD155E"/>
    <w:rsid w:val="00FD16D0"/>
    <w:rsid w:val="00FD17D5"/>
    <w:rsid w:val="00FD2430"/>
    <w:rsid w:val="00FD2F21"/>
    <w:rsid w:val="00FD35B3"/>
    <w:rsid w:val="00FD3DA7"/>
    <w:rsid w:val="00FD492A"/>
    <w:rsid w:val="00FD5E25"/>
    <w:rsid w:val="00FD767A"/>
    <w:rsid w:val="00FD796D"/>
    <w:rsid w:val="00FE22DD"/>
    <w:rsid w:val="00FE26CF"/>
    <w:rsid w:val="00FE27A9"/>
    <w:rsid w:val="00FE2D4F"/>
    <w:rsid w:val="00FE368C"/>
    <w:rsid w:val="00FE3828"/>
    <w:rsid w:val="00FE453D"/>
    <w:rsid w:val="00FE46CC"/>
    <w:rsid w:val="00FE677A"/>
    <w:rsid w:val="00FF02E5"/>
    <w:rsid w:val="00FF0863"/>
    <w:rsid w:val="00FF1549"/>
    <w:rsid w:val="00FF1F87"/>
    <w:rsid w:val="00FF216E"/>
    <w:rsid w:val="00FF22E2"/>
    <w:rsid w:val="00FF2F4C"/>
    <w:rsid w:val="00FF31DF"/>
    <w:rsid w:val="00FF3D67"/>
    <w:rsid w:val="00FF3DE6"/>
    <w:rsid w:val="00FF3F60"/>
    <w:rsid w:val="00FF46FE"/>
    <w:rsid w:val="00FF64C2"/>
    <w:rsid w:val="00FF68BC"/>
    <w:rsid w:val="00FF7D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998518"/>
  <w15:docId w15:val="{C2132D42-418C-4431-A08C-F8D98E59C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SimSun"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4A95"/>
  </w:style>
  <w:style w:type="paragraph" w:styleId="Heading1">
    <w:name w:val="heading 1"/>
    <w:basedOn w:val="Normal"/>
    <w:next w:val="Normal"/>
    <w:link w:val="Heading1Char"/>
    <w:uiPriority w:val="9"/>
    <w:qFormat/>
    <w:rsid w:val="006F145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D144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D144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101DE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ED075A"/>
    <w:pPr>
      <w:spacing w:after="0" w:line="240" w:lineRule="auto"/>
    </w:pPr>
  </w:style>
  <w:style w:type="paragraph" w:styleId="ListParagraph">
    <w:name w:val="List Paragraph"/>
    <w:basedOn w:val="Normal"/>
    <w:uiPriority w:val="34"/>
    <w:qFormat/>
    <w:rsid w:val="00000C64"/>
    <w:pPr>
      <w:ind w:left="720"/>
      <w:contextualSpacing/>
    </w:pPr>
  </w:style>
  <w:style w:type="paragraph" w:styleId="BalloonText">
    <w:name w:val="Balloon Text"/>
    <w:basedOn w:val="Normal"/>
    <w:link w:val="BalloonTextChar"/>
    <w:uiPriority w:val="99"/>
    <w:semiHidden/>
    <w:unhideWhenUsed/>
    <w:rsid w:val="00977533"/>
    <w:pPr>
      <w:spacing w:after="0" w:line="240" w:lineRule="auto"/>
    </w:pPr>
    <w:rPr>
      <w:rFonts w:ascii="Tahoma" w:hAnsi="Tahoma" w:cs="Tahoma"/>
      <w:sz w:val="24"/>
      <w:szCs w:val="16"/>
    </w:rPr>
  </w:style>
  <w:style w:type="character" w:customStyle="1" w:styleId="BalloonTextChar">
    <w:name w:val="Balloon Text Char"/>
    <w:basedOn w:val="DefaultParagraphFont"/>
    <w:link w:val="BalloonText"/>
    <w:uiPriority w:val="99"/>
    <w:semiHidden/>
    <w:rsid w:val="00DE5173"/>
    <w:rPr>
      <w:rFonts w:ascii="Tahoma" w:hAnsi="Tahoma" w:cs="Tahoma"/>
      <w:sz w:val="24"/>
      <w:szCs w:val="16"/>
    </w:rPr>
  </w:style>
  <w:style w:type="character" w:styleId="CommentReference">
    <w:name w:val="annotation reference"/>
    <w:basedOn w:val="DefaultParagraphFont"/>
    <w:uiPriority w:val="99"/>
    <w:semiHidden/>
    <w:unhideWhenUsed/>
    <w:rsid w:val="00D07DB4"/>
    <w:rPr>
      <w:sz w:val="16"/>
      <w:szCs w:val="16"/>
    </w:rPr>
  </w:style>
  <w:style w:type="paragraph" w:styleId="CommentText">
    <w:name w:val="annotation text"/>
    <w:basedOn w:val="Normal"/>
    <w:link w:val="CommentTextChar"/>
    <w:uiPriority w:val="99"/>
    <w:unhideWhenUsed/>
    <w:rsid w:val="00D07DB4"/>
    <w:pPr>
      <w:spacing w:line="240" w:lineRule="auto"/>
    </w:pPr>
    <w:rPr>
      <w:rFonts w:eastAsia="MS Mincho"/>
      <w:sz w:val="20"/>
      <w:szCs w:val="20"/>
    </w:rPr>
  </w:style>
  <w:style w:type="character" w:customStyle="1" w:styleId="CommentTextChar">
    <w:name w:val="Comment Text Char"/>
    <w:basedOn w:val="DefaultParagraphFont"/>
    <w:link w:val="CommentText"/>
    <w:uiPriority w:val="99"/>
    <w:rsid w:val="00D07DB4"/>
    <w:rPr>
      <w:rFonts w:eastAsia="MS Mincho"/>
      <w:sz w:val="20"/>
      <w:szCs w:val="20"/>
    </w:rPr>
  </w:style>
  <w:style w:type="paragraph" w:styleId="CommentSubject">
    <w:name w:val="annotation subject"/>
    <w:basedOn w:val="CommentText"/>
    <w:next w:val="CommentText"/>
    <w:link w:val="CommentSubjectChar"/>
    <w:uiPriority w:val="99"/>
    <w:semiHidden/>
    <w:unhideWhenUsed/>
    <w:rsid w:val="00ED37D8"/>
    <w:rPr>
      <w:rFonts w:eastAsiaTheme="minorHAnsi"/>
      <w:b/>
      <w:bCs/>
    </w:rPr>
  </w:style>
  <w:style w:type="character" w:customStyle="1" w:styleId="CommentSubjectChar">
    <w:name w:val="Comment Subject Char"/>
    <w:basedOn w:val="CommentTextChar"/>
    <w:link w:val="CommentSubject"/>
    <w:uiPriority w:val="99"/>
    <w:semiHidden/>
    <w:rsid w:val="00ED37D8"/>
    <w:rPr>
      <w:rFonts w:eastAsia="MS Mincho"/>
      <w:b/>
      <w:bCs/>
      <w:sz w:val="20"/>
      <w:szCs w:val="20"/>
    </w:rPr>
  </w:style>
  <w:style w:type="table" w:styleId="TableGrid">
    <w:name w:val="Table Grid"/>
    <w:basedOn w:val="TableNormal"/>
    <w:uiPriority w:val="59"/>
    <w:rsid w:val="00AB6C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uiPriority w:val="42"/>
    <w:rsid w:val="00AB6CD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Caption">
    <w:name w:val="caption"/>
    <w:basedOn w:val="Normal"/>
    <w:next w:val="Normal"/>
    <w:uiPriority w:val="35"/>
    <w:unhideWhenUsed/>
    <w:qFormat/>
    <w:rsid w:val="00AB6CD9"/>
    <w:pPr>
      <w:spacing w:after="200" w:line="240" w:lineRule="auto"/>
    </w:pPr>
    <w:rPr>
      <w:i/>
      <w:iCs/>
      <w:color w:val="44546A" w:themeColor="text2"/>
      <w:sz w:val="18"/>
      <w:szCs w:val="18"/>
    </w:rPr>
  </w:style>
  <w:style w:type="paragraph" w:styleId="HTMLPreformatted">
    <w:name w:val="HTML Preformatted"/>
    <w:basedOn w:val="Normal"/>
    <w:link w:val="HTMLPreformattedChar"/>
    <w:uiPriority w:val="99"/>
    <w:unhideWhenUsed/>
    <w:rsid w:val="005E0A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CA"/>
    </w:rPr>
  </w:style>
  <w:style w:type="character" w:customStyle="1" w:styleId="HTMLPreformattedChar">
    <w:name w:val="HTML Preformatted Char"/>
    <w:basedOn w:val="DefaultParagraphFont"/>
    <w:link w:val="HTMLPreformatted"/>
    <w:uiPriority w:val="99"/>
    <w:rsid w:val="005E0AD4"/>
    <w:rPr>
      <w:rFonts w:ascii="Courier New" w:eastAsia="Times New Roman" w:hAnsi="Courier New" w:cs="Courier New"/>
      <w:sz w:val="20"/>
      <w:szCs w:val="20"/>
      <w:lang w:eastAsia="en-CA"/>
    </w:rPr>
  </w:style>
  <w:style w:type="character" w:customStyle="1" w:styleId="gghfmyibcob">
    <w:name w:val="gghfmyibcob"/>
    <w:basedOn w:val="DefaultParagraphFont"/>
    <w:rsid w:val="005E0AD4"/>
  </w:style>
  <w:style w:type="character" w:styleId="Hyperlink">
    <w:name w:val="Hyperlink"/>
    <w:basedOn w:val="DefaultParagraphFont"/>
    <w:uiPriority w:val="99"/>
    <w:unhideWhenUsed/>
    <w:rsid w:val="00D12A05"/>
    <w:rPr>
      <w:color w:val="0563C1" w:themeColor="hyperlink"/>
      <w:u w:val="single"/>
    </w:rPr>
  </w:style>
  <w:style w:type="character" w:styleId="FollowedHyperlink">
    <w:name w:val="FollowedHyperlink"/>
    <w:basedOn w:val="DefaultParagraphFont"/>
    <w:uiPriority w:val="99"/>
    <w:semiHidden/>
    <w:unhideWhenUsed/>
    <w:rsid w:val="0021304C"/>
    <w:rPr>
      <w:color w:val="954F72" w:themeColor="followedHyperlink"/>
      <w:u w:val="single"/>
    </w:rPr>
  </w:style>
  <w:style w:type="table" w:customStyle="1" w:styleId="PlainTable51">
    <w:name w:val="Plain Table 51"/>
    <w:basedOn w:val="TableNormal"/>
    <w:uiPriority w:val="45"/>
    <w:rsid w:val="0096022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41">
    <w:name w:val="Plain Table 41"/>
    <w:basedOn w:val="TableNormal"/>
    <w:uiPriority w:val="44"/>
    <w:rsid w:val="00AB4A1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31">
    <w:name w:val="Plain Table 31"/>
    <w:basedOn w:val="TableNormal"/>
    <w:uiPriority w:val="43"/>
    <w:rsid w:val="00AB4A1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NormalWeb">
    <w:name w:val="Normal (Web)"/>
    <w:basedOn w:val="Normal"/>
    <w:uiPriority w:val="99"/>
    <w:semiHidden/>
    <w:unhideWhenUsed/>
    <w:rsid w:val="007C338D"/>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Revision">
    <w:name w:val="Revision"/>
    <w:hidden/>
    <w:uiPriority w:val="99"/>
    <w:semiHidden/>
    <w:rsid w:val="0018089D"/>
    <w:pPr>
      <w:spacing w:after="0" w:line="240" w:lineRule="auto"/>
    </w:pPr>
  </w:style>
  <w:style w:type="paragraph" w:styleId="Title">
    <w:name w:val="Title"/>
    <w:basedOn w:val="Normal"/>
    <w:next w:val="Normal"/>
    <w:link w:val="TitleChar"/>
    <w:uiPriority w:val="10"/>
    <w:qFormat/>
    <w:rsid w:val="000D144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D1443"/>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0D1443"/>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0D1443"/>
    <w:rPr>
      <w:rFonts w:asciiTheme="majorHAnsi" w:eastAsiaTheme="majorEastAsia" w:hAnsiTheme="majorHAnsi" w:cstheme="majorBidi"/>
      <w:color w:val="1F4D78" w:themeColor="accent1" w:themeShade="7F"/>
      <w:sz w:val="24"/>
      <w:szCs w:val="24"/>
    </w:rPr>
  </w:style>
  <w:style w:type="character" w:styleId="LineNumber">
    <w:name w:val="line number"/>
    <w:basedOn w:val="DefaultParagraphFont"/>
    <w:uiPriority w:val="99"/>
    <w:semiHidden/>
    <w:unhideWhenUsed/>
    <w:rsid w:val="00BF0C28"/>
  </w:style>
  <w:style w:type="paragraph" w:styleId="Header">
    <w:name w:val="header"/>
    <w:basedOn w:val="Normal"/>
    <w:link w:val="HeaderChar"/>
    <w:uiPriority w:val="99"/>
    <w:unhideWhenUsed/>
    <w:rsid w:val="00750BE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0BE0"/>
  </w:style>
  <w:style w:type="paragraph" w:styleId="Footer">
    <w:name w:val="footer"/>
    <w:basedOn w:val="Normal"/>
    <w:link w:val="FooterChar"/>
    <w:uiPriority w:val="99"/>
    <w:unhideWhenUsed/>
    <w:rsid w:val="00750BE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0BE0"/>
  </w:style>
  <w:style w:type="character" w:customStyle="1" w:styleId="Heading4Char">
    <w:name w:val="Heading 4 Char"/>
    <w:basedOn w:val="DefaultParagraphFont"/>
    <w:link w:val="Heading4"/>
    <w:uiPriority w:val="9"/>
    <w:rsid w:val="00101DEC"/>
    <w:rPr>
      <w:rFonts w:asciiTheme="majorHAnsi" w:eastAsiaTheme="majorEastAsia" w:hAnsiTheme="majorHAnsi" w:cstheme="majorBidi"/>
      <w:i/>
      <w:iCs/>
      <w:color w:val="2E74B5" w:themeColor="accent1" w:themeShade="BF"/>
    </w:rPr>
  </w:style>
  <w:style w:type="table" w:customStyle="1" w:styleId="PlainTable212">
    <w:name w:val="Plain Table 212"/>
    <w:basedOn w:val="TableNormal"/>
    <w:uiPriority w:val="42"/>
    <w:rsid w:val="00FD037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512">
    <w:name w:val="Plain Table 512"/>
    <w:basedOn w:val="TableNormal"/>
    <w:uiPriority w:val="45"/>
    <w:rsid w:val="00FD037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412">
    <w:name w:val="Plain Table 412"/>
    <w:basedOn w:val="TableNormal"/>
    <w:uiPriority w:val="44"/>
    <w:rsid w:val="00FD037D"/>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312">
    <w:name w:val="Plain Table 312"/>
    <w:basedOn w:val="TableNormal"/>
    <w:uiPriority w:val="43"/>
    <w:rsid w:val="00FD037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NoSpacingChar">
    <w:name w:val="No Spacing Char"/>
    <w:basedOn w:val="DefaultParagraphFont"/>
    <w:link w:val="NoSpacing"/>
    <w:uiPriority w:val="1"/>
    <w:rsid w:val="00211958"/>
  </w:style>
  <w:style w:type="character" w:customStyle="1" w:styleId="pln">
    <w:name w:val="pln"/>
    <w:basedOn w:val="DefaultParagraphFont"/>
    <w:rsid w:val="00DD37F4"/>
  </w:style>
  <w:style w:type="character" w:customStyle="1" w:styleId="pun">
    <w:name w:val="pun"/>
    <w:basedOn w:val="DefaultParagraphFont"/>
    <w:rsid w:val="00DD37F4"/>
  </w:style>
  <w:style w:type="character" w:customStyle="1" w:styleId="str">
    <w:name w:val="str"/>
    <w:basedOn w:val="DefaultParagraphFont"/>
    <w:rsid w:val="00DD37F4"/>
  </w:style>
  <w:style w:type="character" w:customStyle="1" w:styleId="lit">
    <w:name w:val="lit"/>
    <w:basedOn w:val="DefaultParagraphFont"/>
    <w:rsid w:val="00DD37F4"/>
  </w:style>
  <w:style w:type="character" w:customStyle="1" w:styleId="gghfmyibcpb">
    <w:name w:val="gghfmyibcpb"/>
    <w:basedOn w:val="DefaultParagraphFont"/>
    <w:rsid w:val="00B9531B"/>
  </w:style>
  <w:style w:type="character" w:customStyle="1" w:styleId="gghfmyibgob">
    <w:name w:val="gghfmyibgob"/>
    <w:basedOn w:val="DefaultParagraphFont"/>
    <w:rsid w:val="009F1D94"/>
  </w:style>
  <w:style w:type="character" w:customStyle="1" w:styleId="Heading1Char">
    <w:name w:val="Heading 1 Char"/>
    <w:basedOn w:val="DefaultParagraphFont"/>
    <w:link w:val="Heading1"/>
    <w:uiPriority w:val="9"/>
    <w:rsid w:val="006F145D"/>
    <w:rPr>
      <w:rFonts w:asciiTheme="majorHAnsi" w:eastAsiaTheme="majorEastAsia" w:hAnsiTheme="majorHAnsi" w:cstheme="majorBidi"/>
      <w:color w:val="2E74B5" w:themeColor="accent1" w:themeShade="BF"/>
      <w:sz w:val="32"/>
      <w:szCs w:val="32"/>
    </w:rPr>
  </w:style>
  <w:style w:type="paragraph" w:customStyle="1" w:styleId="headingAM">
    <w:name w:val="heading_AM"/>
    <w:basedOn w:val="Normal"/>
    <w:link w:val="headingAMChar"/>
    <w:qFormat/>
    <w:rsid w:val="009E11FF"/>
    <w:pPr>
      <w:suppressAutoHyphens/>
      <w:spacing w:after="0" w:line="360" w:lineRule="auto"/>
    </w:pPr>
    <w:rPr>
      <w:rFonts w:ascii="Times New Roman" w:hAnsi="Times New Roman" w:cs="Mangal"/>
      <w:b/>
      <w:kern w:val="1"/>
      <w:szCs w:val="24"/>
      <w:lang w:eastAsia="hi-IN" w:bidi="hi-IN"/>
    </w:rPr>
  </w:style>
  <w:style w:type="character" w:customStyle="1" w:styleId="headingAMChar">
    <w:name w:val="heading_AM Char"/>
    <w:basedOn w:val="DefaultParagraphFont"/>
    <w:link w:val="headingAM"/>
    <w:rsid w:val="009E11FF"/>
    <w:rPr>
      <w:rFonts w:ascii="Times New Roman" w:hAnsi="Times New Roman" w:cs="Mangal"/>
      <w:b/>
      <w:kern w:val="1"/>
      <w:szCs w:val="24"/>
      <w:lang w:eastAsia="hi-IN" w:bidi="hi-IN"/>
    </w:rPr>
  </w:style>
  <w:style w:type="table" w:styleId="PlainTable2">
    <w:name w:val="Plain Table 2"/>
    <w:basedOn w:val="TableNormal"/>
    <w:uiPriority w:val="42"/>
    <w:rsid w:val="00FA7F7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FA7F7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4">
    <w:name w:val="Plain Table 4"/>
    <w:basedOn w:val="TableNormal"/>
    <w:uiPriority w:val="44"/>
    <w:rsid w:val="00FA7F7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FA7F7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11">
    <w:name w:val="Plain Table 211"/>
    <w:basedOn w:val="TableNormal"/>
    <w:uiPriority w:val="42"/>
    <w:rsid w:val="00DC31D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511">
    <w:name w:val="Plain Table 511"/>
    <w:basedOn w:val="TableNormal"/>
    <w:uiPriority w:val="45"/>
    <w:rsid w:val="00DC31D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411">
    <w:name w:val="Plain Table 411"/>
    <w:basedOn w:val="TableNormal"/>
    <w:uiPriority w:val="44"/>
    <w:rsid w:val="00DC31D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311">
    <w:name w:val="Plain Table 311"/>
    <w:basedOn w:val="TableNormal"/>
    <w:uiPriority w:val="43"/>
    <w:rsid w:val="00DC31D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Style2">
    <w:name w:val="Style2"/>
    <w:basedOn w:val="headingAM"/>
    <w:next w:val="Heading3"/>
    <w:link w:val="Style2Char"/>
    <w:qFormat/>
    <w:rsid w:val="00286D7E"/>
    <w:pPr>
      <w:spacing w:after="160" w:line="480" w:lineRule="auto"/>
    </w:pPr>
    <w:rPr>
      <w:rFonts w:eastAsia="Times New Roman"/>
      <w:b w:val="0"/>
      <w:i/>
    </w:rPr>
  </w:style>
  <w:style w:type="character" w:customStyle="1" w:styleId="Style2Char">
    <w:name w:val="Style2 Char"/>
    <w:basedOn w:val="headingAMChar"/>
    <w:link w:val="Style2"/>
    <w:rsid w:val="00286D7E"/>
    <w:rPr>
      <w:rFonts w:ascii="Times New Roman" w:eastAsia="Times New Roman" w:hAnsi="Times New Roman" w:cs="Mangal"/>
      <w:b w:val="0"/>
      <w:i/>
      <w:kern w:val="1"/>
      <w:szCs w:val="24"/>
      <w:lang w:eastAsia="hi-IN" w:bidi="hi-IN"/>
    </w:rPr>
  </w:style>
  <w:style w:type="table" w:customStyle="1" w:styleId="PlainTable22">
    <w:name w:val="Plain Table 22"/>
    <w:basedOn w:val="TableNormal"/>
    <w:uiPriority w:val="42"/>
    <w:rsid w:val="008F1BA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52">
    <w:name w:val="Plain Table 52"/>
    <w:basedOn w:val="TableNormal"/>
    <w:uiPriority w:val="45"/>
    <w:rsid w:val="008F1BA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42">
    <w:name w:val="Plain Table 42"/>
    <w:basedOn w:val="TableNormal"/>
    <w:uiPriority w:val="44"/>
    <w:rsid w:val="008F1BA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32">
    <w:name w:val="Plain Table 32"/>
    <w:basedOn w:val="TableNormal"/>
    <w:uiPriority w:val="43"/>
    <w:rsid w:val="008F1BA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68447">
      <w:bodyDiv w:val="1"/>
      <w:marLeft w:val="0"/>
      <w:marRight w:val="0"/>
      <w:marTop w:val="0"/>
      <w:marBottom w:val="0"/>
      <w:divBdr>
        <w:top w:val="none" w:sz="0" w:space="0" w:color="auto"/>
        <w:left w:val="none" w:sz="0" w:space="0" w:color="auto"/>
        <w:bottom w:val="none" w:sz="0" w:space="0" w:color="auto"/>
        <w:right w:val="none" w:sz="0" w:space="0" w:color="auto"/>
      </w:divBdr>
    </w:div>
    <w:div w:id="75059365">
      <w:bodyDiv w:val="1"/>
      <w:marLeft w:val="0"/>
      <w:marRight w:val="0"/>
      <w:marTop w:val="0"/>
      <w:marBottom w:val="0"/>
      <w:divBdr>
        <w:top w:val="none" w:sz="0" w:space="0" w:color="auto"/>
        <w:left w:val="none" w:sz="0" w:space="0" w:color="auto"/>
        <w:bottom w:val="none" w:sz="0" w:space="0" w:color="auto"/>
        <w:right w:val="none" w:sz="0" w:space="0" w:color="auto"/>
      </w:divBdr>
    </w:div>
    <w:div w:id="100879264">
      <w:bodyDiv w:val="1"/>
      <w:marLeft w:val="0"/>
      <w:marRight w:val="0"/>
      <w:marTop w:val="0"/>
      <w:marBottom w:val="0"/>
      <w:divBdr>
        <w:top w:val="none" w:sz="0" w:space="0" w:color="auto"/>
        <w:left w:val="none" w:sz="0" w:space="0" w:color="auto"/>
        <w:bottom w:val="none" w:sz="0" w:space="0" w:color="auto"/>
        <w:right w:val="none" w:sz="0" w:space="0" w:color="auto"/>
      </w:divBdr>
    </w:div>
    <w:div w:id="106897543">
      <w:bodyDiv w:val="1"/>
      <w:marLeft w:val="0"/>
      <w:marRight w:val="0"/>
      <w:marTop w:val="0"/>
      <w:marBottom w:val="0"/>
      <w:divBdr>
        <w:top w:val="none" w:sz="0" w:space="0" w:color="auto"/>
        <w:left w:val="none" w:sz="0" w:space="0" w:color="auto"/>
        <w:bottom w:val="none" w:sz="0" w:space="0" w:color="auto"/>
        <w:right w:val="none" w:sz="0" w:space="0" w:color="auto"/>
      </w:divBdr>
    </w:div>
    <w:div w:id="130487200">
      <w:bodyDiv w:val="1"/>
      <w:marLeft w:val="0"/>
      <w:marRight w:val="0"/>
      <w:marTop w:val="0"/>
      <w:marBottom w:val="0"/>
      <w:divBdr>
        <w:top w:val="none" w:sz="0" w:space="0" w:color="auto"/>
        <w:left w:val="none" w:sz="0" w:space="0" w:color="auto"/>
        <w:bottom w:val="none" w:sz="0" w:space="0" w:color="auto"/>
        <w:right w:val="none" w:sz="0" w:space="0" w:color="auto"/>
      </w:divBdr>
    </w:div>
    <w:div w:id="136648230">
      <w:bodyDiv w:val="1"/>
      <w:marLeft w:val="0"/>
      <w:marRight w:val="0"/>
      <w:marTop w:val="0"/>
      <w:marBottom w:val="0"/>
      <w:divBdr>
        <w:top w:val="none" w:sz="0" w:space="0" w:color="auto"/>
        <w:left w:val="none" w:sz="0" w:space="0" w:color="auto"/>
        <w:bottom w:val="none" w:sz="0" w:space="0" w:color="auto"/>
        <w:right w:val="none" w:sz="0" w:space="0" w:color="auto"/>
      </w:divBdr>
    </w:div>
    <w:div w:id="145827873">
      <w:bodyDiv w:val="1"/>
      <w:marLeft w:val="0"/>
      <w:marRight w:val="0"/>
      <w:marTop w:val="0"/>
      <w:marBottom w:val="0"/>
      <w:divBdr>
        <w:top w:val="none" w:sz="0" w:space="0" w:color="auto"/>
        <w:left w:val="none" w:sz="0" w:space="0" w:color="auto"/>
        <w:bottom w:val="none" w:sz="0" w:space="0" w:color="auto"/>
        <w:right w:val="none" w:sz="0" w:space="0" w:color="auto"/>
      </w:divBdr>
    </w:div>
    <w:div w:id="173614496">
      <w:bodyDiv w:val="1"/>
      <w:marLeft w:val="0"/>
      <w:marRight w:val="0"/>
      <w:marTop w:val="0"/>
      <w:marBottom w:val="0"/>
      <w:divBdr>
        <w:top w:val="none" w:sz="0" w:space="0" w:color="auto"/>
        <w:left w:val="none" w:sz="0" w:space="0" w:color="auto"/>
        <w:bottom w:val="none" w:sz="0" w:space="0" w:color="auto"/>
        <w:right w:val="none" w:sz="0" w:space="0" w:color="auto"/>
      </w:divBdr>
    </w:div>
    <w:div w:id="183714984">
      <w:bodyDiv w:val="1"/>
      <w:marLeft w:val="0"/>
      <w:marRight w:val="0"/>
      <w:marTop w:val="0"/>
      <w:marBottom w:val="0"/>
      <w:divBdr>
        <w:top w:val="none" w:sz="0" w:space="0" w:color="auto"/>
        <w:left w:val="none" w:sz="0" w:space="0" w:color="auto"/>
        <w:bottom w:val="none" w:sz="0" w:space="0" w:color="auto"/>
        <w:right w:val="none" w:sz="0" w:space="0" w:color="auto"/>
      </w:divBdr>
    </w:div>
    <w:div w:id="197469337">
      <w:bodyDiv w:val="1"/>
      <w:marLeft w:val="0"/>
      <w:marRight w:val="0"/>
      <w:marTop w:val="0"/>
      <w:marBottom w:val="0"/>
      <w:divBdr>
        <w:top w:val="none" w:sz="0" w:space="0" w:color="auto"/>
        <w:left w:val="none" w:sz="0" w:space="0" w:color="auto"/>
        <w:bottom w:val="none" w:sz="0" w:space="0" w:color="auto"/>
        <w:right w:val="none" w:sz="0" w:space="0" w:color="auto"/>
      </w:divBdr>
    </w:div>
    <w:div w:id="214851509">
      <w:bodyDiv w:val="1"/>
      <w:marLeft w:val="0"/>
      <w:marRight w:val="0"/>
      <w:marTop w:val="0"/>
      <w:marBottom w:val="0"/>
      <w:divBdr>
        <w:top w:val="none" w:sz="0" w:space="0" w:color="auto"/>
        <w:left w:val="none" w:sz="0" w:space="0" w:color="auto"/>
        <w:bottom w:val="none" w:sz="0" w:space="0" w:color="auto"/>
        <w:right w:val="none" w:sz="0" w:space="0" w:color="auto"/>
      </w:divBdr>
    </w:div>
    <w:div w:id="221403570">
      <w:bodyDiv w:val="1"/>
      <w:marLeft w:val="0"/>
      <w:marRight w:val="0"/>
      <w:marTop w:val="0"/>
      <w:marBottom w:val="0"/>
      <w:divBdr>
        <w:top w:val="none" w:sz="0" w:space="0" w:color="auto"/>
        <w:left w:val="none" w:sz="0" w:space="0" w:color="auto"/>
        <w:bottom w:val="none" w:sz="0" w:space="0" w:color="auto"/>
        <w:right w:val="none" w:sz="0" w:space="0" w:color="auto"/>
      </w:divBdr>
    </w:div>
    <w:div w:id="272060534">
      <w:bodyDiv w:val="1"/>
      <w:marLeft w:val="0"/>
      <w:marRight w:val="0"/>
      <w:marTop w:val="0"/>
      <w:marBottom w:val="0"/>
      <w:divBdr>
        <w:top w:val="none" w:sz="0" w:space="0" w:color="auto"/>
        <w:left w:val="none" w:sz="0" w:space="0" w:color="auto"/>
        <w:bottom w:val="none" w:sz="0" w:space="0" w:color="auto"/>
        <w:right w:val="none" w:sz="0" w:space="0" w:color="auto"/>
      </w:divBdr>
    </w:div>
    <w:div w:id="315647713">
      <w:bodyDiv w:val="1"/>
      <w:marLeft w:val="0"/>
      <w:marRight w:val="0"/>
      <w:marTop w:val="0"/>
      <w:marBottom w:val="0"/>
      <w:divBdr>
        <w:top w:val="none" w:sz="0" w:space="0" w:color="auto"/>
        <w:left w:val="none" w:sz="0" w:space="0" w:color="auto"/>
        <w:bottom w:val="none" w:sz="0" w:space="0" w:color="auto"/>
        <w:right w:val="none" w:sz="0" w:space="0" w:color="auto"/>
      </w:divBdr>
    </w:div>
    <w:div w:id="339115511">
      <w:bodyDiv w:val="1"/>
      <w:marLeft w:val="0"/>
      <w:marRight w:val="0"/>
      <w:marTop w:val="0"/>
      <w:marBottom w:val="0"/>
      <w:divBdr>
        <w:top w:val="none" w:sz="0" w:space="0" w:color="auto"/>
        <w:left w:val="none" w:sz="0" w:space="0" w:color="auto"/>
        <w:bottom w:val="none" w:sz="0" w:space="0" w:color="auto"/>
        <w:right w:val="none" w:sz="0" w:space="0" w:color="auto"/>
      </w:divBdr>
    </w:div>
    <w:div w:id="343091631">
      <w:bodyDiv w:val="1"/>
      <w:marLeft w:val="0"/>
      <w:marRight w:val="0"/>
      <w:marTop w:val="0"/>
      <w:marBottom w:val="0"/>
      <w:divBdr>
        <w:top w:val="none" w:sz="0" w:space="0" w:color="auto"/>
        <w:left w:val="none" w:sz="0" w:space="0" w:color="auto"/>
        <w:bottom w:val="none" w:sz="0" w:space="0" w:color="auto"/>
        <w:right w:val="none" w:sz="0" w:space="0" w:color="auto"/>
      </w:divBdr>
    </w:div>
    <w:div w:id="361636790">
      <w:bodyDiv w:val="1"/>
      <w:marLeft w:val="0"/>
      <w:marRight w:val="0"/>
      <w:marTop w:val="0"/>
      <w:marBottom w:val="0"/>
      <w:divBdr>
        <w:top w:val="none" w:sz="0" w:space="0" w:color="auto"/>
        <w:left w:val="none" w:sz="0" w:space="0" w:color="auto"/>
        <w:bottom w:val="none" w:sz="0" w:space="0" w:color="auto"/>
        <w:right w:val="none" w:sz="0" w:space="0" w:color="auto"/>
      </w:divBdr>
    </w:div>
    <w:div w:id="379090979">
      <w:bodyDiv w:val="1"/>
      <w:marLeft w:val="0"/>
      <w:marRight w:val="0"/>
      <w:marTop w:val="0"/>
      <w:marBottom w:val="0"/>
      <w:divBdr>
        <w:top w:val="none" w:sz="0" w:space="0" w:color="auto"/>
        <w:left w:val="none" w:sz="0" w:space="0" w:color="auto"/>
        <w:bottom w:val="none" w:sz="0" w:space="0" w:color="auto"/>
        <w:right w:val="none" w:sz="0" w:space="0" w:color="auto"/>
      </w:divBdr>
    </w:div>
    <w:div w:id="410081021">
      <w:bodyDiv w:val="1"/>
      <w:marLeft w:val="0"/>
      <w:marRight w:val="0"/>
      <w:marTop w:val="0"/>
      <w:marBottom w:val="0"/>
      <w:divBdr>
        <w:top w:val="none" w:sz="0" w:space="0" w:color="auto"/>
        <w:left w:val="none" w:sz="0" w:space="0" w:color="auto"/>
        <w:bottom w:val="none" w:sz="0" w:space="0" w:color="auto"/>
        <w:right w:val="none" w:sz="0" w:space="0" w:color="auto"/>
      </w:divBdr>
    </w:div>
    <w:div w:id="410586157">
      <w:bodyDiv w:val="1"/>
      <w:marLeft w:val="0"/>
      <w:marRight w:val="0"/>
      <w:marTop w:val="0"/>
      <w:marBottom w:val="0"/>
      <w:divBdr>
        <w:top w:val="none" w:sz="0" w:space="0" w:color="auto"/>
        <w:left w:val="none" w:sz="0" w:space="0" w:color="auto"/>
        <w:bottom w:val="none" w:sz="0" w:space="0" w:color="auto"/>
        <w:right w:val="none" w:sz="0" w:space="0" w:color="auto"/>
      </w:divBdr>
    </w:div>
    <w:div w:id="414130730">
      <w:bodyDiv w:val="1"/>
      <w:marLeft w:val="0"/>
      <w:marRight w:val="0"/>
      <w:marTop w:val="0"/>
      <w:marBottom w:val="0"/>
      <w:divBdr>
        <w:top w:val="none" w:sz="0" w:space="0" w:color="auto"/>
        <w:left w:val="none" w:sz="0" w:space="0" w:color="auto"/>
        <w:bottom w:val="none" w:sz="0" w:space="0" w:color="auto"/>
        <w:right w:val="none" w:sz="0" w:space="0" w:color="auto"/>
      </w:divBdr>
    </w:div>
    <w:div w:id="428045904">
      <w:bodyDiv w:val="1"/>
      <w:marLeft w:val="0"/>
      <w:marRight w:val="0"/>
      <w:marTop w:val="0"/>
      <w:marBottom w:val="0"/>
      <w:divBdr>
        <w:top w:val="none" w:sz="0" w:space="0" w:color="auto"/>
        <w:left w:val="none" w:sz="0" w:space="0" w:color="auto"/>
        <w:bottom w:val="none" w:sz="0" w:space="0" w:color="auto"/>
        <w:right w:val="none" w:sz="0" w:space="0" w:color="auto"/>
      </w:divBdr>
    </w:div>
    <w:div w:id="457456484">
      <w:bodyDiv w:val="1"/>
      <w:marLeft w:val="0"/>
      <w:marRight w:val="0"/>
      <w:marTop w:val="0"/>
      <w:marBottom w:val="0"/>
      <w:divBdr>
        <w:top w:val="none" w:sz="0" w:space="0" w:color="auto"/>
        <w:left w:val="none" w:sz="0" w:space="0" w:color="auto"/>
        <w:bottom w:val="none" w:sz="0" w:space="0" w:color="auto"/>
        <w:right w:val="none" w:sz="0" w:space="0" w:color="auto"/>
      </w:divBdr>
      <w:divsChild>
        <w:div w:id="232860025">
          <w:marLeft w:val="360"/>
          <w:marRight w:val="0"/>
          <w:marTop w:val="200"/>
          <w:marBottom w:val="0"/>
          <w:divBdr>
            <w:top w:val="none" w:sz="0" w:space="0" w:color="auto"/>
            <w:left w:val="none" w:sz="0" w:space="0" w:color="auto"/>
            <w:bottom w:val="none" w:sz="0" w:space="0" w:color="auto"/>
            <w:right w:val="none" w:sz="0" w:space="0" w:color="auto"/>
          </w:divBdr>
        </w:div>
        <w:div w:id="954748951">
          <w:marLeft w:val="360"/>
          <w:marRight w:val="0"/>
          <w:marTop w:val="200"/>
          <w:marBottom w:val="0"/>
          <w:divBdr>
            <w:top w:val="none" w:sz="0" w:space="0" w:color="auto"/>
            <w:left w:val="none" w:sz="0" w:space="0" w:color="auto"/>
            <w:bottom w:val="none" w:sz="0" w:space="0" w:color="auto"/>
            <w:right w:val="none" w:sz="0" w:space="0" w:color="auto"/>
          </w:divBdr>
        </w:div>
        <w:div w:id="996374807">
          <w:marLeft w:val="360"/>
          <w:marRight w:val="0"/>
          <w:marTop w:val="200"/>
          <w:marBottom w:val="0"/>
          <w:divBdr>
            <w:top w:val="none" w:sz="0" w:space="0" w:color="auto"/>
            <w:left w:val="none" w:sz="0" w:space="0" w:color="auto"/>
            <w:bottom w:val="none" w:sz="0" w:space="0" w:color="auto"/>
            <w:right w:val="none" w:sz="0" w:space="0" w:color="auto"/>
          </w:divBdr>
        </w:div>
        <w:div w:id="1923484050">
          <w:marLeft w:val="360"/>
          <w:marRight w:val="0"/>
          <w:marTop w:val="200"/>
          <w:marBottom w:val="0"/>
          <w:divBdr>
            <w:top w:val="none" w:sz="0" w:space="0" w:color="auto"/>
            <w:left w:val="none" w:sz="0" w:space="0" w:color="auto"/>
            <w:bottom w:val="none" w:sz="0" w:space="0" w:color="auto"/>
            <w:right w:val="none" w:sz="0" w:space="0" w:color="auto"/>
          </w:divBdr>
        </w:div>
        <w:div w:id="1959289641">
          <w:marLeft w:val="360"/>
          <w:marRight w:val="0"/>
          <w:marTop w:val="200"/>
          <w:marBottom w:val="0"/>
          <w:divBdr>
            <w:top w:val="none" w:sz="0" w:space="0" w:color="auto"/>
            <w:left w:val="none" w:sz="0" w:space="0" w:color="auto"/>
            <w:bottom w:val="none" w:sz="0" w:space="0" w:color="auto"/>
            <w:right w:val="none" w:sz="0" w:space="0" w:color="auto"/>
          </w:divBdr>
        </w:div>
      </w:divsChild>
    </w:div>
    <w:div w:id="462430369">
      <w:bodyDiv w:val="1"/>
      <w:marLeft w:val="0"/>
      <w:marRight w:val="0"/>
      <w:marTop w:val="0"/>
      <w:marBottom w:val="0"/>
      <w:divBdr>
        <w:top w:val="none" w:sz="0" w:space="0" w:color="auto"/>
        <w:left w:val="none" w:sz="0" w:space="0" w:color="auto"/>
        <w:bottom w:val="none" w:sz="0" w:space="0" w:color="auto"/>
        <w:right w:val="none" w:sz="0" w:space="0" w:color="auto"/>
      </w:divBdr>
    </w:div>
    <w:div w:id="513572158">
      <w:bodyDiv w:val="1"/>
      <w:marLeft w:val="0"/>
      <w:marRight w:val="0"/>
      <w:marTop w:val="0"/>
      <w:marBottom w:val="0"/>
      <w:divBdr>
        <w:top w:val="none" w:sz="0" w:space="0" w:color="auto"/>
        <w:left w:val="none" w:sz="0" w:space="0" w:color="auto"/>
        <w:bottom w:val="none" w:sz="0" w:space="0" w:color="auto"/>
        <w:right w:val="none" w:sz="0" w:space="0" w:color="auto"/>
      </w:divBdr>
    </w:div>
    <w:div w:id="525599250">
      <w:bodyDiv w:val="1"/>
      <w:marLeft w:val="0"/>
      <w:marRight w:val="0"/>
      <w:marTop w:val="0"/>
      <w:marBottom w:val="0"/>
      <w:divBdr>
        <w:top w:val="none" w:sz="0" w:space="0" w:color="auto"/>
        <w:left w:val="none" w:sz="0" w:space="0" w:color="auto"/>
        <w:bottom w:val="none" w:sz="0" w:space="0" w:color="auto"/>
        <w:right w:val="none" w:sz="0" w:space="0" w:color="auto"/>
      </w:divBdr>
    </w:div>
    <w:div w:id="528690781">
      <w:bodyDiv w:val="1"/>
      <w:marLeft w:val="0"/>
      <w:marRight w:val="0"/>
      <w:marTop w:val="0"/>
      <w:marBottom w:val="0"/>
      <w:divBdr>
        <w:top w:val="none" w:sz="0" w:space="0" w:color="auto"/>
        <w:left w:val="none" w:sz="0" w:space="0" w:color="auto"/>
        <w:bottom w:val="none" w:sz="0" w:space="0" w:color="auto"/>
        <w:right w:val="none" w:sz="0" w:space="0" w:color="auto"/>
      </w:divBdr>
    </w:div>
    <w:div w:id="545719528">
      <w:bodyDiv w:val="1"/>
      <w:marLeft w:val="0"/>
      <w:marRight w:val="0"/>
      <w:marTop w:val="0"/>
      <w:marBottom w:val="0"/>
      <w:divBdr>
        <w:top w:val="none" w:sz="0" w:space="0" w:color="auto"/>
        <w:left w:val="none" w:sz="0" w:space="0" w:color="auto"/>
        <w:bottom w:val="none" w:sz="0" w:space="0" w:color="auto"/>
        <w:right w:val="none" w:sz="0" w:space="0" w:color="auto"/>
      </w:divBdr>
    </w:div>
    <w:div w:id="600189843">
      <w:bodyDiv w:val="1"/>
      <w:marLeft w:val="0"/>
      <w:marRight w:val="0"/>
      <w:marTop w:val="0"/>
      <w:marBottom w:val="0"/>
      <w:divBdr>
        <w:top w:val="none" w:sz="0" w:space="0" w:color="auto"/>
        <w:left w:val="none" w:sz="0" w:space="0" w:color="auto"/>
        <w:bottom w:val="none" w:sz="0" w:space="0" w:color="auto"/>
        <w:right w:val="none" w:sz="0" w:space="0" w:color="auto"/>
      </w:divBdr>
    </w:div>
    <w:div w:id="656424125">
      <w:bodyDiv w:val="1"/>
      <w:marLeft w:val="0"/>
      <w:marRight w:val="0"/>
      <w:marTop w:val="0"/>
      <w:marBottom w:val="0"/>
      <w:divBdr>
        <w:top w:val="none" w:sz="0" w:space="0" w:color="auto"/>
        <w:left w:val="none" w:sz="0" w:space="0" w:color="auto"/>
        <w:bottom w:val="none" w:sz="0" w:space="0" w:color="auto"/>
        <w:right w:val="none" w:sz="0" w:space="0" w:color="auto"/>
      </w:divBdr>
    </w:div>
    <w:div w:id="656879569">
      <w:bodyDiv w:val="1"/>
      <w:marLeft w:val="0"/>
      <w:marRight w:val="0"/>
      <w:marTop w:val="0"/>
      <w:marBottom w:val="0"/>
      <w:divBdr>
        <w:top w:val="none" w:sz="0" w:space="0" w:color="auto"/>
        <w:left w:val="none" w:sz="0" w:space="0" w:color="auto"/>
        <w:bottom w:val="none" w:sz="0" w:space="0" w:color="auto"/>
        <w:right w:val="none" w:sz="0" w:space="0" w:color="auto"/>
      </w:divBdr>
    </w:div>
    <w:div w:id="665548427">
      <w:bodyDiv w:val="1"/>
      <w:marLeft w:val="0"/>
      <w:marRight w:val="0"/>
      <w:marTop w:val="0"/>
      <w:marBottom w:val="0"/>
      <w:divBdr>
        <w:top w:val="none" w:sz="0" w:space="0" w:color="auto"/>
        <w:left w:val="none" w:sz="0" w:space="0" w:color="auto"/>
        <w:bottom w:val="none" w:sz="0" w:space="0" w:color="auto"/>
        <w:right w:val="none" w:sz="0" w:space="0" w:color="auto"/>
      </w:divBdr>
    </w:div>
    <w:div w:id="669410584">
      <w:bodyDiv w:val="1"/>
      <w:marLeft w:val="0"/>
      <w:marRight w:val="0"/>
      <w:marTop w:val="0"/>
      <w:marBottom w:val="0"/>
      <w:divBdr>
        <w:top w:val="none" w:sz="0" w:space="0" w:color="auto"/>
        <w:left w:val="none" w:sz="0" w:space="0" w:color="auto"/>
        <w:bottom w:val="none" w:sz="0" w:space="0" w:color="auto"/>
        <w:right w:val="none" w:sz="0" w:space="0" w:color="auto"/>
      </w:divBdr>
    </w:div>
    <w:div w:id="677004322">
      <w:bodyDiv w:val="1"/>
      <w:marLeft w:val="0"/>
      <w:marRight w:val="0"/>
      <w:marTop w:val="0"/>
      <w:marBottom w:val="0"/>
      <w:divBdr>
        <w:top w:val="none" w:sz="0" w:space="0" w:color="auto"/>
        <w:left w:val="none" w:sz="0" w:space="0" w:color="auto"/>
        <w:bottom w:val="none" w:sz="0" w:space="0" w:color="auto"/>
        <w:right w:val="none" w:sz="0" w:space="0" w:color="auto"/>
      </w:divBdr>
      <w:divsChild>
        <w:div w:id="256639851">
          <w:marLeft w:val="0"/>
          <w:marRight w:val="0"/>
          <w:marTop w:val="0"/>
          <w:marBottom w:val="0"/>
          <w:divBdr>
            <w:top w:val="none" w:sz="0" w:space="0" w:color="auto"/>
            <w:left w:val="none" w:sz="0" w:space="0" w:color="auto"/>
            <w:bottom w:val="none" w:sz="0" w:space="0" w:color="auto"/>
            <w:right w:val="none" w:sz="0" w:space="0" w:color="auto"/>
          </w:divBdr>
        </w:div>
        <w:div w:id="767626171">
          <w:marLeft w:val="0"/>
          <w:marRight w:val="0"/>
          <w:marTop w:val="0"/>
          <w:marBottom w:val="0"/>
          <w:divBdr>
            <w:top w:val="none" w:sz="0" w:space="0" w:color="auto"/>
            <w:left w:val="none" w:sz="0" w:space="0" w:color="auto"/>
            <w:bottom w:val="none" w:sz="0" w:space="0" w:color="auto"/>
            <w:right w:val="none" w:sz="0" w:space="0" w:color="auto"/>
          </w:divBdr>
        </w:div>
        <w:div w:id="1229150182">
          <w:marLeft w:val="0"/>
          <w:marRight w:val="0"/>
          <w:marTop w:val="0"/>
          <w:marBottom w:val="0"/>
          <w:divBdr>
            <w:top w:val="none" w:sz="0" w:space="0" w:color="auto"/>
            <w:left w:val="none" w:sz="0" w:space="0" w:color="auto"/>
            <w:bottom w:val="none" w:sz="0" w:space="0" w:color="auto"/>
            <w:right w:val="none" w:sz="0" w:space="0" w:color="auto"/>
          </w:divBdr>
        </w:div>
      </w:divsChild>
    </w:div>
    <w:div w:id="679241731">
      <w:bodyDiv w:val="1"/>
      <w:marLeft w:val="0"/>
      <w:marRight w:val="0"/>
      <w:marTop w:val="0"/>
      <w:marBottom w:val="0"/>
      <w:divBdr>
        <w:top w:val="none" w:sz="0" w:space="0" w:color="auto"/>
        <w:left w:val="none" w:sz="0" w:space="0" w:color="auto"/>
        <w:bottom w:val="none" w:sz="0" w:space="0" w:color="auto"/>
        <w:right w:val="none" w:sz="0" w:space="0" w:color="auto"/>
      </w:divBdr>
    </w:div>
    <w:div w:id="707948199">
      <w:bodyDiv w:val="1"/>
      <w:marLeft w:val="0"/>
      <w:marRight w:val="0"/>
      <w:marTop w:val="0"/>
      <w:marBottom w:val="0"/>
      <w:divBdr>
        <w:top w:val="none" w:sz="0" w:space="0" w:color="auto"/>
        <w:left w:val="none" w:sz="0" w:space="0" w:color="auto"/>
        <w:bottom w:val="none" w:sz="0" w:space="0" w:color="auto"/>
        <w:right w:val="none" w:sz="0" w:space="0" w:color="auto"/>
      </w:divBdr>
    </w:div>
    <w:div w:id="734358916">
      <w:bodyDiv w:val="1"/>
      <w:marLeft w:val="0"/>
      <w:marRight w:val="0"/>
      <w:marTop w:val="0"/>
      <w:marBottom w:val="0"/>
      <w:divBdr>
        <w:top w:val="none" w:sz="0" w:space="0" w:color="auto"/>
        <w:left w:val="none" w:sz="0" w:space="0" w:color="auto"/>
        <w:bottom w:val="none" w:sz="0" w:space="0" w:color="auto"/>
        <w:right w:val="none" w:sz="0" w:space="0" w:color="auto"/>
      </w:divBdr>
    </w:div>
    <w:div w:id="798425204">
      <w:bodyDiv w:val="1"/>
      <w:marLeft w:val="0"/>
      <w:marRight w:val="0"/>
      <w:marTop w:val="0"/>
      <w:marBottom w:val="0"/>
      <w:divBdr>
        <w:top w:val="none" w:sz="0" w:space="0" w:color="auto"/>
        <w:left w:val="none" w:sz="0" w:space="0" w:color="auto"/>
        <w:bottom w:val="none" w:sz="0" w:space="0" w:color="auto"/>
        <w:right w:val="none" w:sz="0" w:space="0" w:color="auto"/>
      </w:divBdr>
    </w:div>
    <w:div w:id="802892767">
      <w:bodyDiv w:val="1"/>
      <w:marLeft w:val="0"/>
      <w:marRight w:val="0"/>
      <w:marTop w:val="0"/>
      <w:marBottom w:val="0"/>
      <w:divBdr>
        <w:top w:val="none" w:sz="0" w:space="0" w:color="auto"/>
        <w:left w:val="none" w:sz="0" w:space="0" w:color="auto"/>
        <w:bottom w:val="none" w:sz="0" w:space="0" w:color="auto"/>
        <w:right w:val="none" w:sz="0" w:space="0" w:color="auto"/>
      </w:divBdr>
    </w:div>
    <w:div w:id="808060272">
      <w:bodyDiv w:val="1"/>
      <w:marLeft w:val="0"/>
      <w:marRight w:val="0"/>
      <w:marTop w:val="0"/>
      <w:marBottom w:val="0"/>
      <w:divBdr>
        <w:top w:val="none" w:sz="0" w:space="0" w:color="auto"/>
        <w:left w:val="none" w:sz="0" w:space="0" w:color="auto"/>
        <w:bottom w:val="none" w:sz="0" w:space="0" w:color="auto"/>
        <w:right w:val="none" w:sz="0" w:space="0" w:color="auto"/>
      </w:divBdr>
    </w:div>
    <w:div w:id="870383943">
      <w:bodyDiv w:val="1"/>
      <w:marLeft w:val="0"/>
      <w:marRight w:val="0"/>
      <w:marTop w:val="0"/>
      <w:marBottom w:val="0"/>
      <w:divBdr>
        <w:top w:val="none" w:sz="0" w:space="0" w:color="auto"/>
        <w:left w:val="none" w:sz="0" w:space="0" w:color="auto"/>
        <w:bottom w:val="none" w:sz="0" w:space="0" w:color="auto"/>
        <w:right w:val="none" w:sz="0" w:space="0" w:color="auto"/>
      </w:divBdr>
    </w:div>
    <w:div w:id="883567036">
      <w:bodyDiv w:val="1"/>
      <w:marLeft w:val="0"/>
      <w:marRight w:val="0"/>
      <w:marTop w:val="0"/>
      <w:marBottom w:val="0"/>
      <w:divBdr>
        <w:top w:val="none" w:sz="0" w:space="0" w:color="auto"/>
        <w:left w:val="none" w:sz="0" w:space="0" w:color="auto"/>
        <w:bottom w:val="none" w:sz="0" w:space="0" w:color="auto"/>
        <w:right w:val="none" w:sz="0" w:space="0" w:color="auto"/>
      </w:divBdr>
    </w:div>
    <w:div w:id="883830143">
      <w:bodyDiv w:val="1"/>
      <w:marLeft w:val="0"/>
      <w:marRight w:val="0"/>
      <w:marTop w:val="0"/>
      <w:marBottom w:val="0"/>
      <w:divBdr>
        <w:top w:val="none" w:sz="0" w:space="0" w:color="auto"/>
        <w:left w:val="none" w:sz="0" w:space="0" w:color="auto"/>
        <w:bottom w:val="none" w:sz="0" w:space="0" w:color="auto"/>
        <w:right w:val="none" w:sz="0" w:space="0" w:color="auto"/>
      </w:divBdr>
    </w:div>
    <w:div w:id="905261635">
      <w:bodyDiv w:val="1"/>
      <w:marLeft w:val="0"/>
      <w:marRight w:val="0"/>
      <w:marTop w:val="0"/>
      <w:marBottom w:val="0"/>
      <w:divBdr>
        <w:top w:val="none" w:sz="0" w:space="0" w:color="auto"/>
        <w:left w:val="none" w:sz="0" w:space="0" w:color="auto"/>
        <w:bottom w:val="none" w:sz="0" w:space="0" w:color="auto"/>
        <w:right w:val="none" w:sz="0" w:space="0" w:color="auto"/>
      </w:divBdr>
    </w:div>
    <w:div w:id="910962295">
      <w:bodyDiv w:val="1"/>
      <w:marLeft w:val="0"/>
      <w:marRight w:val="0"/>
      <w:marTop w:val="0"/>
      <w:marBottom w:val="0"/>
      <w:divBdr>
        <w:top w:val="none" w:sz="0" w:space="0" w:color="auto"/>
        <w:left w:val="none" w:sz="0" w:space="0" w:color="auto"/>
        <w:bottom w:val="none" w:sz="0" w:space="0" w:color="auto"/>
        <w:right w:val="none" w:sz="0" w:space="0" w:color="auto"/>
      </w:divBdr>
    </w:div>
    <w:div w:id="929434380">
      <w:bodyDiv w:val="1"/>
      <w:marLeft w:val="0"/>
      <w:marRight w:val="0"/>
      <w:marTop w:val="0"/>
      <w:marBottom w:val="0"/>
      <w:divBdr>
        <w:top w:val="none" w:sz="0" w:space="0" w:color="auto"/>
        <w:left w:val="none" w:sz="0" w:space="0" w:color="auto"/>
        <w:bottom w:val="none" w:sz="0" w:space="0" w:color="auto"/>
        <w:right w:val="none" w:sz="0" w:space="0" w:color="auto"/>
      </w:divBdr>
    </w:div>
    <w:div w:id="942109925">
      <w:bodyDiv w:val="1"/>
      <w:marLeft w:val="0"/>
      <w:marRight w:val="0"/>
      <w:marTop w:val="0"/>
      <w:marBottom w:val="0"/>
      <w:divBdr>
        <w:top w:val="none" w:sz="0" w:space="0" w:color="auto"/>
        <w:left w:val="none" w:sz="0" w:space="0" w:color="auto"/>
        <w:bottom w:val="none" w:sz="0" w:space="0" w:color="auto"/>
        <w:right w:val="none" w:sz="0" w:space="0" w:color="auto"/>
      </w:divBdr>
    </w:div>
    <w:div w:id="962811141">
      <w:bodyDiv w:val="1"/>
      <w:marLeft w:val="0"/>
      <w:marRight w:val="0"/>
      <w:marTop w:val="0"/>
      <w:marBottom w:val="0"/>
      <w:divBdr>
        <w:top w:val="none" w:sz="0" w:space="0" w:color="auto"/>
        <w:left w:val="none" w:sz="0" w:space="0" w:color="auto"/>
        <w:bottom w:val="none" w:sz="0" w:space="0" w:color="auto"/>
        <w:right w:val="none" w:sz="0" w:space="0" w:color="auto"/>
      </w:divBdr>
    </w:div>
    <w:div w:id="964045530">
      <w:bodyDiv w:val="1"/>
      <w:marLeft w:val="0"/>
      <w:marRight w:val="0"/>
      <w:marTop w:val="0"/>
      <w:marBottom w:val="0"/>
      <w:divBdr>
        <w:top w:val="none" w:sz="0" w:space="0" w:color="auto"/>
        <w:left w:val="none" w:sz="0" w:space="0" w:color="auto"/>
        <w:bottom w:val="none" w:sz="0" w:space="0" w:color="auto"/>
        <w:right w:val="none" w:sz="0" w:space="0" w:color="auto"/>
      </w:divBdr>
    </w:div>
    <w:div w:id="966736311">
      <w:bodyDiv w:val="1"/>
      <w:marLeft w:val="0"/>
      <w:marRight w:val="0"/>
      <w:marTop w:val="0"/>
      <w:marBottom w:val="0"/>
      <w:divBdr>
        <w:top w:val="none" w:sz="0" w:space="0" w:color="auto"/>
        <w:left w:val="none" w:sz="0" w:space="0" w:color="auto"/>
        <w:bottom w:val="none" w:sz="0" w:space="0" w:color="auto"/>
        <w:right w:val="none" w:sz="0" w:space="0" w:color="auto"/>
      </w:divBdr>
    </w:div>
    <w:div w:id="998113679">
      <w:bodyDiv w:val="1"/>
      <w:marLeft w:val="0"/>
      <w:marRight w:val="0"/>
      <w:marTop w:val="0"/>
      <w:marBottom w:val="0"/>
      <w:divBdr>
        <w:top w:val="none" w:sz="0" w:space="0" w:color="auto"/>
        <w:left w:val="none" w:sz="0" w:space="0" w:color="auto"/>
        <w:bottom w:val="none" w:sz="0" w:space="0" w:color="auto"/>
        <w:right w:val="none" w:sz="0" w:space="0" w:color="auto"/>
      </w:divBdr>
    </w:div>
    <w:div w:id="1004552295">
      <w:bodyDiv w:val="1"/>
      <w:marLeft w:val="0"/>
      <w:marRight w:val="0"/>
      <w:marTop w:val="0"/>
      <w:marBottom w:val="0"/>
      <w:divBdr>
        <w:top w:val="none" w:sz="0" w:space="0" w:color="auto"/>
        <w:left w:val="none" w:sz="0" w:space="0" w:color="auto"/>
        <w:bottom w:val="none" w:sz="0" w:space="0" w:color="auto"/>
        <w:right w:val="none" w:sz="0" w:space="0" w:color="auto"/>
      </w:divBdr>
    </w:div>
    <w:div w:id="1012342478">
      <w:bodyDiv w:val="1"/>
      <w:marLeft w:val="0"/>
      <w:marRight w:val="0"/>
      <w:marTop w:val="0"/>
      <w:marBottom w:val="0"/>
      <w:divBdr>
        <w:top w:val="none" w:sz="0" w:space="0" w:color="auto"/>
        <w:left w:val="none" w:sz="0" w:space="0" w:color="auto"/>
        <w:bottom w:val="none" w:sz="0" w:space="0" w:color="auto"/>
        <w:right w:val="none" w:sz="0" w:space="0" w:color="auto"/>
      </w:divBdr>
    </w:div>
    <w:div w:id="1038815856">
      <w:bodyDiv w:val="1"/>
      <w:marLeft w:val="0"/>
      <w:marRight w:val="0"/>
      <w:marTop w:val="0"/>
      <w:marBottom w:val="0"/>
      <w:divBdr>
        <w:top w:val="none" w:sz="0" w:space="0" w:color="auto"/>
        <w:left w:val="none" w:sz="0" w:space="0" w:color="auto"/>
        <w:bottom w:val="none" w:sz="0" w:space="0" w:color="auto"/>
        <w:right w:val="none" w:sz="0" w:space="0" w:color="auto"/>
      </w:divBdr>
    </w:div>
    <w:div w:id="1044258535">
      <w:bodyDiv w:val="1"/>
      <w:marLeft w:val="0"/>
      <w:marRight w:val="0"/>
      <w:marTop w:val="0"/>
      <w:marBottom w:val="0"/>
      <w:divBdr>
        <w:top w:val="none" w:sz="0" w:space="0" w:color="auto"/>
        <w:left w:val="none" w:sz="0" w:space="0" w:color="auto"/>
        <w:bottom w:val="none" w:sz="0" w:space="0" w:color="auto"/>
        <w:right w:val="none" w:sz="0" w:space="0" w:color="auto"/>
      </w:divBdr>
    </w:div>
    <w:div w:id="1080175156">
      <w:bodyDiv w:val="1"/>
      <w:marLeft w:val="0"/>
      <w:marRight w:val="0"/>
      <w:marTop w:val="0"/>
      <w:marBottom w:val="0"/>
      <w:divBdr>
        <w:top w:val="none" w:sz="0" w:space="0" w:color="auto"/>
        <w:left w:val="none" w:sz="0" w:space="0" w:color="auto"/>
        <w:bottom w:val="none" w:sz="0" w:space="0" w:color="auto"/>
        <w:right w:val="none" w:sz="0" w:space="0" w:color="auto"/>
      </w:divBdr>
    </w:div>
    <w:div w:id="1103771192">
      <w:bodyDiv w:val="1"/>
      <w:marLeft w:val="0"/>
      <w:marRight w:val="0"/>
      <w:marTop w:val="0"/>
      <w:marBottom w:val="0"/>
      <w:divBdr>
        <w:top w:val="none" w:sz="0" w:space="0" w:color="auto"/>
        <w:left w:val="none" w:sz="0" w:space="0" w:color="auto"/>
        <w:bottom w:val="none" w:sz="0" w:space="0" w:color="auto"/>
        <w:right w:val="none" w:sz="0" w:space="0" w:color="auto"/>
      </w:divBdr>
    </w:div>
    <w:div w:id="1153259945">
      <w:bodyDiv w:val="1"/>
      <w:marLeft w:val="0"/>
      <w:marRight w:val="0"/>
      <w:marTop w:val="0"/>
      <w:marBottom w:val="0"/>
      <w:divBdr>
        <w:top w:val="none" w:sz="0" w:space="0" w:color="auto"/>
        <w:left w:val="none" w:sz="0" w:space="0" w:color="auto"/>
        <w:bottom w:val="none" w:sz="0" w:space="0" w:color="auto"/>
        <w:right w:val="none" w:sz="0" w:space="0" w:color="auto"/>
      </w:divBdr>
    </w:div>
    <w:div w:id="1153449846">
      <w:bodyDiv w:val="1"/>
      <w:marLeft w:val="0"/>
      <w:marRight w:val="0"/>
      <w:marTop w:val="0"/>
      <w:marBottom w:val="0"/>
      <w:divBdr>
        <w:top w:val="none" w:sz="0" w:space="0" w:color="auto"/>
        <w:left w:val="none" w:sz="0" w:space="0" w:color="auto"/>
        <w:bottom w:val="none" w:sz="0" w:space="0" w:color="auto"/>
        <w:right w:val="none" w:sz="0" w:space="0" w:color="auto"/>
      </w:divBdr>
    </w:div>
    <w:div w:id="1177158292">
      <w:bodyDiv w:val="1"/>
      <w:marLeft w:val="0"/>
      <w:marRight w:val="0"/>
      <w:marTop w:val="0"/>
      <w:marBottom w:val="0"/>
      <w:divBdr>
        <w:top w:val="none" w:sz="0" w:space="0" w:color="auto"/>
        <w:left w:val="none" w:sz="0" w:space="0" w:color="auto"/>
        <w:bottom w:val="none" w:sz="0" w:space="0" w:color="auto"/>
        <w:right w:val="none" w:sz="0" w:space="0" w:color="auto"/>
      </w:divBdr>
    </w:div>
    <w:div w:id="1195271031">
      <w:bodyDiv w:val="1"/>
      <w:marLeft w:val="0"/>
      <w:marRight w:val="0"/>
      <w:marTop w:val="0"/>
      <w:marBottom w:val="0"/>
      <w:divBdr>
        <w:top w:val="none" w:sz="0" w:space="0" w:color="auto"/>
        <w:left w:val="none" w:sz="0" w:space="0" w:color="auto"/>
        <w:bottom w:val="none" w:sz="0" w:space="0" w:color="auto"/>
        <w:right w:val="none" w:sz="0" w:space="0" w:color="auto"/>
      </w:divBdr>
    </w:div>
    <w:div w:id="1197503053">
      <w:bodyDiv w:val="1"/>
      <w:marLeft w:val="0"/>
      <w:marRight w:val="0"/>
      <w:marTop w:val="0"/>
      <w:marBottom w:val="0"/>
      <w:divBdr>
        <w:top w:val="none" w:sz="0" w:space="0" w:color="auto"/>
        <w:left w:val="none" w:sz="0" w:space="0" w:color="auto"/>
        <w:bottom w:val="none" w:sz="0" w:space="0" w:color="auto"/>
        <w:right w:val="none" w:sz="0" w:space="0" w:color="auto"/>
      </w:divBdr>
    </w:div>
    <w:div w:id="1249147387">
      <w:bodyDiv w:val="1"/>
      <w:marLeft w:val="0"/>
      <w:marRight w:val="0"/>
      <w:marTop w:val="0"/>
      <w:marBottom w:val="0"/>
      <w:divBdr>
        <w:top w:val="none" w:sz="0" w:space="0" w:color="auto"/>
        <w:left w:val="none" w:sz="0" w:space="0" w:color="auto"/>
        <w:bottom w:val="none" w:sz="0" w:space="0" w:color="auto"/>
        <w:right w:val="none" w:sz="0" w:space="0" w:color="auto"/>
      </w:divBdr>
    </w:div>
    <w:div w:id="1250894203">
      <w:bodyDiv w:val="1"/>
      <w:marLeft w:val="0"/>
      <w:marRight w:val="0"/>
      <w:marTop w:val="0"/>
      <w:marBottom w:val="0"/>
      <w:divBdr>
        <w:top w:val="none" w:sz="0" w:space="0" w:color="auto"/>
        <w:left w:val="none" w:sz="0" w:space="0" w:color="auto"/>
        <w:bottom w:val="none" w:sz="0" w:space="0" w:color="auto"/>
        <w:right w:val="none" w:sz="0" w:space="0" w:color="auto"/>
      </w:divBdr>
    </w:div>
    <w:div w:id="1252618595">
      <w:bodyDiv w:val="1"/>
      <w:marLeft w:val="0"/>
      <w:marRight w:val="0"/>
      <w:marTop w:val="0"/>
      <w:marBottom w:val="0"/>
      <w:divBdr>
        <w:top w:val="none" w:sz="0" w:space="0" w:color="auto"/>
        <w:left w:val="none" w:sz="0" w:space="0" w:color="auto"/>
        <w:bottom w:val="none" w:sz="0" w:space="0" w:color="auto"/>
        <w:right w:val="none" w:sz="0" w:space="0" w:color="auto"/>
      </w:divBdr>
    </w:div>
    <w:div w:id="1267544287">
      <w:bodyDiv w:val="1"/>
      <w:marLeft w:val="0"/>
      <w:marRight w:val="0"/>
      <w:marTop w:val="0"/>
      <w:marBottom w:val="0"/>
      <w:divBdr>
        <w:top w:val="none" w:sz="0" w:space="0" w:color="auto"/>
        <w:left w:val="none" w:sz="0" w:space="0" w:color="auto"/>
        <w:bottom w:val="none" w:sz="0" w:space="0" w:color="auto"/>
        <w:right w:val="none" w:sz="0" w:space="0" w:color="auto"/>
      </w:divBdr>
    </w:div>
    <w:div w:id="1279753790">
      <w:bodyDiv w:val="1"/>
      <w:marLeft w:val="0"/>
      <w:marRight w:val="0"/>
      <w:marTop w:val="0"/>
      <w:marBottom w:val="0"/>
      <w:divBdr>
        <w:top w:val="none" w:sz="0" w:space="0" w:color="auto"/>
        <w:left w:val="none" w:sz="0" w:space="0" w:color="auto"/>
        <w:bottom w:val="none" w:sz="0" w:space="0" w:color="auto"/>
        <w:right w:val="none" w:sz="0" w:space="0" w:color="auto"/>
      </w:divBdr>
    </w:div>
    <w:div w:id="1290863917">
      <w:bodyDiv w:val="1"/>
      <w:marLeft w:val="0"/>
      <w:marRight w:val="0"/>
      <w:marTop w:val="0"/>
      <w:marBottom w:val="0"/>
      <w:divBdr>
        <w:top w:val="none" w:sz="0" w:space="0" w:color="auto"/>
        <w:left w:val="none" w:sz="0" w:space="0" w:color="auto"/>
        <w:bottom w:val="none" w:sz="0" w:space="0" w:color="auto"/>
        <w:right w:val="none" w:sz="0" w:space="0" w:color="auto"/>
      </w:divBdr>
    </w:div>
    <w:div w:id="1309214212">
      <w:bodyDiv w:val="1"/>
      <w:marLeft w:val="0"/>
      <w:marRight w:val="0"/>
      <w:marTop w:val="0"/>
      <w:marBottom w:val="0"/>
      <w:divBdr>
        <w:top w:val="none" w:sz="0" w:space="0" w:color="auto"/>
        <w:left w:val="none" w:sz="0" w:space="0" w:color="auto"/>
        <w:bottom w:val="none" w:sz="0" w:space="0" w:color="auto"/>
        <w:right w:val="none" w:sz="0" w:space="0" w:color="auto"/>
      </w:divBdr>
    </w:div>
    <w:div w:id="1344090582">
      <w:bodyDiv w:val="1"/>
      <w:marLeft w:val="0"/>
      <w:marRight w:val="0"/>
      <w:marTop w:val="0"/>
      <w:marBottom w:val="0"/>
      <w:divBdr>
        <w:top w:val="none" w:sz="0" w:space="0" w:color="auto"/>
        <w:left w:val="none" w:sz="0" w:space="0" w:color="auto"/>
        <w:bottom w:val="none" w:sz="0" w:space="0" w:color="auto"/>
        <w:right w:val="none" w:sz="0" w:space="0" w:color="auto"/>
      </w:divBdr>
    </w:div>
    <w:div w:id="1392918963">
      <w:bodyDiv w:val="1"/>
      <w:marLeft w:val="0"/>
      <w:marRight w:val="0"/>
      <w:marTop w:val="0"/>
      <w:marBottom w:val="0"/>
      <w:divBdr>
        <w:top w:val="none" w:sz="0" w:space="0" w:color="auto"/>
        <w:left w:val="none" w:sz="0" w:space="0" w:color="auto"/>
        <w:bottom w:val="none" w:sz="0" w:space="0" w:color="auto"/>
        <w:right w:val="none" w:sz="0" w:space="0" w:color="auto"/>
      </w:divBdr>
    </w:div>
    <w:div w:id="1456603542">
      <w:bodyDiv w:val="1"/>
      <w:marLeft w:val="0"/>
      <w:marRight w:val="0"/>
      <w:marTop w:val="0"/>
      <w:marBottom w:val="0"/>
      <w:divBdr>
        <w:top w:val="none" w:sz="0" w:space="0" w:color="auto"/>
        <w:left w:val="none" w:sz="0" w:space="0" w:color="auto"/>
        <w:bottom w:val="none" w:sz="0" w:space="0" w:color="auto"/>
        <w:right w:val="none" w:sz="0" w:space="0" w:color="auto"/>
      </w:divBdr>
    </w:div>
    <w:div w:id="1460999679">
      <w:bodyDiv w:val="1"/>
      <w:marLeft w:val="0"/>
      <w:marRight w:val="0"/>
      <w:marTop w:val="0"/>
      <w:marBottom w:val="0"/>
      <w:divBdr>
        <w:top w:val="none" w:sz="0" w:space="0" w:color="auto"/>
        <w:left w:val="none" w:sz="0" w:space="0" w:color="auto"/>
        <w:bottom w:val="none" w:sz="0" w:space="0" w:color="auto"/>
        <w:right w:val="none" w:sz="0" w:space="0" w:color="auto"/>
      </w:divBdr>
    </w:div>
    <w:div w:id="1479224135">
      <w:bodyDiv w:val="1"/>
      <w:marLeft w:val="0"/>
      <w:marRight w:val="0"/>
      <w:marTop w:val="0"/>
      <w:marBottom w:val="0"/>
      <w:divBdr>
        <w:top w:val="none" w:sz="0" w:space="0" w:color="auto"/>
        <w:left w:val="none" w:sz="0" w:space="0" w:color="auto"/>
        <w:bottom w:val="none" w:sz="0" w:space="0" w:color="auto"/>
        <w:right w:val="none" w:sz="0" w:space="0" w:color="auto"/>
      </w:divBdr>
    </w:div>
    <w:div w:id="1492866446">
      <w:bodyDiv w:val="1"/>
      <w:marLeft w:val="0"/>
      <w:marRight w:val="0"/>
      <w:marTop w:val="0"/>
      <w:marBottom w:val="0"/>
      <w:divBdr>
        <w:top w:val="none" w:sz="0" w:space="0" w:color="auto"/>
        <w:left w:val="none" w:sz="0" w:space="0" w:color="auto"/>
        <w:bottom w:val="none" w:sz="0" w:space="0" w:color="auto"/>
        <w:right w:val="none" w:sz="0" w:space="0" w:color="auto"/>
      </w:divBdr>
    </w:div>
    <w:div w:id="1501777354">
      <w:bodyDiv w:val="1"/>
      <w:marLeft w:val="0"/>
      <w:marRight w:val="0"/>
      <w:marTop w:val="0"/>
      <w:marBottom w:val="0"/>
      <w:divBdr>
        <w:top w:val="none" w:sz="0" w:space="0" w:color="auto"/>
        <w:left w:val="none" w:sz="0" w:space="0" w:color="auto"/>
        <w:bottom w:val="none" w:sz="0" w:space="0" w:color="auto"/>
        <w:right w:val="none" w:sz="0" w:space="0" w:color="auto"/>
      </w:divBdr>
    </w:div>
    <w:div w:id="1511023224">
      <w:bodyDiv w:val="1"/>
      <w:marLeft w:val="0"/>
      <w:marRight w:val="0"/>
      <w:marTop w:val="0"/>
      <w:marBottom w:val="0"/>
      <w:divBdr>
        <w:top w:val="none" w:sz="0" w:space="0" w:color="auto"/>
        <w:left w:val="none" w:sz="0" w:space="0" w:color="auto"/>
        <w:bottom w:val="none" w:sz="0" w:space="0" w:color="auto"/>
        <w:right w:val="none" w:sz="0" w:space="0" w:color="auto"/>
      </w:divBdr>
    </w:div>
    <w:div w:id="1528329920">
      <w:bodyDiv w:val="1"/>
      <w:marLeft w:val="0"/>
      <w:marRight w:val="0"/>
      <w:marTop w:val="0"/>
      <w:marBottom w:val="0"/>
      <w:divBdr>
        <w:top w:val="none" w:sz="0" w:space="0" w:color="auto"/>
        <w:left w:val="none" w:sz="0" w:space="0" w:color="auto"/>
        <w:bottom w:val="none" w:sz="0" w:space="0" w:color="auto"/>
        <w:right w:val="none" w:sz="0" w:space="0" w:color="auto"/>
      </w:divBdr>
    </w:div>
    <w:div w:id="1546261043">
      <w:bodyDiv w:val="1"/>
      <w:marLeft w:val="0"/>
      <w:marRight w:val="0"/>
      <w:marTop w:val="0"/>
      <w:marBottom w:val="0"/>
      <w:divBdr>
        <w:top w:val="none" w:sz="0" w:space="0" w:color="auto"/>
        <w:left w:val="none" w:sz="0" w:space="0" w:color="auto"/>
        <w:bottom w:val="none" w:sz="0" w:space="0" w:color="auto"/>
        <w:right w:val="none" w:sz="0" w:space="0" w:color="auto"/>
      </w:divBdr>
    </w:div>
    <w:div w:id="1554081145">
      <w:bodyDiv w:val="1"/>
      <w:marLeft w:val="0"/>
      <w:marRight w:val="0"/>
      <w:marTop w:val="0"/>
      <w:marBottom w:val="0"/>
      <w:divBdr>
        <w:top w:val="none" w:sz="0" w:space="0" w:color="auto"/>
        <w:left w:val="none" w:sz="0" w:space="0" w:color="auto"/>
        <w:bottom w:val="none" w:sz="0" w:space="0" w:color="auto"/>
        <w:right w:val="none" w:sz="0" w:space="0" w:color="auto"/>
      </w:divBdr>
    </w:div>
    <w:div w:id="1580015243">
      <w:bodyDiv w:val="1"/>
      <w:marLeft w:val="0"/>
      <w:marRight w:val="0"/>
      <w:marTop w:val="0"/>
      <w:marBottom w:val="0"/>
      <w:divBdr>
        <w:top w:val="none" w:sz="0" w:space="0" w:color="auto"/>
        <w:left w:val="none" w:sz="0" w:space="0" w:color="auto"/>
        <w:bottom w:val="none" w:sz="0" w:space="0" w:color="auto"/>
        <w:right w:val="none" w:sz="0" w:space="0" w:color="auto"/>
      </w:divBdr>
    </w:div>
    <w:div w:id="1584072258">
      <w:bodyDiv w:val="1"/>
      <w:marLeft w:val="0"/>
      <w:marRight w:val="0"/>
      <w:marTop w:val="0"/>
      <w:marBottom w:val="0"/>
      <w:divBdr>
        <w:top w:val="none" w:sz="0" w:space="0" w:color="auto"/>
        <w:left w:val="none" w:sz="0" w:space="0" w:color="auto"/>
        <w:bottom w:val="none" w:sz="0" w:space="0" w:color="auto"/>
        <w:right w:val="none" w:sz="0" w:space="0" w:color="auto"/>
      </w:divBdr>
    </w:div>
    <w:div w:id="1620532303">
      <w:bodyDiv w:val="1"/>
      <w:marLeft w:val="0"/>
      <w:marRight w:val="0"/>
      <w:marTop w:val="0"/>
      <w:marBottom w:val="0"/>
      <w:divBdr>
        <w:top w:val="none" w:sz="0" w:space="0" w:color="auto"/>
        <w:left w:val="none" w:sz="0" w:space="0" w:color="auto"/>
        <w:bottom w:val="none" w:sz="0" w:space="0" w:color="auto"/>
        <w:right w:val="none" w:sz="0" w:space="0" w:color="auto"/>
      </w:divBdr>
    </w:div>
    <w:div w:id="1650746644">
      <w:bodyDiv w:val="1"/>
      <w:marLeft w:val="0"/>
      <w:marRight w:val="0"/>
      <w:marTop w:val="0"/>
      <w:marBottom w:val="0"/>
      <w:divBdr>
        <w:top w:val="none" w:sz="0" w:space="0" w:color="auto"/>
        <w:left w:val="none" w:sz="0" w:space="0" w:color="auto"/>
        <w:bottom w:val="none" w:sz="0" w:space="0" w:color="auto"/>
        <w:right w:val="none" w:sz="0" w:space="0" w:color="auto"/>
      </w:divBdr>
    </w:div>
    <w:div w:id="1678540117">
      <w:bodyDiv w:val="1"/>
      <w:marLeft w:val="0"/>
      <w:marRight w:val="0"/>
      <w:marTop w:val="0"/>
      <w:marBottom w:val="0"/>
      <w:divBdr>
        <w:top w:val="none" w:sz="0" w:space="0" w:color="auto"/>
        <w:left w:val="none" w:sz="0" w:space="0" w:color="auto"/>
        <w:bottom w:val="none" w:sz="0" w:space="0" w:color="auto"/>
        <w:right w:val="none" w:sz="0" w:space="0" w:color="auto"/>
      </w:divBdr>
    </w:div>
    <w:div w:id="1709993528">
      <w:bodyDiv w:val="1"/>
      <w:marLeft w:val="0"/>
      <w:marRight w:val="0"/>
      <w:marTop w:val="0"/>
      <w:marBottom w:val="0"/>
      <w:divBdr>
        <w:top w:val="none" w:sz="0" w:space="0" w:color="auto"/>
        <w:left w:val="none" w:sz="0" w:space="0" w:color="auto"/>
        <w:bottom w:val="none" w:sz="0" w:space="0" w:color="auto"/>
        <w:right w:val="none" w:sz="0" w:space="0" w:color="auto"/>
      </w:divBdr>
    </w:div>
    <w:div w:id="1721516007">
      <w:bodyDiv w:val="1"/>
      <w:marLeft w:val="0"/>
      <w:marRight w:val="0"/>
      <w:marTop w:val="0"/>
      <w:marBottom w:val="0"/>
      <w:divBdr>
        <w:top w:val="none" w:sz="0" w:space="0" w:color="auto"/>
        <w:left w:val="none" w:sz="0" w:space="0" w:color="auto"/>
        <w:bottom w:val="none" w:sz="0" w:space="0" w:color="auto"/>
        <w:right w:val="none" w:sz="0" w:space="0" w:color="auto"/>
      </w:divBdr>
    </w:div>
    <w:div w:id="1758094755">
      <w:bodyDiv w:val="1"/>
      <w:marLeft w:val="0"/>
      <w:marRight w:val="0"/>
      <w:marTop w:val="0"/>
      <w:marBottom w:val="0"/>
      <w:divBdr>
        <w:top w:val="none" w:sz="0" w:space="0" w:color="auto"/>
        <w:left w:val="none" w:sz="0" w:space="0" w:color="auto"/>
        <w:bottom w:val="none" w:sz="0" w:space="0" w:color="auto"/>
        <w:right w:val="none" w:sz="0" w:space="0" w:color="auto"/>
      </w:divBdr>
    </w:div>
    <w:div w:id="1760640177">
      <w:bodyDiv w:val="1"/>
      <w:marLeft w:val="0"/>
      <w:marRight w:val="0"/>
      <w:marTop w:val="0"/>
      <w:marBottom w:val="0"/>
      <w:divBdr>
        <w:top w:val="none" w:sz="0" w:space="0" w:color="auto"/>
        <w:left w:val="none" w:sz="0" w:space="0" w:color="auto"/>
        <w:bottom w:val="none" w:sz="0" w:space="0" w:color="auto"/>
        <w:right w:val="none" w:sz="0" w:space="0" w:color="auto"/>
      </w:divBdr>
    </w:div>
    <w:div w:id="1792356771">
      <w:bodyDiv w:val="1"/>
      <w:marLeft w:val="0"/>
      <w:marRight w:val="0"/>
      <w:marTop w:val="0"/>
      <w:marBottom w:val="0"/>
      <w:divBdr>
        <w:top w:val="none" w:sz="0" w:space="0" w:color="auto"/>
        <w:left w:val="none" w:sz="0" w:space="0" w:color="auto"/>
        <w:bottom w:val="none" w:sz="0" w:space="0" w:color="auto"/>
        <w:right w:val="none" w:sz="0" w:space="0" w:color="auto"/>
      </w:divBdr>
    </w:div>
    <w:div w:id="1813449412">
      <w:bodyDiv w:val="1"/>
      <w:marLeft w:val="0"/>
      <w:marRight w:val="0"/>
      <w:marTop w:val="0"/>
      <w:marBottom w:val="0"/>
      <w:divBdr>
        <w:top w:val="none" w:sz="0" w:space="0" w:color="auto"/>
        <w:left w:val="none" w:sz="0" w:space="0" w:color="auto"/>
        <w:bottom w:val="none" w:sz="0" w:space="0" w:color="auto"/>
        <w:right w:val="none" w:sz="0" w:space="0" w:color="auto"/>
      </w:divBdr>
      <w:divsChild>
        <w:div w:id="247079105">
          <w:marLeft w:val="0"/>
          <w:marRight w:val="0"/>
          <w:marTop w:val="0"/>
          <w:marBottom w:val="0"/>
          <w:divBdr>
            <w:top w:val="none" w:sz="0" w:space="0" w:color="auto"/>
            <w:left w:val="none" w:sz="0" w:space="0" w:color="auto"/>
            <w:bottom w:val="none" w:sz="0" w:space="0" w:color="auto"/>
            <w:right w:val="none" w:sz="0" w:space="0" w:color="auto"/>
          </w:divBdr>
        </w:div>
        <w:div w:id="297105853">
          <w:marLeft w:val="0"/>
          <w:marRight w:val="0"/>
          <w:marTop w:val="0"/>
          <w:marBottom w:val="0"/>
          <w:divBdr>
            <w:top w:val="none" w:sz="0" w:space="0" w:color="auto"/>
            <w:left w:val="none" w:sz="0" w:space="0" w:color="auto"/>
            <w:bottom w:val="none" w:sz="0" w:space="0" w:color="auto"/>
            <w:right w:val="none" w:sz="0" w:space="0" w:color="auto"/>
          </w:divBdr>
        </w:div>
        <w:div w:id="732431659">
          <w:marLeft w:val="0"/>
          <w:marRight w:val="0"/>
          <w:marTop w:val="0"/>
          <w:marBottom w:val="0"/>
          <w:divBdr>
            <w:top w:val="none" w:sz="0" w:space="0" w:color="auto"/>
            <w:left w:val="none" w:sz="0" w:space="0" w:color="auto"/>
            <w:bottom w:val="none" w:sz="0" w:space="0" w:color="auto"/>
            <w:right w:val="none" w:sz="0" w:space="0" w:color="auto"/>
          </w:divBdr>
          <w:divsChild>
            <w:div w:id="1283154231">
              <w:marLeft w:val="0"/>
              <w:marRight w:val="0"/>
              <w:marTop w:val="0"/>
              <w:marBottom w:val="0"/>
              <w:divBdr>
                <w:top w:val="none" w:sz="0" w:space="0" w:color="auto"/>
                <w:left w:val="none" w:sz="0" w:space="0" w:color="auto"/>
                <w:bottom w:val="none" w:sz="0" w:space="0" w:color="auto"/>
                <w:right w:val="none" w:sz="0" w:space="0" w:color="auto"/>
              </w:divBdr>
            </w:div>
          </w:divsChild>
        </w:div>
        <w:div w:id="778837656">
          <w:marLeft w:val="0"/>
          <w:marRight w:val="0"/>
          <w:marTop w:val="0"/>
          <w:marBottom w:val="0"/>
          <w:divBdr>
            <w:top w:val="none" w:sz="0" w:space="0" w:color="auto"/>
            <w:left w:val="none" w:sz="0" w:space="0" w:color="auto"/>
            <w:bottom w:val="none" w:sz="0" w:space="0" w:color="auto"/>
            <w:right w:val="none" w:sz="0" w:space="0" w:color="auto"/>
          </w:divBdr>
        </w:div>
        <w:div w:id="912547120">
          <w:marLeft w:val="0"/>
          <w:marRight w:val="0"/>
          <w:marTop w:val="0"/>
          <w:marBottom w:val="0"/>
          <w:divBdr>
            <w:top w:val="none" w:sz="0" w:space="0" w:color="auto"/>
            <w:left w:val="none" w:sz="0" w:space="0" w:color="auto"/>
            <w:bottom w:val="none" w:sz="0" w:space="0" w:color="auto"/>
            <w:right w:val="none" w:sz="0" w:space="0" w:color="auto"/>
          </w:divBdr>
          <w:divsChild>
            <w:div w:id="110441500">
              <w:marLeft w:val="0"/>
              <w:marRight w:val="0"/>
              <w:marTop w:val="0"/>
              <w:marBottom w:val="0"/>
              <w:divBdr>
                <w:top w:val="none" w:sz="0" w:space="0" w:color="auto"/>
                <w:left w:val="none" w:sz="0" w:space="0" w:color="auto"/>
                <w:bottom w:val="none" w:sz="0" w:space="0" w:color="auto"/>
                <w:right w:val="none" w:sz="0" w:space="0" w:color="auto"/>
              </w:divBdr>
            </w:div>
          </w:divsChild>
        </w:div>
        <w:div w:id="1095058052">
          <w:marLeft w:val="0"/>
          <w:marRight w:val="0"/>
          <w:marTop w:val="0"/>
          <w:marBottom w:val="0"/>
          <w:divBdr>
            <w:top w:val="none" w:sz="0" w:space="0" w:color="auto"/>
            <w:left w:val="none" w:sz="0" w:space="0" w:color="auto"/>
            <w:bottom w:val="none" w:sz="0" w:space="0" w:color="auto"/>
            <w:right w:val="none" w:sz="0" w:space="0" w:color="auto"/>
          </w:divBdr>
        </w:div>
        <w:div w:id="1371224944">
          <w:marLeft w:val="0"/>
          <w:marRight w:val="0"/>
          <w:marTop w:val="0"/>
          <w:marBottom w:val="0"/>
          <w:divBdr>
            <w:top w:val="none" w:sz="0" w:space="0" w:color="auto"/>
            <w:left w:val="none" w:sz="0" w:space="0" w:color="auto"/>
            <w:bottom w:val="none" w:sz="0" w:space="0" w:color="auto"/>
            <w:right w:val="none" w:sz="0" w:space="0" w:color="auto"/>
          </w:divBdr>
          <w:divsChild>
            <w:div w:id="1024018212">
              <w:marLeft w:val="0"/>
              <w:marRight w:val="0"/>
              <w:marTop w:val="0"/>
              <w:marBottom w:val="0"/>
              <w:divBdr>
                <w:top w:val="none" w:sz="0" w:space="0" w:color="auto"/>
                <w:left w:val="none" w:sz="0" w:space="0" w:color="auto"/>
                <w:bottom w:val="none" w:sz="0" w:space="0" w:color="auto"/>
                <w:right w:val="none" w:sz="0" w:space="0" w:color="auto"/>
              </w:divBdr>
            </w:div>
          </w:divsChild>
        </w:div>
        <w:div w:id="1388260621">
          <w:marLeft w:val="0"/>
          <w:marRight w:val="0"/>
          <w:marTop w:val="0"/>
          <w:marBottom w:val="0"/>
          <w:divBdr>
            <w:top w:val="none" w:sz="0" w:space="0" w:color="auto"/>
            <w:left w:val="none" w:sz="0" w:space="0" w:color="auto"/>
            <w:bottom w:val="none" w:sz="0" w:space="0" w:color="auto"/>
            <w:right w:val="none" w:sz="0" w:space="0" w:color="auto"/>
          </w:divBdr>
        </w:div>
        <w:div w:id="1450778793">
          <w:marLeft w:val="0"/>
          <w:marRight w:val="0"/>
          <w:marTop w:val="0"/>
          <w:marBottom w:val="0"/>
          <w:divBdr>
            <w:top w:val="none" w:sz="0" w:space="0" w:color="auto"/>
            <w:left w:val="none" w:sz="0" w:space="0" w:color="auto"/>
            <w:bottom w:val="none" w:sz="0" w:space="0" w:color="auto"/>
            <w:right w:val="none" w:sz="0" w:space="0" w:color="auto"/>
          </w:divBdr>
          <w:divsChild>
            <w:div w:id="730079603">
              <w:marLeft w:val="0"/>
              <w:marRight w:val="0"/>
              <w:marTop w:val="0"/>
              <w:marBottom w:val="0"/>
              <w:divBdr>
                <w:top w:val="none" w:sz="0" w:space="0" w:color="auto"/>
                <w:left w:val="none" w:sz="0" w:space="0" w:color="auto"/>
                <w:bottom w:val="none" w:sz="0" w:space="0" w:color="auto"/>
                <w:right w:val="none" w:sz="0" w:space="0" w:color="auto"/>
              </w:divBdr>
              <w:divsChild>
                <w:div w:id="257836826">
                  <w:marLeft w:val="0"/>
                  <w:marRight w:val="150"/>
                  <w:marTop w:val="0"/>
                  <w:marBottom w:val="0"/>
                  <w:divBdr>
                    <w:top w:val="none" w:sz="0" w:space="0" w:color="auto"/>
                    <w:left w:val="none" w:sz="0" w:space="0" w:color="auto"/>
                    <w:bottom w:val="none" w:sz="0" w:space="0" w:color="auto"/>
                    <w:right w:val="none" w:sz="0" w:space="0" w:color="auto"/>
                  </w:divBdr>
                  <w:divsChild>
                    <w:div w:id="1095713620">
                      <w:marLeft w:val="0"/>
                      <w:marRight w:val="150"/>
                      <w:marTop w:val="0"/>
                      <w:marBottom w:val="0"/>
                      <w:divBdr>
                        <w:top w:val="none" w:sz="0" w:space="0" w:color="auto"/>
                        <w:left w:val="none" w:sz="0" w:space="0" w:color="auto"/>
                        <w:bottom w:val="none" w:sz="0" w:space="0" w:color="auto"/>
                        <w:right w:val="none" w:sz="0" w:space="0" w:color="auto"/>
                      </w:divBdr>
                    </w:div>
                  </w:divsChild>
                </w:div>
                <w:div w:id="379212455">
                  <w:marLeft w:val="0"/>
                  <w:marRight w:val="150"/>
                  <w:marTop w:val="0"/>
                  <w:marBottom w:val="0"/>
                  <w:divBdr>
                    <w:top w:val="none" w:sz="0" w:space="0" w:color="auto"/>
                    <w:left w:val="none" w:sz="0" w:space="0" w:color="auto"/>
                    <w:bottom w:val="none" w:sz="0" w:space="0" w:color="auto"/>
                    <w:right w:val="none" w:sz="0" w:space="0" w:color="auto"/>
                  </w:divBdr>
                  <w:divsChild>
                    <w:div w:id="1436484228">
                      <w:marLeft w:val="0"/>
                      <w:marRight w:val="150"/>
                      <w:marTop w:val="0"/>
                      <w:marBottom w:val="0"/>
                      <w:divBdr>
                        <w:top w:val="none" w:sz="0" w:space="0" w:color="auto"/>
                        <w:left w:val="none" w:sz="0" w:space="0" w:color="auto"/>
                        <w:bottom w:val="none" w:sz="0" w:space="0" w:color="auto"/>
                        <w:right w:val="none" w:sz="0" w:space="0" w:color="auto"/>
                      </w:divBdr>
                    </w:div>
                  </w:divsChild>
                </w:div>
                <w:div w:id="627589890">
                  <w:marLeft w:val="0"/>
                  <w:marRight w:val="150"/>
                  <w:marTop w:val="0"/>
                  <w:marBottom w:val="0"/>
                  <w:divBdr>
                    <w:top w:val="none" w:sz="0" w:space="0" w:color="auto"/>
                    <w:left w:val="none" w:sz="0" w:space="0" w:color="auto"/>
                    <w:bottom w:val="none" w:sz="0" w:space="0" w:color="auto"/>
                    <w:right w:val="none" w:sz="0" w:space="0" w:color="auto"/>
                  </w:divBdr>
                  <w:divsChild>
                    <w:div w:id="1260261064">
                      <w:marLeft w:val="0"/>
                      <w:marRight w:val="150"/>
                      <w:marTop w:val="0"/>
                      <w:marBottom w:val="0"/>
                      <w:divBdr>
                        <w:top w:val="none" w:sz="0" w:space="0" w:color="auto"/>
                        <w:left w:val="none" w:sz="0" w:space="0" w:color="auto"/>
                        <w:bottom w:val="none" w:sz="0" w:space="0" w:color="auto"/>
                        <w:right w:val="none" w:sz="0" w:space="0" w:color="auto"/>
                      </w:divBdr>
                    </w:div>
                  </w:divsChild>
                </w:div>
                <w:div w:id="950356749">
                  <w:marLeft w:val="0"/>
                  <w:marRight w:val="150"/>
                  <w:marTop w:val="0"/>
                  <w:marBottom w:val="0"/>
                  <w:divBdr>
                    <w:top w:val="none" w:sz="0" w:space="0" w:color="auto"/>
                    <w:left w:val="none" w:sz="0" w:space="0" w:color="auto"/>
                    <w:bottom w:val="none" w:sz="0" w:space="0" w:color="auto"/>
                    <w:right w:val="none" w:sz="0" w:space="0" w:color="auto"/>
                  </w:divBdr>
                  <w:divsChild>
                    <w:div w:id="278339364">
                      <w:marLeft w:val="0"/>
                      <w:marRight w:val="150"/>
                      <w:marTop w:val="0"/>
                      <w:marBottom w:val="0"/>
                      <w:divBdr>
                        <w:top w:val="none" w:sz="0" w:space="0" w:color="auto"/>
                        <w:left w:val="none" w:sz="0" w:space="0" w:color="auto"/>
                        <w:bottom w:val="none" w:sz="0" w:space="0" w:color="auto"/>
                        <w:right w:val="none" w:sz="0" w:space="0" w:color="auto"/>
                      </w:divBdr>
                    </w:div>
                  </w:divsChild>
                </w:div>
                <w:div w:id="1134056109">
                  <w:marLeft w:val="0"/>
                  <w:marRight w:val="150"/>
                  <w:marTop w:val="0"/>
                  <w:marBottom w:val="0"/>
                  <w:divBdr>
                    <w:top w:val="none" w:sz="0" w:space="0" w:color="auto"/>
                    <w:left w:val="none" w:sz="0" w:space="0" w:color="auto"/>
                    <w:bottom w:val="none" w:sz="0" w:space="0" w:color="auto"/>
                    <w:right w:val="none" w:sz="0" w:space="0" w:color="auto"/>
                  </w:divBdr>
                  <w:divsChild>
                    <w:div w:id="1401556044">
                      <w:marLeft w:val="0"/>
                      <w:marRight w:val="150"/>
                      <w:marTop w:val="0"/>
                      <w:marBottom w:val="0"/>
                      <w:divBdr>
                        <w:top w:val="none" w:sz="0" w:space="0" w:color="auto"/>
                        <w:left w:val="none" w:sz="0" w:space="0" w:color="auto"/>
                        <w:bottom w:val="none" w:sz="0" w:space="0" w:color="auto"/>
                        <w:right w:val="none" w:sz="0" w:space="0" w:color="auto"/>
                      </w:divBdr>
                    </w:div>
                  </w:divsChild>
                </w:div>
                <w:div w:id="1829902201">
                  <w:marLeft w:val="0"/>
                  <w:marRight w:val="150"/>
                  <w:marTop w:val="0"/>
                  <w:marBottom w:val="0"/>
                  <w:divBdr>
                    <w:top w:val="none" w:sz="0" w:space="0" w:color="auto"/>
                    <w:left w:val="none" w:sz="0" w:space="0" w:color="auto"/>
                    <w:bottom w:val="none" w:sz="0" w:space="0" w:color="auto"/>
                    <w:right w:val="none" w:sz="0" w:space="0" w:color="auto"/>
                  </w:divBdr>
                  <w:divsChild>
                    <w:div w:id="1774979472">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475484032">
          <w:marLeft w:val="0"/>
          <w:marRight w:val="0"/>
          <w:marTop w:val="0"/>
          <w:marBottom w:val="0"/>
          <w:divBdr>
            <w:top w:val="none" w:sz="0" w:space="0" w:color="auto"/>
            <w:left w:val="none" w:sz="0" w:space="0" w:color="auto"/>
            <w:bottom w:val="none" w:sz="0" w:space="0" w:color="auto"/>
            <w:right w:val="none" w:sz="0" w:space="0" w:color="auto"/>
          </w:divBdr>
        </w:div>
        <w:div w:id="1529832098">
          <w:marLeft w:val="0"/>
          <w:marRight w:val="0"/>
          <w:marTop w:val="0"/>
          <w:marBottom w:val="0"/>
          <w:divBdr>
            <w:top w:val="none" w:sz="0" w:space="0" w:color="auto"/>
            <w:left w:val="none" w:sz="0" w:space="0" w:color="auto"/>
            <w:bottom w:val="none" w:sz="0" w:space="0" w:color="auto"/>
            <w:right w:val="none" w:sz="0" w:space="0" w:color="auto"/>
          </w:divBdr>
          <w:divsChild>
            <w:div w:id="492452180">
              <w:marLeft w:val="0"/>
              <w:marRight w:val="0"/>
              <w:marTop w:val="0"/>
              <w:marBottom w:val="0"/>
              <w:divBdr>
                <w:top w:val="none" w:sz="0" w:space="0" w:color="auto"/>
                <w:left w:val="none" w:sz="0" w:space="0" w:color="auto"/>
                <w:bottom w:val="none" w:sz="0" w:space="0" w:color="auto"/>
                <w:right w:val="none" w:sz="0" w:space="0" w:color="auto"/>
              </w:divBdr>
            </w:div>
          </w:divsChild>
        </w:div>
        <w:div w:id="1559128917">
          <w:marLeft w:val="0"/>
          <w:marRight w:val="0"/>
          <w:marTop w:val="0"/>
          <w:marBottom w:val="0"/>
          <w:divBdr>
            <w:top w:val="none" w:sz="0" w:space="0" w:color="auto"/>
            <w:left w:val="none" w:sz="0" w:space="0" w:color="auto"/>
            <w:bottom w:val="none" w:sz="0" w:space="0" w:color="auto"/>
            <w:right w:val="none" w:sz="0" w:space="0" w:color="auto"/>
          </w:divBdr>
        </w:div>
        <w:div w:id="1618944572">
          <w:marLeft w:val="0"/>
          <w:marRight w:val="0"/>
          <w:marTop w:val="0"/>
          <w:marBottom w:val="0"/>
          <w:divBdr>
            <w:top w:val="none" w:sz="0" w:space="0" w:color="auto"/>
            <w:left w:val="none" w:sz="0" w:space="0" w:color="auto"/>
            <w:bottom w:val="none" w:sz="0" w:space="0" w:color="auto"/>
            <w:right w:val="none" w:sz="0" w:space="0" w:color="auto"/>
          </w:divBdr>
        </w:div>
        <w:div w:id="1969429053">
          <w:marLeft w:val="0"/>
          <w:marRight w:val="0"/>
          <w:marTop w:val="0"/>
          <w:marBottom w:val="0"/>
          <w:divBdr>
            <w:top w:val="none" w:sz="0" w:space="0" w:color="auto"/>
            <w:left w:val="none" w:sz="0" w:space="0" w:color="auto"/>
            <w:bottom w:val="none" w:sz="0" w:space="0" w:color="auto"/>
            <w:right w:val="none" w:sz="0" w:space="0" w:color="auto"/>
          </w:divBdr>
        </w:div>
        <w:div w:id="2024938571">
          <w:marLeft w:val="0"/>
          <w:marRight w:val="0"/>
          <w:marTop w:val="0"/>
          <w:marBottom w:val="0"/>
          <w:divBdr>
            <w:top w:val="none" w:sz="0" w:space="0" w:color="auto"/>
            <w:left w:val="none" w:sz="0" w:space="0" w:color="auto"/>
            <w:bottom w:val="none" w:sz="0" w:space="0" w:color="auto"/>
            <w:right w:val="none" w:sz="0" w:space="0" w:color="auto"/>
          </w:divBdr>
        </w:div>
      </w:divsChild>
    </w:div>
    <w:div w:id="1816528419">
      <w:bodyDiv w:val="1"/>
      <w:marLeft w:val="0"/>
      <w:marRight w:val="0"/>
      <w:marTop w:val="0"/>
      <w:marBottom w:val="0"/>
      <w:divBdr>
        <w:top w:val="none" w:sz="0" w:space="0" w:color="auto"/>
        <w:left w:val="none" w:sz="0" w:space="0" w:color="auto"/>
        <w:bottom w:val="none" w:sz="0" w:space="0" w:color="auto"/>
        <w:right w:val="none" w:sz="0" w:space="0" w:color="auto"/>
      </w:divBdr>
    </w:div>
    <w:div w:id="1820263419">
      <w:bodyDiv w:val="1"/>
      <w:marLeft w:val="0"/>
      <w:marRight w:val="0"/>
      <w:marTop w:val="0"/>
      <w:marBottom w:val="0"/>
      <w:divBdr>
        <w:top w:val="none" w:sz="0" w:space="0" w:color="auto"/>
        <w:left w:val="none" w:sz="0" w:space="0" w:color="auto"/>
        <w:bottom w:val="none" w:sz="0" w:space="0" w:color="auto"/>
        <w:right w:val="none" w:sz="0" w:space="0" w:color="auto"/>
      </w:divBdr>
    </w:div>
    <w:div w:id="1847331222">
      <w:bodyDiv w:val="1"/>
      <w:marLeft w:val="0"/>
      <w:marRight w:val="0"/>
      <w:marTop w:val="0"/>
      <w:marBottom w:val="0"/>
      <w:divBdr>
        <w:top w:val="none" w:sz="0" w:space="0" w:color="auto"/>
        <w:left w:val="none" w:sz="0" w:space="0" w:color="auto"/>
        <w:bottom w:val="none" w:sz="0" w:space="0" w:color="auto"/>
        <w:right w:val="none" w:sz="0" w:space="0" w:color="auto"/>
      </w:divBdr>
    </w:div>
    <w:div w:id="1849060625">
      <w:bodyDiv w:val="1"/>
      <w:marLeft w:val="0"/>
      <w:marRight w:val="0"/>
      <w:marTop w:val="0"/>
      <w:marBottom w:val="0"/>
      <w:divBdr>
        <w:top w:val="none" w:sz="0" w:space="0" w:color="auto"/>
        <w:left w:val="none" w:sz="0" w:space="0" w:color="auto"/>
        <w:bottom w:val="none" w:sz="0" w:space="0" w:color="auto"/>
        <w:right w:val="none" w:sz="0" w:space="0" w:color="auto"/>
      </w:divBdr>
    </w:div>
    <w:div w:id="1871802345">
      <w:bodyDiv w:val="1"/>
      <w:marLeft w:val="0"/>
      <w:marRight w:val="0"/>
      <w:marTop w:val="0"/>
      <w:marBottom w:val="0"/>
      <w:divBdr>
        <w:top w:val="none" w:sz="0" w:space="0" w:color="auto"/>
        <w:left w:val="none" w:sz="0" w:space="0" w:color="auto"/>
        <w:bottom w:val="none" w:sz="0" w:space="0" w:color="auto"/>
        <w:right w:val="none" w:sz="0" w:space="0" w:color="auto"/>
      </w:divBdr>
    </w:div>
    <w:div w:id="1916356297">
      <w:bodyDiv w:val="1"/>
      <w:marLeft w:val="0"/>
      <w:marRight w:val="0"/>
      <w:marTop w:val="0"/>
      <w:marBottom w:val="0"/>
      <w:divBdr>
        <w:top w:val="none" w:sz="0" w:space="0" w:color="auto"/>
        <w:left w:val="none" w:sz="0" w:space="0" w:color="auto"/>
        <w:bottom w:val="none" w:sz="0" w:space="0" w:color="auto"/>
        <w:right w:val="none" w:sz="0" w:space="0" w:color="auto"/>
      </w:divBdr>
    </w:div>
    <w:div w:id="1923098803">
      <w:bodyDiv w:val="1"/>
      <w:marLeft w:val="0"/>
      <w:marRight w:val="0"/>
      <w:marTop w:val="0"/>
      <w:marBottom w:val="0"/>
      <w:divBdr>
        <w:top w:val="none" w:sz="0" w:space="0" w:color="auto"/>
        <w:left w:val="none" w:sz="0" w:space="0" w:color="auto"/>
        <w:bottom w:val="none" w:sz="0" w:space="0" w:color="auto"/>
        <w:right w:val="none" w:sz="0" w:space="0" w:color="auto"/>
      </w:divBdr>
    </w:div>
    <w:div w:id="1952281038">
      <w:bodyDiv w:val="1"/>
      <w:marLeft w:val="0"/>
      <w:marRight w:val="0"/>
      <w:marTop w:val="0"/>
      <w:marBottom w:val="0"/>
      <w:divBdr>
        <w:top w:val="none" w:sz="0" w:space="0" w:color="auto"/>
        <w:left w:val="none" w:sz="0" w:space="0" w:color="auto"/>
        <w:bottom w:val="none" w:sz="0" w:space="0" w:color="auto"/>
        <w:right w:val="none" w:sz="0" w:space="0" w:color="auto"/>
      </w:divBdr>
    </w:div>
    <w:div w:id="2045908186">
      <w:bodyDiv w:val="1"/>
      <w:marLeft w:val="0"/>
      <w:marRight w:val="0"/>
      <w:marTop w:val="0"/>
      <w:marBottom w:val="0"/>
      <w:divBdr>
        <w:top w:val="none" w:sz="0" w:space="0" w:color="auto"/>
        <w:left w:val="none" w:sz="0" w:space="0" w:color="auto"/>
        <w:bottom w:val="none" w:sz="0" w:space="0" w:color="auto"/>
        <w:right w:val="none" w:sz="0" w:space="0" w:color="auto"/>
      </w:divBdr>
    </w:div>
    <w:div w:id="2046446230">
      <w:bodyDiv w:val="1"/>
      <w:marLeft w:val="0"/>
      <w:marRight w:val="0"/>
      <w:marTop w:val="0"/>
      <w:marBottom w:val="0"/>
      <w:divBdr>
        <w:top w:val="none" w:sz="0" w:space="0" w:color="auto"/>
        <w:left w:val="none" w:sz="0" w:space="0" w:color="auto"/>
        <w:bottom w:val="none" w:sz="0" w:space="0" w:color="auto"/>
        <w:right w:val="none" w:sz="0" w:space="0" w:color="auto"/>
      </w:divBdr>
    </w:div>
    <w:div w:id="2047438489">
      <w:bodyDiv w:val="1"/>
      <w:marLeft w:val="0"/>
      <w:marRight w:val="0"/>
      <w:marTop w:val="0"/>
      <w:marBottom w:val="0"/>
      <w:divBdr>
        <w:top w:val="none" w:sz="0" w:space="0" w:color="auto"/>
        <w:left w:val="none" w:sz="0" w:space="0" w:color="auto"/>
        <w:bottom w:val="none" w:sz="0" w:space="0" w:color="auto"/>
        <w:right w:val="none" w:sz="0" w:space="0" w:color="auto"/>
      </w:divBdr>
    </w:div>
    <w:div w:id="2066905720">
      <w:bodyDiv w:val="1"/>
      <w:marLeft w:val="0"/>
      <w:marRight w:val="0"/>
      <w:marTop w:val="0"/>
      <w:marBottom w:val="0"/>
      <w:divBdr>
        <w:top w:val="none" w:sz="0" w:space="0" w:color="auto"/>
        <w:left w:val="none" w:sz="0" w:space="0" w:color="auto"/>
        <w:bottom w:val="none" w:sz="0" w:space="0" w:color="auto"/>
        <w:right w:val="none" w:sz="0" w:space="0" w:color="auto"/>
      </w:divBdr>
    </w:div>
    <w:div w:id="2071809142">
      <w:bodyDiv w:val="1"/>
      <w:marLeft w:val="0"/>
      <w:marRight w:val="0"/>
      <w:marTop w:val="0"/>
      <w:marBottom w:val="0"/>
      <w:divBdr>
        <w:top w:val="none" w:sz="0" w:space="0" w:color="auto"/>
        <w:left w:val="none" w:sz="0" w:space="0" w:color="auto"/>
        <w:bottom w:val="none" w:sz="0" w:space="0" w:color="auto"/>
        <w:right w:val="none" w:sz="0" w:space="0" w:color="auto"/>
      </w:divBdr>
      <w:divsChild>
        <w:div w:id="307132146">
          <w:marLeft w:val="0"/>
          <w:marRight w:val="0"/>
          <w:marTop w:val="0"/>
          <w:marBottom w:val="0"/>
          <w:divBdr>
            <w:top w:val="none" w:sz="0" w:space="0" w:color="auto"/>
            <w:left w:val="none" w:sz="0" w:space="0" w:color="auto"/>
            <w:bottom w:val="none" w:sz="0" w:space="0" w:color="auto"/>
            <w:right w:val="none" w:sz="0" w:space="0" w:color="auto"/>
          </w:divBdr>
        </w:div>
        <w:div w:id="1193616996">
          <w:marLeft w:val="0"/>
          <w:marRight w:val="0"/>
          <w:marTop w:val="0"/>
          <w:marBottom w:val="0"/>
          <w:divBdr>
            <w:top w:val="none" w:sz="0" w:space="0" w:color="auto"/>
            <w:left w:val="none" w:sz="0" w:space="0" w:color="auto"/>
            <w:bottom w:val="none" w:sz="0" w:space="0" w:color="auto"/>
            <w:right w:val="none" w:sz="0" w:space="0" w:color="auto"/>
          </w:divBdr>
        </w:div>
        <w:div w:id="1806459674">
          <w:marLeft w:val="0"/>
          <w:marRight w:val="0"/>
          <w:marTop w:val="0"/>
          <w:marBottom w:val="0"/>
          <w:divBdr>
            <w:top w:val="none" w:sz="0" w:space="0" w:color="auto"/>
            <w:left w:val="none" w:sz="0" w:space="0" w:color="auto"/>
            <w:bottom w:val="none" w:sz="0" w:space="0" w:color="auto"/>
            <w:right w:val="none" w:sz="0" w:space="0" w:color="auto"/>
          </w:divBdr>
        </w:div>
      </w:divsChild>
    </w:div>
    <w:div w:id="2072191012">
      <w:bodyDiv w:val="1"/>
      <w:marLeft w:val="0"/>
      <w:marRight w:val="0"/>
      <w:marTop w:val="0"/>
      <w:marBottom w:val="0"/>
      <w:divBdr>
        <w:top w:val="none" w:sz="0" w:space="0" w:color="auto"/>
        <w:left w:val="none" w:sz="0" w:space="0" w:color="auto"/>
        <w:bottom w:val="none" w:sz="0" w:space="0" w:color="auto"/>
        <w:right w:val="none" w:sz="0" w:space="0" w:color="auto"/>
      </w:divBdr>
    </w:div>
    <w:div w:id="2074429905">
      <w:bodyDiv w:val="1"/>
      <w:marLeft w:val="0"/>
      <w:marRight w:val="0"/>
      <w:marTop w:val="0"/>
      <w:marBottom w:val="0"/>
      <w:divBdr>
        <w:top w:val="none" w:sz="0" w:space="0" w:color="auto"/>
        <w:left w:val="none" w:sz="0" w:space="0" w:color="auto"/>
        <w:bottom w:val="none" w:sz="0" w:space="0" w:color="auto"/>
        <w:right w:val="none" w:sz="0" w:space="0" w:color="auto"/>
      </w:divBdr>
    </w:div>
    <w:div w:id="2079552818">
      <w:bodyDiv w:val="1"/>
      <w:marLeft w:val="0"/>
      <w:marRight w:val="0"/>
      <w:marTop w:val="0"/>
      <w:marBottom w:val="0"/>
      <w:divBdr>
        <w:top w:val="none" w:sz="0" w:space="0" w:color="auto"/>
        <w:left w:val="none" w:sz="0" w:space="0" w:color="auto"/>
        <w:bottom w:val="none" w:sz="0" w:space="0" w:color="auto"/>
        <w:right w:val="none" w:sz="0" w:space="0" w:color="auto"/>
      </w:divBdr>
    </w:div>
    <w:div w:id="2080319907">
      <w:bodyDiv w:val="1"/>
      <w:marLeft w:val="0"/>
      <w:marRight w:val="0"/>
      <w:marTop w:val="0"/>
      <w:marBottom w:val="0"/>
      <w:divBdr>
        <w:top w:val="none" w:sz="0" w:space="0" w:color="auto"/>
        <w:left w:val="none" w:sz="0" w:space="0" w:color="auto"/>
        <w:bottom w:val="none" w:sz="0" w:space="0" w:color="auto"/>
        <w:right w:val="none" w:sz="0" w:space="0" w:color="auto"/>
      </w:divBdr>
    </w:div>
    <w:div w:id="2101176298">
      <w:bodyDiv w:val="1"/>
      <w:marLeft w:val="0"/>
      <w:marRight w:val="0"/>
      <w:marTop w:val="0"/>
      <w:marBottom w:val="0"/>
      <w:divBdr>
        <w:top w:val="none" w:sz="0" w:space="0" w:color="auto"/>
        <w:left w:val="none" w:sz="0" w:space="0" w:color="auto"/>
        <w:bottom w:val="none" w:sz="0" w:space="0" w:color="auto"/>
        <w:right w:val="none" w:sz="0" w:space="0" w:color="auto"/>
      </w:divBdr>
    </w:div>
    <w:div w:id="2117747784">
      <w:bodyDiv w:val="1"/>
      <w:marLeft w:val="0"/>
      <w:marRight w:val="0"/>
      <w:marTop w:val="0"/>
      <w:marBottom w:val="0"/>
      <w:divBdr>
        <w:top w:val="none" w:sz="0" w:space="0" w:color="auto"/>
        <w:left w:val="none" w:sz="0" w:space="0" w:color="auto"/>
        <w:bottom w:val="none" w:sz="0" w:space="0" w:color="auto"/>
        <w:right w:val="none" w:sz="0" w:space="0" w:color="auto"/>
      </w:divBdr>
      <w:divsChild>
        <w:div w:id="1267156179">
          <w:marLeft w:val="1267"/>
          <w:marRight w:val="0"/>
          <w:marTop w:val="200"/>
          <w:marBottom w:val="0"/>
          <w:divBdr>
            <w:top w:val="none" w:sz="0" w:space="0" w:color="auto"/>
            <w:left w:val="none" w:sz="0" w:space="0" w:color="auto"/>
            <w:bottom w:val="none" w:sz="0" w:space="0" w:color="auto"/>
            <w:right w:val="none" w:sz="0" w:space="0" w:color="auto"/>
          </w:divBdr>
        </w:div>
        <w:div w:id="1704597847">
          <w:marLeft w:val="1267"/>
          <w:marRight w:val="0"/>
          <w:marTop w:val="200"/>
          <w:marBottom w:val="0"/>
          <w:divBdr>
            <w:top w:val="none" w:sz="0" w:space="0" w:color="auto"/>
            <w:left w:val="none" w:sz="0" w:space="0" w:color="auto"/>
            <w:bottom w:val="none" w:sz="0" w:space="0" w:color="auto"/>
            <w:right w:val="none" w:sz="0" w:space="0" w:color="auto"/>
          </w:divBdr>
        </w:div>
        <w:div w:id="1833251988">
          <w:marLeft w:val="1267"/>
          <w:marRight w:val="0"/>
          <w:marTop w:val="200"/>
          <w:marBottom w:val="0"/>
          <w:divBdr>
            <w:top w:val="none" w:sz="0" w:space="0" w:color="auto"/>
            <w:left w:val="none" w:sz="0" w:space="0" w:color="auto"/>
            <w:bottom w:val="none" w:sz="0" w:space="0" w:color="auto"/>
            <w:right w:val="none" w:sz="0" w:space="0" w:color="auto"/>
          </w:divBdr>
        </w:div>
      </w:divsChild>
    </w:div>
    <w:div w:id="2146121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0" Type="http://schemas.openxmlformats.org/officeDocument/2006/relationships/image" Target="media/image1.emf"/><Relationship Id="rId4" Type="http://schemas.openxmlformats.org/officeDocument/2006/relationships/styles" Target="styles.xml"/><Relationship Id="rId9" Type="http://schemas.openxmlformats.org/officeDocument/2006/relationships/hyperlink" Target="https://doi.org/10.1016/j.anbehav.2019.02.017"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9538AE-747C-42A2-B378-DC650CB30AA5}">
  <ds:schemaRefs>
    <ds:schemaRef ds:uri="http://schemas.openxmlformats.org/officeDocument/2006/bibliography"/>
  </ds:schemaRefs>
</ds:datastoreItem>
</file>

<file path=customXml/itemProps2.xml><?xml version="1.0" encoding="utf-8"?>
<ds:datastoreItem xmlns:ds="http://schemas.openxmlformats.org/officeDocument/2006/customXml" ds:itemID="{6DCBC095-5976-4723-9DD4-446FB2767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34</Pages>
  <Words>45435</Words>
  <Characters>258980</Characters>
  <Application>Microsoft Office Word</Application>
  <DocSecurity>0</DocSecurity>
  <Lines>2158</Lines>
  <Paragraphs>607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303808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Annemarie van der Marel</dc:creator>
  <cp:keywords/>
  <dc:description/>
  <cp:lastModifiedBy>Jane Waterman</cp:lastModifiedBy>
  <cp:revision>3</cp:revision>
  <dcterms:created xsi:type="dcterms:W3CDTF">2020-07-02T20:16:00Z</dcterms:created>
  <dcterms:modified xsi:type="dcterms:W3CDTF">2020-07-02T20:18:00Z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eb9e2335-46e5-3d21-93fc-b725e0dea720</vt:lpwstr>
  </property>
  <property fmtid="{D5CDD505-2E9C-101B-9397-08002B2CF9AE}" pid="4" name="Mendeley Citation Style_1">
    <vt:lpwstr>http://www.zotero.org/styles/apa</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http://www.zotero.org/styles/apa-single-spaced</vt:lpwstr>
  </property>
  <property fmtid="{D5CDD505-2E9C-101B-9397-08002B2CF9AE}" pid="8" name="Mendeley Recent Style Name 1_1">
    <vt:lpwstr>American Psychological Association 6th edition (single-spaced bibliography)</vt:lpwstr>
  </property>
  <property fmtid="{D5CDD505-2E9C-101B-9397-08002B2CF9AE}" pid="9" name="Mendeley Recent Style Id 2_1">
    <vt:lpwstr>http://www.zotero.org/styles/animal-behaviour</vt:lpwstr>
  </property>
  <property fmtid="{D5CDD505-2E9C-101B-9397-08002B2CF9AE}" pid="10" name="Mendeley Recent Style Name 2_1">
    <vt:lpwstr>Animal Behaviour</vt:lpwstr>
  </property>
  <property fmtid="{D5CDD505-2E9C-101B-9397-08002B2CF9AE}" pid="11" name="Mendeley Recent Style Id 3_1">
    <vt:lpwstr>http://www.zotero.org/styles/canadian-journal-of-fisheries-and-aquatic-sciences</vt:lpwstr>
  </property>
  <property fmtid="{D5CDD505-2E9C-101B-9397-08002B2CF9AE}" pid="12" name="Mendeley Recent Style Name 3_1">
    <vt:lpwstr>Canadian Journal of Fisheries and Aquatic Sciences</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