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5550" w:rsidRPr="00405550" w:rsidRDefault="00405550">
      <w:pPr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</w:pPr>
      <w:bookmarkStart w:id="0" w:name="_GoBack"/>
      <w:bookmarkEnd w:id="0"/>
      <w:r w:rsidRPr="00405550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Errata</w:t>
      </w:r>
    </w:p>
    <w:p w:rsidR="005343AB" w:rsidRDefault="005E75A6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The methods</w:t>
      </w:r>
      <w:r w:rsidRPr="005E75A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on page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s</w:t>
      </w:r>
      <w:r w:rsidRPr="005E75A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88</w:t>
      </w:r>
      <w:r w:rsidRPr="005E75A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5343AB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and 92 </w:t>
      </w:r>
      <w:r w:rsidRPr="005E75A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should have inc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luded the following sentence: “My approach to calculating nest survival</w:t>
      </w:r>
      <w:r w:rsidR="005343AB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,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fecundity</w:t>
      </w:r>
      <w:r w:rsidR="005343AB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, and population growth rate</w:t>
      </w:r>
      <w:r w:rsidRPr="005E75A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followed methods developed by 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Walker et al. (2016).”</w:t>
      </w:r>
      <w:r w:rsidRPr="005E75A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</w:p>
    <w:p w:rsidR="00812C0B" w:rsidRPr="00405550" w:rsidRDefault="006223E0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6223E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Page 80, line 8</w:t>
      </w:r>
      <w:r w:rsidR="005343AB" w:rsidRPr="006223E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should read, “The presence of source-sink dynamics in fragmented </w:t>
      </w:r>
      <w:proofErr w:type="spellStart"/>
      <w:r w:rsidR="005343AB" w:rsidRPr="006223E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metapopulations</w:t>
      </w:r>
      <w:proofErr w:type="spellEnd"/>
      <w:r w:rsidR="005343AB" w:rsidRPr="006223E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has been used to explain the persistence of local populations in low-quality habitat </w:t>
      </w:r>
      <w:r w:rsidRPr="006223E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and </w:t>
      </w:r>
      <w:r w:rsidR="005343AB" w:rsidRPr="006223E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argue for 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the conservation of source areas (Walker et al. </w:t>
      </w:r>
      <w:r w:rsidR="0040555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2016, pg. 109)”</w:t>
      </w:r>
      <w:r>
        <w:rPr>
          <w:rFonts w:ascii="Arial" w:hAnsi="Arial" w:cs="Arial"/>
          <w:color w:val="222222"/>
        </w:rPr>
        <w:t>.</w:t>
      </w:r>
      <w:r w:rsidR="001C56A6">
        <w:rPr>
          <w:rFonts w:ascii="Arial" w:hAnsi="Arial" w:cs="Arial"/>
          <w:color w:val="222222"/>
        </w:rPr>
        <w:br/>
      </w:r>
      <w:r w:rsidR="001C56A6">
        <w:rPr>
          <w:rFonts w:ascii="Arial" w:hAnsi="Arial" w:cs="Arial"/>
          <w:color w:val="222222"/>
        </w:rPr>
        <w:br/>
      </w:r>
      <w:r w:rsidRPr="006223E0">
        <w:rPr>
          <w:rFonts w:ascii="Times New Roman" w:hAnsi="Times New Roman" w:cs="Times New Roman"/>
          <w:color w:val="222222"/>
          <w:sz w:val="24"/>
          <w:szCs w:val="24"/>
        </w:rPr>
        <w:t>Page 100, line 5 should read, “</w:t>
      </w:r>
      <w:r w:rsidRPr="006223E0">
        <w:rPr>
          <w:rFonts w:ascii="Times New Roman" w:hAnsi="Times New Roman" w:cs="Times New Roman"/>
          <w:sz w:val="24"/>
          <w:szCs w:val="24"/>
        </w:rPr>
        <w:t>Dispersal events between high- and low-quality habitat patches could help alleviate demographic pressures placed on less productive populations (Walker et al. 2016, pg. 116)”.</w:t>
      </w:r>
      <w:r w:rsidR="001C56A6" w:rsidRPr="006223E0">
        <w:rPr>
          <w:rFonts w:ascii="Times New Roman" w:hAnsi="Times New Roman" w:cs="Times New Roman"/>
          <w:color w:val="222222"/>
          <w:sz w:val="24"/>
          <w:szCs w:val="24"/>
        </w:rPr>
        <w:br/>
      </w:r>
      <w:r w:rsidR="001C56A6">
        <w:rPr>
          <w:rFonts w:ascii="Arial" w:hAnsi="Arial" w:cs="Arial"/>
          <w:color w:val="222222"/>
        </w:rPr>
        <w:br/>
      </w:r>
      <w:r w:rsidRPr="00401454">
        <w:rPr>
          <w:rFonts w:ascii="Times New Roman" w:hAnsi="Times New Roman" w:cs="Times New Roman"/>
          <w:color w:val="222222"/>
          <w:sz w:val="24"/>
          <w:szCs w:val="24"/>
        </w:rPr>
        <w:t xml:space="preserve">Page </w:t>
      </w:r>
      <w:r w:rsidR="00401454" w:rsidRPr="00401454">
        <w:rPr>
          <w:rFonts w:ascii="Times New Roman" w:hAnsi="Times New Roman" w:cs="Times New Roman"/>
          <w:color w:val="222222"/>
          <w:sz w:val="24"/>
          <w:szCs w:val="24"/>
        </w:rPr>
        <w:t>101, line 18</w:t>
      </w:r>
      <w:r w:rsidR="00405550">
        <w:rPr>
          <w:rFonts w:ascii="Times New Roman" w:hAnsi="Times New Roman" w:cs="Times New Roman"/>
          <w:color w:val="222222"/>
          <w:sz w:val="24"/>
          <w:szCs w:val="24"/>
        </w:rPr>
        <w:t>, which reads:</w:t>
      </w:r>
      <w:r w:rsidR="00401454" w:rsidRPr="00401454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r w:rsidR="00401454" w:rsidRPr="0040145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“Efforts to conserve threatened and endangered species frequently focus on the creation and maintenance of high-quality source habitats but it is important not to discount the contributions of sink habitats to the overall stability and long term survival of a </w:t>
      </w:r>
      <w:proofErr w:type="spellStart"/>
      <w:r w:rsidR="00401454" w:rsidRPr="0040145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metapopulation</w:t>
      </w:r>
      <w:proofErr w:type="spellEnd"/>
      <w:r w:rsidR="00401454" w:rsidRPr="0040145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(Howe et al. 1991, </w:t>
      </w:r>
      <w:proofErr w:type="spellStart"/>
      <w:r w:rsidR="00401454" w:rsidRPr="0040145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Foppen</w:t>
      </w:r>
      <w:proofErr w:type="spellEnd"/>
      <w:r w:rsidR="00401454" w:rsidRPr="0040145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et al. 2000, Murphy 2001)</w:t>
      </w:r>
      <w:r w:rsidR="0040555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,</w:t>
      </w:r>
      <w:r w:rsidR="00401454" w:rsidRPr="00401454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” </w:t>
      </w:r>
      <w:r w:rsidR="00401454" w:rsidRPr="00401454">
        <w:rPr>
          <w:rFonts w:ascii="Times New Roman" w:hAnsi="Times New Roman" w:cs="Times New Roman"/>
          <w:color w:val="222222"/>
          <w:sz w:val="24"/>
          <w:szCs w:val="24"/>
        </w:rPr>
        <w:t>should also include the cita</w:t>
      </w:r>
      <w:r w:rsidR="00401454" w:rsidRPr="00405550">
        <w:rPr>
          <w:rFonts w:ascii="Times New Roman" w:hAnsi="Times New Roman" w:cs="Times New Roman"/>
          <w:color w:val="222222"/>
          <w:sz w:val="24"/>
          <w:szCs w:val="24"/>
        </w:rPr>
        <w:t xml:space="preserve">tion ‘Walker et al. (2016).’ </w:t>
      </w:r>
    </w:p>
    <w:p w:rsidR="005E75A6" w:rsidRPr="00405550" w:rsidRDefault="00405550">
      <w:pPr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</w:pPr>
      <w:r w:rsidRPr="00405550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Literature cited</w:t>
      </w:r>
    </w:p>
    <w:p w:rsidR="005E75A6" w:rsidRPr="005E75A6" w:rsidRDefault="005E75A6">
      <w:pPr>
        <w:rPr>
          <w:rFonts w:ascii="Times New Roman" w:hAnsi="Times New Roman" w:cs="Times New Roman"/>
          <w:sz w:val="24"/>
          <w:szCs w:val="24"/>
        </w:rPr>
      </w:pPr>
      <w:r w:rsidRPr="005E75A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Walker, L.E., </w:t>
      </w:r>
      <w:proofErr w:type="spellStart"/>
      <w:r w:rsidRPr="005E75A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Marzluff</w:t>
      </w:r>
      <w:proofErr w:type="spellEnd"/>
      <w:r w:rsidRPr="005E75A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, J.M.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and </w:t>
      </w:r>
      <w:proofErr w:type="spellStart"/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Cimprich</w:t>
      </w:r>
      <w:proofErr w:type="spellEnd"/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, D.A.</w:t>
      </w:r>
      <w:r w:rsidRPr="005E75A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2016. Source-sink population dynamics driven by a brood parasite: a case study of an endangered songbird, the Black-capped Vireo. </w:t>
      </w:r>
      <w:r w:rsidRPr="005E75A6">
        <w:rPr>
          <w:rFonts w:ascii="Times New Roman" w:hAnsi="Times New Roman" w:cs="Times New Roman"/>
          <w:iCs/>
          <w:color w:val="222222"/>
          <w:sz w:val="24"/>
          <w:szCs w:val="24"/>
          <w:shd w:val="clear" w:color="auto" w:fill="FFFFFF"/>
        </w:rPr>
        <w:t>Biological Conservation</w:t>
      </w:r>
      <w:r w:rsidRPr="005E75A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Pr="005E75A6">
        <w:rPr>
          <w:rFonts w:ascii="Times New Roman" w:hAnsi="Times New Roman" w:cs="Times New Roman"/>
          <w:iCs/>
          <w:color w:val="222222"/>
          <w:sz w:val="24"/>
          <w:szCs w:val="24"/>
          <w:shd w:val="clear" w:color="auto" w:fill="FFFFFF"/>
        </w:rPr>
        <w:t>203</w:t>
      </w:r>
      <w:r w:rsidRPr="005E75A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: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Pr="005E75A6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108-118.</w:t>
      </w:r>
    </w:p>
    <w:sectPr w:rsidR="005E75A6" w:rsidRPr="005E75A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56A6"/>
    <w:rsid w:val="001C56A6"/>
    <w:rsid w:val="00401454"/>
    <w:rsid w:val="00405550"/>
    <w:rsid w:val="005343AB"/>
    <w:rsid w:val="005E75A6"/>
    <w:rsid w:val="006223E0"/>
    <w:rsid w:val="00812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6FB3F9"/>
  <w15:chartTrackingRefBased/>
  <w15:docId w15:val="{66A4AAD0-25EE-447A-B99A-662D4FA86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AW</Company>
  <LinksUpToDate>false</LinksUpToDate>
  <CharactersWithSpaces>1339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Moulton, Laurel</dc:creator>
  <cp:keywords/>
  <dc:description/>
  <cp:lastModifiedBy>Nicola Koper</cp:lastModifiedBy>
  <cp:revision>2</cp:revision>
  <dcterms:created xsi:type="dcterms:W3CDTF">2019-06-20T18:40:00Z</dcterms:created>
  <dcterms:modified xsi:type="dcterms:W3CDTF">2019-06-20T18:40:00Z</dcterms:modified>
</cp:coreProperties>
</file>