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3890" w:rsidRDefault="000F3890" w:rsidP="000F3890">
      <w:pPr>
        <w:spacing w:line="480" w:lineRule="auto"/>
        <w:jc w:val="center"/>
      </w:pPr>
      <w:r>
        <w:t>The final frontier: Early-stage genetic introgression and hybrid habitat use in the northwestern extent of the Golden-winged Warbler breeding range</w:t>
      </w:r>
    </w:p>
    <w:p w:rsidR="000F3890" w:rsidRDefault="000F3890" w:rsidP="000F3890">
      <w:pPr>
        <w:spacing w:line="480" w:lineRule="auto"/>
        <w:jc w:val="center"/>
      </w:pPr>
    </w:p>
    <w:p w:rsidR="000F3890" w:rsidRPr="00307A38" w:rsidRDefault="000F3890" w:rsidP="000F3890">
      <w:pPr>
        <w:spacing w:line="480" w:lineRule="auto"/>
        <w:jc w:val="center"/>
        <w:rPr>
          <w:vertAlign w:val="superscript"/>
          <w:lang w:val="fr-CA"/>
        </w:rPr>
      </w:pPr>
      <w:r w:rsidRPr="00307A38">
        <w:rPr>
          <w:lang w:val="fr-CA"/>
        </w:rPr>
        <w:t>Laurel L. Moulton</w:t>
      </w:r>
      <w:r w:rsidRPr="00307A38">
        <w:rPr>
          <w:vertAlign w:val="superscript"/>
          <w:lang w:val="fr-CA"/>
        </w:rPr>
        <w:t xml:space="preserve">1,2 </w:t>
      </w:r>
    </w:p>
    <w:p w:rsidR="000F3890" w:rsidRPr="00307A38" w:rsidRDefault="000F3890" w:rsidP="000F3890">
      <w:pPr>
        <w:spacing w:line="480" w:lineRule="auto"/>
        <w:jc w:val="center"/>
        <w:rPr>
          <w:vertAlign w:val="superscript"/>
          <w:lang w:val="fr-CA"/>
        </w:rPr>
      </w:pPr>
      <w:r w:rsidRPr="00307A38">
        <w:rPr>
          <w:lang w:val="fr-CA"/>
        </w:rPr>
        <w:t>Rachel Vallender</w:t>
      </w:r>
      <w:r w:rsidRPr="00307A38">
        <w:rPr>
          <w:vertAlign w:val="superscript"/>
          <w:lang w:val="fr-CA"/>
        </w:rPr>
        <w:t>3, 4</w:t>
      </w:r>
    </w:p>
    <w:p w:rsidR="000F3890" w:rsidRDefault="000F3890" w:rsidP="000F3890">
      <w:pPr>
        <w:spacing w:line="480" w:lineRule="auto"/>
        <w:jc w:val="center"/>
      </w:pPr>
      <w:r>
        <w:t>Christian Artuso</w:t>
      </w:r>
      <w:r>
        <w:rPr>
          <w:vertAlign w:val="superscript"/>
        </w:rPr>
        <w:t>1,2</w:t>
      </w:r>
      <w:r>
        <w:t xml:space="preserve"> </w:t>
      </w:r>
    </w:p>
    <w:p w:rsidR="000F3890" w:rsidRPr="00FF0B5A" w:rsidRDefault="000F3890" w:rsidP="000F3890">
      <w:pPr>
        <w:spacing w:line="480" w:lineRule="auto"/>
        <w:jc w:val="center"/>
        <w:rPr>
          <w:vertAlign w:val="superscript"/>
        </w:rPr>
      </w:pPr>
      <w:r>
        <w:t>Nicola Koper</w:t>
      </w:r>
      <w:r>
        <w:rPr>
          <w:vertAlign w:val="superscript"/>
        </w:rPr>
        <w:t>2</w:t>
      </w:r>
    </w:p>
    <w:p w:rsidR="000F3890" w:rsidRDefault="000F3890" w:rsidP="000F3890">
      <w:pPr>
        <w:spacing w:line="480" w:lineRule="auto"/>
        <w:jc w:val="center"/>
      </w:pPr>
    </w:p>
    <w:p w:rsidR="000F3890" w:rsidRDefault="000F3890" w:rsidP="000F3890">
      <w:pPr>
        <w:tabs>
          <w:tab w:val="left" w:pos="720"/>
        </w:tabs>
        <w:spacing w:line="480" w:lineRule="auto"/>
        <w:ind w:left="720" w:hanging="360"/>
        <w:jc w:val="center"/>
      </w:pPr>
      <w:r>
        <w:t>1.</w:t>
      </w:r>
      <w:r>
        <w:tab/>
        <w:t>Bird Studies Canada</w:t>
      </w:r>
      <w:r>
        <w:rPr>
          <w:color w:val="2A2A2A"/>
        </w:rPr>
        <w:t>, Winnipeg, MB, R3J 3W3, Canada</w:t>
      </w:r>
    </w:p>
    <w:p w:rsidR="000F3890" w:rsidRDefault="000F3890" w:rsidP="000F3890">
      <w:pPr>
        <w:tabs>
          <w:tab w:val="left" w:pos="720"/>
        </w:tabs>
        <w:spacing w:line="480" w:lineRule="auto"/>
        <w:ind w:left="720" w:hanging="360"/>
        <w:jc w:val="center"/>
      </w:pPr>
      <w:r>
        <w:t>2.</w:t>
      </w:r>
      <w:r>
        <w:tab/>
        <w:t>University of Manitoba, Natural Resources Institute, Winnipeg, Manitoba, R3T 2M6, Canada</w:t>
      </w:r>
    </w:p>
    <w:p w:rsidR="000F3890" w:rsidRDefault="000F3890" w:rsidP="000F3890">
      <w:pPr>
        <w:tabs>
          <w:tab w:val="left" w:pos="720"/>
        </w:tabs>
        <w:spacing w:line="480" w:lineRule="auto"/>
        <w:ind w:left="720" w:hanging="360"/>
        <w:jc w:val="center"/>
      </w:pPr>
      <w:r>
        <w:t>3. Canadian Museum of Nature, Gatineau, Quebec, J9J 3N7, Canada</w:t>
      </w:r>
    </w:p>
    <w:p w:rsidR="000F3890" w:rsidRDefault="000F3890" w:rsidP="000F3890">
      <w:pPr>
        <w:tabs>
          <w:tab w:val="left" w:pos="720"/>
        </w:tabs>
        <w:spacing w:line="480" w:lineRule="auto"/>
        <w:ind w:left="720" w:hanging="360"/>
        <w:jc w:val="center"/>
      </w:pPr>
      <w:r>
        <w:t>4. Canadian Wildlife Service, Environment and Climate Change Canada, Gatineau, Quebec, K1A 0H3, Canada</w:t>
      </w:r>
    </w:p>
    <w:p w:rsidR="000F3890" w:rsidRDefault="001E1283" w:rsidP="000F3890">
      <w:pPr>
        <w:widowControl/>
        <w:overflowPunct/>
        <w:adjustRightInd/>
        <w:spacing w:after="160" w:line="259" w:lineRule="auto"/>
      </w:pPr>
      <w:r>
        <w:rPr>
          <w:color w:val="000000"/>
        </w:rPr>
        <w:t xml:space="preserve">Moulton, L., </w:t>
      </w:r>
      <w:proofErr w:type="spellStart"/>
      <w:r>
        <w:rPr>
          <w:color w:val="000000"/>
        </w:rPr>
        <w:t>Vallender</w:t>
      </w:r>
      <w:proofErr w:type="spellEnd"/>
      <w:r>
        <w:rPr>
          <w:color w:val="000000"/>
        </w:rPr>
        <w:t xml:space="preserve">, R., </w:t>
      </w:r>
      <w:proofErr w:type="spellStart"/>
      <w:r>
        <w:rPr>
          <w:color w:val="000000"/>
        </w:rPr>
        <w:t>Artuso</w:t>
      </w:r>
      <w:proofErr w:type="spellEnd"/>
      <w:r>
        <w:rPr>
          <w:color w:val="000000"/>
        </w:rPr>
        <w:t xml:space="preserve">, C., and </w:t>
      </w:r>
      <w:r>
        <w:rPr>
          <w:b/>
          <w:color w:val="000000"/>
        </w:rPr>
        <w:t>Koper, N.</w:t>
      </w:r>
      <w:r>
        <w:rPr>
          <w:color w:val="000000"/>
        </w:rPr>
        <w:t xml:space="preserve"> 2018. The final frontier: </w:t>
      </w:r>
      <w:r>
        <w:t>Early-stage genetic introgression and hybrid habitat use in the northwestern extent of the Golden-winged Warbler breeding range. Conservation Genetics. 18: 1481-1487</w:t>
      </w:r>
    </w:p>
    <w:p w:rsidR="001E1283" w:rsidRDefault="001E1283" w:rsidP="000F3890">
      <w:pPr>
        <w:widowControl/>
        <w:overflowPunct/>
        <w:adjustRightInd/>
        <w:spacing w:after="160" w:line="259" w:lineRule="auto"/>
      </w:pPr>
      <w:r>
        <w:t>doi:10.1007/s10592-017-0989-8</w:t>
      </w:r>
    </w:p>
    <w:p w:rsidR="001E1283" w:rsidRPr="001E4D24" w:rsidRDefault="001E1283" w:rsidP="001E1283">
      <w:pPr>
        <w:rPr>
          <w:b/>
          <w:lang w:val="en-GB"/>
        </w:rPr>
      </w:pPr>
      <w:r>
        <w:t>© 2018</w:t>
      </w:r>
      <w:r w:rsidRPr="001E4D24">
        <w:t>. This manuscript version is made available under the CC-BY-NC-ND 4.0 license http://creativecommons.org/licenses/by-nc-nd/4.0/</w:t>
      </w:r>
    </w:p>
    <w:p w:rsidR="000F3890" w:rsidRDefault="000F3890" w:rsidP="000F3890">
      <w:pPr>
        <w:widowControl/>
        <w:overflowPunct/>
        <w:adjustRightInd/>
        <w:spacing w:after="160" w:line="259" w:lineRule="auto"/>
        <w:rPr>
          <w:b/>
        </w:rPr>
      </w:pPr>
    </w:p>
    <w:p w:rsidR="000F3890" w:rsidRDefault="000F3890" w:rsidP="000F3890">
      <w:pPr>
        <w:widowControl/>
        <w:overflowPunct/>
        <w:adjustRightInd/>
        <w:spacing w:after="160" w:line="259" w:lineRule="auto"/>
        <w:rPr>
          <w:b/>
        </w:rPr>
      </w:pPr>
    </w:p>
    <w:p w:rsidR="000F3890" w:rsidRDefault="000F3890" w:rsidP="000F3890">
      <w:pPr>
        <w:widowControl/>
        <w:overflowPunct/>
        <w:adjustRightInd/>
        <w:spacing w:after="160" w:line="259" w:lineRule="auto"/>
        <w:rPr>
          <w:b/>
        </w:rPr>
      </w:pPr>
    </w:p>
    <w:p w:rsidR="000F3890" w:rsidRDefault="000F3890" w:rsidP="000F3890">
      <w:pPr>
        <w:widowControl/>
        <w:overflowPunct/>
        <w:adjustRightInd/>
        <w:spacing w:after="160" w:line="259" w:lineRule="auto"/>
        <w:rPr>
          <w:b/>
        </w:rPr>
      </w:pPr>
      <w:r>
        <w:t>Corresponding author: Laurel Moulton: laurel.moulton@gmail.com</w:t>
      </w:r>
      <w:r>
        <w:rPr>
          <w:b/>
        </w:rPr>
        <w:br w:type="page"/>
      </w:r>
    </w:p>
    <w:p w:rsidR="000F3890" w:rsidRDefault="000F3890" w:rsidP="000F3890">
      <w:pPr>
        <w:spacing w:line="480" w:lineRule="auto"/>
        <w:rPr>
          <w:b/>
        </w:rPr>
      </w:pPr>
      <w:r>
        <w:rPr>
          <w:b/>
        </w:rPr>
        <w:lastRenderedPageBreak/>
        <w:t>Abstract</w:t>
      </w:r>
    </w:p>
    <w:p w:rsidR="000F3890" w:rsidRDefault="000F3890" w:rsidP="000F3890">
      <w:pPr>
        <w:spacing w:line="480" w:lineRule="auto"/>
      </w:pPr>
      <w:bookmarkStart w:id="0" w:name="_GoBack"/>
      <w:r>
        <w:t xml:space="preserve">Anthropogenic changes to the landscape and climate have resulted in secondary contact between previously allopatric species. This can result in genetic introgression and reverse speciation when closely related species are able to hybridize. The Golden-winged Warbler has declined or been extirpated across much of its range where it has come into secondary contact with the Blue-winged Warbler. Genetic screening previously showed that introgression had occurred range-wide with the exception of Manitoba, Canada. Our goal was to reassess the genetic status of the Golden-winged Warbler population in Manitoba and to examine the demographics and habitat use of phenotypic and genetic hybrids. From 2011-2014, we sampled and screened </w:t>
      </w:r>
      <w:proofErr w:type="spellStart"/>
      <w:r>
        <w:t>mtDNA</w:t>
      </w:r>
      <w:proofErr w:type="spellEnd"/>
      <w:r>
        <w:t xml:space="preserve"> from 205 Golden-winged Warblers and hybrids in Southeast Manitoba. In 2012, we monitored all Golden-winged Warbler territories within those sites and measured territory- and </w:t>
      </w:r>
      <w:r w:rsidRPr="00565865">
        <w:t>landscape-level habitat variables.</w:t>
      </w:r>
      <w:r>
        <w:t xml:space="preserve"> Of the birds screened, 195 had a phenotype that matched their </w:t>
      </w:r>
      <w:proofErr w:type="spellStart"/>
      <w:r>
        <w:t>mtDNA</w:t>
      </w:r>
      <w:proofErr w:type="spellEnd"/>
      <w:r>
        <w:t xml:space="preserve"> type, 2 were phenotypic hybrids, and 8 showed a phenotypic-</w:t>
      </w:r>
      <w:proofErr w:type="spellStart"/>
      <w:r>
        <w:t>mtDNA</w:t>
      </w:r>
      <w:proofErr w:type="spellEnd"/>
      <w:r>
        <w:t xml:space="preserve"> mismatch (cryptic hybrids). We found no difference in the habitat used by Golden-winged Warblers compared with hybrids at either scale. The low proportion of hybrids found in Manitoba and the lack of a distinguishable difference in habitat use by Golden-winged Warblers and hybrids indicates that the exclusion of hybrid birds from Golden-winged Warbler habitat is unlikely to be a successful </w:t>
      </w:r>
      <w:r w:rsidR="006418DC">
        <w:t>conservation strategy. T</w:t>
      </w:r>
      <w:r>
        <w:t xml:space="preserve">he best way to manage for Golden-winged Warblers </w:t>
      </w:r>
      <w:r w:rsidR="006418DC">
        <w:t>is</w:t>
      </w:r>
      <w:r>
        <w:t xml:space="preserve"> to slow the habitat loss </w:t>
      </w:r>
      <w:r w:rsidR="00B72D37">
        <w:t xml:space="preserve">and fragmentation </w:t>
      </w:r>
      <w:r>
        <w:t>that continues within Manitoba and to actively manage early-successional deciduous forest using tools such as fire and logging.</w:t>
      </w:r>
    </w:p>
    <w:bookmarkEnd w:id="0"/>
    <w:p w:rsidR="000F3890" w:rsidRDefault="000F3890" w:rsidP="000F3890">
      <w:pPr>
        <w:spacing w:line="480" w:lineRule="auto"/>
        <w:rPr>
          <w:b/>
        </w:rPr>
      </w:pPr>
      <w:r>
        <w:rPr>
          <w:b/>
        </w:rPr>
        <w:t xml:space="preserve">Keywords:  </w:t>
      </w:r>
      <w:r>
        <w:t>extinction ∙ genetic introgression ∙ hybridization ∙ mitochondrial DNA ∙ warbler ∙ reverse speciation</w:t>
      </w:r>
    </w:p>
    <w:p w:rsidR="000F3890" w:rsidRPr="005F6D61" w:rsidRDefault="000F3890" w:rsidP="000F3890">
      <w:pPr>
        <w:spacing w:line="480" w:lineRule="auto"/>
      </w:pPr>
    </w:p>
    <w:p w:rsidR="00EC0F82" w:rsidRPr="005F6D61" w:rsidRDefault="00EC0F82" w:rsidP="00EC0F82">
      <w:pPr>
        <w:spacing w:line="480" w:lineRule="auto"/>
        <w:rPr>
          <w:b/>
        </w:rPr>
      </w:pPr>
      <w:r w:rsidRPr="005F6D61">
        <w:rPr>
          <w:b/>
        </w:rPr>
        <w:lastRenderedPageBreak/>
        <w:t>Introduction</w:t>
      </w:r>
    </w:p>
    <w:p w:rsidR="00EC0F82" w:rsidRDefault="00EC0F82" w:rsidP="00EC0F82">
      <w:pPr>
        <w:spacing w:line="480" w:lineRule="auto"/>
        <w:ind w:firstLine="720"/>
      </w:pPr>
      <w:r w:rsidRPr="0065392D">
        <w:t xml:space="preserve">The role of hybridization in both evolutionary diversification (Seehausen 2004) and extinction (Rhymer and </w:t>
      </w:r>
      <w:proofErr w:type="spellStart"/>
      <w:r w:rsidRPr="0065392D">
        <w:t>Simberloff</w:t>
      </w:r>
      <w:proofErr w:type="spellEnd"/>
      <w:r w:rsidRPr="0065392D">
        <w:t xml:space="preserve"> 1996) has become an important area of study as humans increasingly alter ecosystems and </w:t>
      </w:r>
      <w:r w:rsidR="0065392D" w:rsidRPr="0065392D">
        <w:t>bring species into secondary contact</w:t>
      </w:r>
      <w:r w:rsidRPr="0065392D">
        <w:t xml:space="preserve">. Hybridization and the resulting introduction of one species genetic material into another, known as genetic introgression (Anderson 1949), </w:t>
      </w:r>
      <w:r w:rsidR="007B5016">
        <w:t>aids</w:t>
      </w:r>
      <w:r w:rsidRPr="0065392D">
        <w:t xml:space="preserve"> in the maintenance of genetic diversity and can introduce novelty into the gene pool (</w:t>
      </w:r>
      <w:proofErr w:type="spellStart"/>
      <w:r w:rsidRPr="0065392D">
        <w:t>Lewontin</w:t>
      </w:r>
      <w:proofErr w:type="spellEnd"/>
      <w:r w:rsidRPr="0065392D">
        <w:t xml:space="preserve"> and Birch 1966, Seehausen 2004). </w:t>
      </w:r>
      <w:r w:rsidR="007B5016" w:rsidRPr="007B5016">
        <w:t>However</w:t>
      </w:r>
      <w:r w:rsidR="00752007" w:rsidRPr="007B5016">
        <w:t>,</w:t>
      </w:r>
      <w:r w:rsidR="00F15D27" w:rsidRPr="007B5016">
        <w:t xml:space="preserve"> the</w:t>
      </w:r>
      <w:r w:rsidR="00F15D27">
        <w:t xml:space="preserve"> increased temporal rate and geographic</w:t>
      </w:r>
      <w:r w:rsidR="00F15D27" w:rsidRPr="00345585">
        <w:t xml:space="preserve"> scale </w:t>
      </w:r>
      <w:r w:rsidR="00F15D27">
        <w:t>of anthropogenic hybridiz</w:t>
      </w:r>
      <w:r w:rsidR="00F15D27" w:rsidRPr="00345585">
        <w:t xml:space="preserve">ation </w:t>
      </w:r>
      <w:r w:rsidR="007B5016">
        <w:t xml:space="preserve">brought about by habitat fragmentation, climate change, and species introductions </w:t>
      </w:r>
      <w:r w:rsidR="00F15D27" w:rsidRPr="00345585">
        <w:t>can r</w:t>
      </w:r>
      <w:r w:rsidR="00F15D27">
        <w:t>everse evolutionary processes that resulted in divergence over</w:t>
      </w:r>
      <w:r w:rsidR="00F15D27" w:rsidRPr="00345585">
        <w:t xml:space="preserve"> millions of years </w:t>
      </w:r>
      <w:r w:rsidR="00F002A9">
        <w:t>within</w:t>
      </w:r>
      <w:r w:rsidR="00F15D27">
        <w:t xml:space="preserve"> a</w:t>
      </w:r>
      <w:r w:rsidR="00F15D27" w:rsidRPr="00345585">
        <w:t xml:space="preserve"> few generations</w:t>
      </w:r>
      <w:r w:rsidR="007B5016">
        <w:t xml:space="preserve"> (Rhymer and </w:t>
      </w:r>
      <w:proofErr w:type="spellStart"/>
      <w:r w:rsidR="007B5016">
        <w:t>Simberloff</w:t>
      </w:r>
      <w:proofErr w:type="spellEnd"/>
      <w:r w:rsidR="007B5016">
        <w:t xml:space="preserve"> 1996</w:t>
      </w:r>
      <w:r w:rsidR="00FC72A1">
        <w:t>, Taylor et al. 2014</w:t>
      </w:r>
      <w:r w:rsidR="007B5016">
        <w:t>)</w:t>
      </w:r>
      <w:r w:rsidR="00F15D27" w:rsidRPr="00345585">
        <w:t>.</w:t>
      </w:r>
      <w:r w:rsidR="00752007" w:rsidRPr="00F15D27">
        <w:t xml:space="preserve"> </w:t>
      </w:r>
      <w:r w:rsidRPr="00D06AD1">
        <w:t>The loss of species through this mechanism is often unpredictable</w:t>
      </w:r>
      <w:r>
        <w:t xml:space="preserve"> and irreversible and</w:t>
      </w:r>
      <w:r w:rsidRPr="00345585">
        <w:t xml:space="preserve"> m</w:t>
      </w:r>
      <w:r>
        <w:t>ay</w:t>
      </w:r>
      <w:r w:rsidRPr="00345585">
        <w:t xml:space="preserve"> be</w:t>
      </w:r>
      <w:r>
        <w:t>come</w:t>
      </w:r>
      <w:r w:rsidRPr="00345585">
        <w:t xml:space="preserve"> one of the most difficult conservation problems to manage </w:t>
      </w:r>
      <w:r>
        <w:t xml:space="preserve">in modern times (Rhymer and </w:t>
      </w:r>
      <w:proofErr w:type="spellStart"/>
      <w:r>
        <w:t>Simberloff</w:t>
      </w:r>
      <w:proofErr w:type="spellEnd"/>
      <w:r>
        <w:t xml:space="preserve"> 1996</w:t>
      </w:r>
      <w:r w:rsidRPr="00EC0F82">
        <w:t xml:space="preserve">). </w:t>
      </w:r>
    </w:p>
    <w:p w:rsidR="00EC0F82" w:rsidRPr="00E859D7" w:rsidRDefault="00E13CBC" w:rsidP="00E859D7">
      <w:pPr>
        <w:spacing w:line="480" w:lineRule="auto"/>
        <w:ind w:firstLine="720"/>
      </w:pPr>
      <w:r>
        <w:t xml:space="preserve">Habitat </w:t>
      </w:r>
      <w:r w:rsidR="002841B4">
        <w:t>fragmentation</w:t>
      </w:r>
      <w:r w:rsidR="007B5016">
        <w:t xml:space="preserve"> can remove</w:t>
      </w:r>
      <w:r w:rsidR="007B5016" w:rsidRPr="00F15D27">
        <w:t xml:space="preserve"> barriers between previously allopatric species,</w:t>
      </w:r>
      <w:r w:rsidR="00E859D7">
        <w:t xml:space="preserve"> bring</w:t>
      </w:r>
      <w:r w:rsidR="007B5016" w:rsidRPr="00F15D27">
        <w:t xml:space="preserve"> them into secondary contact</w:t>
      </w:r>
      <w:r w:rsidR="007B5016">
        <w:t xml:space="preserve"> </w:t>
      </w:r>
      <w:r w:rsidR="00E859D7">
        <w:t xml:space="preserve">and provide an </w:t>
      </w:r>
      <w:r w:rsidR="007B5016" w:rsidRPr="007B5016">
        <w:t xml:space="preserve">opportunity for interbreeding </w:t>
      </w:r>
      <w:r w:rsidR="007B5016" w:rsidRPr="00E13CBC">
        <w:t>(</w:t>
      </w:r>
      <w:proofErr w:type="spellStart"/>
      <w:r w:rsidR="00FC72A1" w:rsidRPr="00E13CBC">
        <w:t>Rieseberg</w:t>
      </w:r>
      <w:proofErr w:type="spellEnd"/>
      <w:r w:rsidR="00FC72A1" w:rsidRPr="00E13CBC">
        <w:t xml:space="preserve"> et al. 2007</w:t>
      </w:r>
      <w:r w:rsidR="007B5016" w:rsidRPr="00E13CBC">
        <w:t xml:space="preserve">). </w:t>
      </w:r>
      <w:r>
        <w:t>The Golden-winged Warbler (</w:t>
      </w:r>
      <w:proofErr w:type="spellStart"/>
      <w:r w:rsidRPr="00E13CBC">
        <w:rPr>
          <w:i/>
        </w:rPr>
        <w:t>Vermivora</w:t>
      </w:r>
      <w:proofErr w:type="spellEnd"/>
      <w:r w:rsidRPr="00E13CBC">
        <w:rPr>
          <w:i/>
        </w:rPr>
        <w:t xml:space="preserve"> </w:t>
      </w:r>
      <w:proofErr w:type="spellStart"/>
      <w:r w:rsidRPr="00E13CBC">
        <w:rPr>
          <w:i/>
        </w:rPr>
        <w:t>chrystoptera</w:t>
      </w:r>
      <w:proofErr w:type="spellEnd"/>
      <w:r>
        <w:t xml:space="preserve">, hereafter GWWA) </w:t>
      </w:r>
      <w:r w:rsidR="002841B4">
        <w:t>and Blue-winged Warbler (</w:t>
      </w:r>
      <w:r w:rsidR="002841B4" w:rsidRPr="002841B4">
        <w:rPr>
          <w:i/>
        </w:rPr>
        <w:t xml:space="preserve">V. </w:t>
      </w:r>
      <w:proofErr w:type="spellStart"/>
      <w:r w:rsidR="002841B4" w:rsidRPr="002841B4">
        <w:rPr>
          <w:i/>
        </w:rPr>
        <w:t>cyanoptera</w:t>
      </w:r>
      <w:proofErr w:type="spellEnd"/>
      <w:r w:rsidR="002841B4">
        <w:t xml:space="preserve">, hereafter BWWA) hybridization complex </w:t>
      </w:r>
      <w:r>
        <w:t xml:space="preserve">is one of the best known examples. </w:t>
      </w:r>
      <w:r w:rsidR="00E859D7">
        <w:t xml:space="preserve">Geographic isolation resulted in separate evolutionary trajectories and speciation of GWWA and BWWA about three million years ago </w:t>
      </w:r>
      <w:r w:rsidR="00F002A9">
        <w:t>per</w:t>
      </w:r>
      <w:r w:rsidR="00E859D7">
        <w:t xml:space="preserve"> mitochondrial DNA (Gill 1</w:t>
      </w:r>
      <w:r w:rsidR="007F171C">
        <w:t>980,</w:t>
      </w:r>
      <w:r w:rsidR="00E859D7">
        <w:t xml:space="preserve"> </w:t>
      </w:r>
      <w:proofErr w:type="spellStart"/>
      <w:r w:rsidR="00E859D7">
        <w:t>Dabrowski</w:t>
      </w:r>
      <w:proofErr w:type="spellEnd"/>
      <w:r w:rsidR="00E859D7">
        <w:t xml:space="preserve"> et al. 2005)</w:t>
      </w:r>
      <w:r w:rsidR="00E859D7" w:rsidRPr="0098111E">
        <w:t xml:space="preserve"> </w:t>
      </w:r>
      <w:r w:rsidR="008C3977">
        <w:t xml:space="preserve">although a recent study shows the nuclear genome differs by only a few genomic regions (Toews et al. 2016). </w:t>
      </w:r>
      <w:r w:rsidR="00E859D7" w:rsidRPr="001D054B">
        <w:t>While</w:t>
      </w:r>
      <w:r w:rsidR="00E859D7">
        <w:t xml:space="preserve"> both species prefer early-successional habitat in the breeding range, GWWA were historically found at more northerly latitudes and higher altitudes than BWWA and large patches of contiguous forest prevented contact. However, over the last </w:t>
      </w:r>
      <w:r w:rsidR="00E859D7">
        <w:lastRenderedPageBreak/>
        <w:t xml:space="preserve">150 years in eastern North America, humans have cleared large expanses of forest for agriculture, which has resulted in allopatric populations of GWWA and BWWA becoming sympatric. In most cases, sympatry has resulted in hybridization and genetic introgression and follows a predictable pattern of localized GWWA extirpation within 50 years or less (Gill 1997, but see </w:t>
      </w:r>
      <w:r w:rsidR="00E859D7" w:rsidRPr="0057169A">
        <w:t xml:space="preserve">Confer </w:t>
      </w:r>
      <w:r w:rsidR="00E859D7" w:rsidRPr="0057169A">
        <w:rPr>
          <w:iCs/>
        </w:rPr>
        <w:t>et al.</w:t>
      </w:r>
      <w:r w:rsidR="00E859D7" w:rsidRPr="00D3174C">
        <w:rPr>
          <w:i/>
          <w:iCs/>
        </w:rPr>
        <w:t xml:space="preserve"> </w:t>
      </w:r>
      <w:r w:rsidR="00E859D7">
        <w:t xml:space="preserve">2010). Of additional concern, the rate of hybridization is increasing as the range of the BWWA continues to expand northward into areas previously dominated by GWWA (Gill 1980). The range expansions seen in both species have been attributed to habitat fragmentation/alteration but climate change may also be a factor (COSEWIC 2006). </w:t>
      </w:r>
      <w:r w:rsidR="00F002A9">
        <w:t>Because of</w:t>
      </w:r>
      <w:r w:rsidR="00E859D7">
        <w:t xml:space="preserve"> both habitat loss and genetic introgression, GWWA are one of the most rapidly declining songbirds in North America with declines greater than 3% per year over the last decade (Sauer </w:t>
      </w:r>
      <w:r w:rsidR="00E859D7" w:rsidRPr="007F171C">
        <w:rPr>
          <w:iCs/>
        </w:rPr>
        <w:t>et al.</w:t>
      </w:r>
      <w:r w:rsidR="00E859D7">
        <w:rPr>
          <w:i/>
          <w:iCs/>
        </w:rPr>
        <w:t xml:space="preserve"> </w:t>
      </w:r>
      <w:r w:rsidR="001E6404">
        <w:t>2014).</w:t>
      </w:r>
    </w:p>
    <w:p w:rsidR="00752007" w:rsidRPr="00160D3D" w:rsidRDefault="00EC0F82" w:rsidP="00160D3D">
      <w:pPr>
        <w:spacing w:line="480" w:lineRule="auto"/>
        <w:ind w:firstLine="720"/>
      </w:pPr>
      <w:r>
        <w:t xml:space="preserve">An exception to the typical hybridization </w:t>
      </w:r>
      <w:r w:rsidR="005D781B">
        <w:t xml:space="preserve">and replacement </w:t>
      </w:r>
      <w:r>
        <w:t xml:space="preserve">pattern has been observed in a New York population located in Sterling Forest State Park, where GWWA and BWWA have coexisted </w:t>
      </w:r>
      <w:r w:rsidR="00F002A9">
        <w:t xml:space="preserve">with limited hybridization </w:t>
      </w:r>
      <w:r>
        <w:t>for over 100 years (</w:t>
      </w:r>
      <w:r w:rsidRPr="00355193">
        <w:t xml:space="preserve">Confer </w:t>
      </w:r>
      <w:r w:rsidRPr="00355193">
        <w:rPr>
          <w:iCs/>
        </w:rPr>
        <w:t>and Larkin</w:t>
      </w:r>
      <w:r w:rsidR="007F171C">
        <w:t xml:space="preserve"> 1998,</w:t>
      </w:r>
      <w:r w:rsidR="00F002A9">
        <w:t xml:space="preserve"> Confer </w:t>
      </w:r>
      <w:r w:rsidR="00F002A9" w:rsidRPr="007F171C">
        <w:t>et al.</w:t>
      </w:r>
      <w:r w:rsidR="00F002A9">
        <w:t xml:space="preserve"> 2010). </w:t>
      </w:r>
      <w:r>
        <w:t xml:space="preserve">This successful coexistence appears to be related to differences in habitat selection, with BWWA exclusion from swamp forests used by GWWA (Confer </w:t>
      </w:r>
      <w:r w:rsidRPr="00D3174C">
        <w:rPr>
          <w:i/>
        </w:rPr>
        <w:t xml:space="preserve">et al. </w:t>
      </w:r>
      <w:r>
        <w:t>2010). These results suggest that a stable hybrid zone is being maintained by exogenous selection (</w:t>
      </w:r>
      <w:proofErr w:type="spellStart"/>
      <w:r>
        <w:t>Kruuk</w:t>
      </w:r>
      <w:proofErr w:type="spellEnd"/>
      <w:r>
        <w:t xml:space="preserve"> </w:t>
      </w:r>
      <w:r w:rsidRPr="007F171C">
        <w:t>et al.</w:t>
      </w:r>
      <w:r>
        <w:t xml:space="preserve"> 1999) and that potential refugia for GWWA occur where BWWA do not breed. Patton et al. (2010) also found local-scale differences in habitat use by the two species and </w:t>
      </w:r>
      <w:proofErr w:type="spellStart"/>
      <w:r>
        <w:t>Thogmartin</w:t>
      </w:r>
      <w:proofErr w:type="spellEnd"/>
      <w:r>
        <w:t xml:space="preserve"> (2010) found that GWWA avoid areas occupie</w:t>
      </w:r>
      <w:r w:rsidR="005D781B">
        <w:t xml:space="preserve">d by BWWA at a landscape scale. </w:t>
      </w:r>
      <w:r w:rsidR="00160D3D" w:rsidRPr="00A37E81">
        <w:rPr>
          <w:rFonts w:eastAsiaTheme="minorHAnsi"/>
          <w:kern w:val="0"/>
        </w:rPr>
        <w:t>Wood et al. (2016) found that GWWA prefer more highly structured patches embedded within large landscapes of contiguous forest with little fragmentation while BWWA prefer the opposite</w:t>
      </w:r>
      <w:r w:rsidR="00160D3D">
        <w:rPr>
          <w:rFonts w:eastAsiaTheme="minorHAnsi"/>
          <w:kern w:val="0"/>
        </w:rPr>
        <w:t>, and hybrids prefer an intermediate habitat</w:t>
      </w:r>
      <w:r w:rsidR="00160D3D" w:rsidRPr="00A37E81">
        <w:rPr>
          <w:rFonts w:eastAsiaTheme="minorHAnsi"/>
          <w:kern w:val="0"/>
        </w:rPr>
        <w:t xml:space="preserve">. </w:t>
      </w:r>
      <w:r w:rsidR="005D781B">
        <w:t xml:space="preserve">If habitat preferences can </w:t>
      </w:r>
      <w:r>
        <w:t xml:space="preserve">segregate hybrids or </w:t>
      </w:r>
      <w:proofErr w:type="spellStart"/>
      <w:r>
        <w:t>parentals</w:t>
      </w:r>
      <w:proofErr w:type="spellEnd"/>
      <w:r>
        <w:t xml:space="preserve"> by physically </w:t>
      </w:r>
      <w:r>
        <w:lastRenderedPageBreak/>
        <w:t>separating them or impacting mate selection, then this mechanism could potentially be used to predict the likely location for a hy</w:t>
      </w:r>
      <w:r w:rsidR="008C3977">
        <w:t xml:space="preserve">brid zone to occur, expand, </w:t>
      </w:r>
      <w:r>
        <w:t xml:space="preserve">or remain stable.  </w:t>
      </w:r>
      <w:r w:rsidR="00160D3D">
        <w:t xml:space="preserve">Indeed, </w:t>
      </w:r>
      <w:r w:rsidR="00160D3D">
        <w:rPr>
          <w:rFonts w:eastAsiaTheme="minorHAnsi"/>
          <w:kern w:val="0"/>
        </w:rPr>
        <w:t>t</w:t>
      </w:r>
      <w:r w:rsidR="00752007" w:rsidRPr="00A37E81">
        <w:rPr>
          <w:rFonts w:eastAsiaTheme="minorHAnsi"/>
          <w:kern w:val="0"/>
        </w:rPr>
        <w:t xml:space="preserve">he manipulation and/or preservation of habitat to benefit pure GWWA and exclude BWWA has been suggested as a conservation strategy for GWWA (Vallender et al. 2009, Roth et al. 2012). </w:t>
      </w:r>
      <w:r w:rsidR="00A37E81">
        <w:rPr>
          <w:rFonts w:eastAsiaTheme="minorHAnsi"/>
          <w:kern w:val="0"/>
        </w:rPr>
        <w:t xml:space="preserve">However, the presence of hybrids (both phenotypic and cryptic) could alter habitat preferences and impact the effect of habitat management that favors one species over the other if hybrids do indeed prefer an intermediate habitat type. </w:t>
      </w:r>
    </w:p>
    <w:p w:rsidR="00EC0F82" w:rsidRPr="00586EE6" w:rsidRDefault="00EC0F82" w:rsidP="00586EE6">
      <w:pPr>
        <w:spacing w:line="480" w:lineRule="auto"/>
        <w:ind w:firstLine="720"/>
      </w:pPr>
      <w:r>
        <w:rPr>
          <w:kern w:val="0"/>
        </w:rPr>
        <w:t xml:space="preserve">Presently, the only GWWA populations that remain allopatric to BWWA and without active BWWA x GWWA hybridization are found in Manitoba, northern Ontario, and the highest altitudes of the Appalachian Mountains (Vallender </w:t>
      </w:r>
      <w:r w:rsidRPr="007F171C">
        <w:rPr>
          <w:kern w:val="0"/>
        </w:rPr>
        <w:t>et al.</w:t>
      </w:r>
      <w:r>
        <w:rPr>
          <w:kern w:val="0"/>
        </w:rPr>
        <w:t xml:space="preserve"> 2009). Extensive research and monitoring has occurred in the Appalachian region for the last 20 years (Buehler </w:t>
      </w:r>
      <w:r w:rsidRPr="007F171C">
        <w:rPr>
          <w:kern w:val="0"/>
        </w:rPr>
        <w:t>et al.</w:t>
      </w:r>
      <w:r>
        <w:rPr>
          <w:kern w:val="0"/>
        </w:rPr>
        <w:t xml:space="preserve"> 2007), but little is known about the status of introgression within Manitoba. </w:t>
      </w:r>
      <w:r>
        <w:t>Because it is at the northwestern range extent</w:t>
      </w:r>
      <w:r w:rsidR="008C3977" w:rsidRPr="008C3977">
        <w:t xml:space="preserve"> </w:t>
      </w:r>
      <w:r w:rsidR="008C3977">
        <w:t>and BWWA have yet to expand their range here</w:t>
      </w:r>
      <w:r>
        <w:t xml:space="preserve">, Manitoba </w:t>
      </w:r>
      <w:r w:rsidRPr="006B1E53">
        <w:t xml:space="preserve">provides a unique opportunity to study the population </w:t>
      </w:r>
      <w:r>
        <w:t>before and during the</w:t>
      </w:r>
      <w:r w:rsidRPr="006B1E53">
        <w:t xml:space="preserve"> initiation of genetic introgression. </w:t>
      </w:r>
      <w:r>
        <w:t xml:space="preserve">Our study aimed to document </w:t>
      </w:r>
      <w:r w:rsidRPr="0095420E">
        <w:rPr>
          <w:color w:val="000000"/>
        </w:rPr>
        <w:t xml:space="preserve">the present level of genetic introgression in the </w:t>
      </w:r>
      <w:r w:rsidR="0002225F">
        <w:rPr>
          <w:color w:val="000000"/>
        </w:rPr>
        <w:t>southeast</w:t>
      </w:r>
      <w:r w:rsidRPr="0095420E">
        <w:rPr>
          <w:color w:val="000000"/>
        </w:rPr>
        <w:t xml:space="preserve"> Manitoba population of GWWA and the rate at which introgression </w:t>
      </w:r>
      <w:r>
        <w:rPr>
          <w:color w:val="000000"/>
        </w:rPr>
        <w:t>is</w:t>
      </w:r>
      <w:r w:rsidRPr="0095420E">
        <w:rPr>
          <w:color w:val="000000"/>
        </w:rPr>
        <w:t xml:space="preserve"> occurring</w:t>
      </w:r>
      <w:r>
        <w:rPr>
          <w:color w:val="000000"/>
        </w:rPr>
        <w:t>, if at all</w:t>
      </w:r>
      <w:r w:rsidRPr="0095420E">
        <w:rPr>
          <w:color w:val="000000"/>
        </w:rPr>
        <w:t>.</w:t>
      </w:r>
      <w:r>
        <w:rPr>
          <w:color w:val="000000"/>
        </w:rPr>
        <w:t xml:space="preserve"> </w:t>
      </w:r>
      <w:r>
        <w:t xml:space="preserve">Additionally, we examined habitat use by hybrids (both phenotypic and cryptic) compared to </w:t>
      </w:r>
      <w:proofErr w:type="spellStart"/>
      <w:r>
        <w:t>parentals</w:t>
      </w:r>
      <w:proofErr w:type="spellEnd"/>
      <w:r>
        <w:t xml:space="preserve">. In the absence of </w:t>
      </w:r>
      <w:r w:rsidR="00A37E81">
        <w:t>BWWA</w:t>
      </w:r>
      <w:r>
        <w:t xml:space="preserve">, we expected to see low levels of introgression maintained each year. </w:t>
      </w:r>
      <w:r w:rsidR="006D392C">
        <w:t xml:space="preserve">We also did not expect to see significant differences in habitat use by hybrids compared to </w:t>
      </w:r>
      <w:proofErr w:type="spellStart"/>
      <w:r w:rsidR="006D392C">
        <w:t>parentals</w:t>
      </w:r>
      <w:proofErr w:type="spellEnd"/>
      <w:r w:rsidR="006D392C">
        <w:t xml:space="preserve"> simply due to the low expected number of hybrids and need to stay in habitats where they could successfully breed with GWWA. </w:t>
      </w:r>
      <w:r>
        <w:rPr>
          <w:color w:val="000000"/>
        </w:rPr>
        <w:t>While Manitoba is currentl</w:t>
      </w:r>
      <w:r w:rsidR="0002225F">
        <w:rPr>
          <w:color w:val="000000"/>
        </w:rPr>
        <w:t xml:space="preserve">y outside the range of the BWWA, </w:t>
      </w:r>
      <w:r>
        <w:rPr>
          <w:color w:val="000000"/>
        </w:rPr>
        <w:t>further range expansions are likely inevitable (</w:t>
      </w:r>
      <w:r w:rsidRPr="0057169A">
        <w:rPr>
          <w:color w:val="000000"/>
        </w:rPr>
        <w:t xml:space="preserve">Buehler </w:t>
      </w:r>
      <w:r w:rsidRPr="0057169A">
        <w:rPr>
          <w:iCs/>
          <w:color w:val="000000"/>
        </w:rPr>
        <w:t>et al.</w:t>
      </w:r>
      <w:r>
        <w:rPr>
          <w:i/>
          <w:iCs/>
          <w:color w:val="000000"/>
        </w:rPr>
        <w:t xml:space="preserve"> </w:t>
      </w:r>
      <w:r>
        <w:rPr>
          <w:color w:val="000000"/>
        </w:rPr>
        <w:t xml:space="preserve">2007). Conserving and managing habitat refugia or stable hybrid zones for GWWA may be the best </w:t>
      </w:r>
      <w:r>
        <w:rPr>
          <w:color w:val="000000"/>
        </w:rPr>
        <w:lastRenderedPageBreak/>
        <w:t xml:space="preserve">chance for the continued survival of the species. </w:t>
      </w:r>
    </w:p>
    <w:p w:rsidR="000F3890" w:rsidRDefault="000F3890" w:rsidP="000F3890">
      <w:pPr>
        <w:spacing w:line="480" w:lineRule="auto"/>
        <w:ind w:firstLine="720"/>
      </w:pPr>
    </w:p>
    <w:p w:rsidR="000F3890" w:rsidRPr="00A47E87" w:rsidRDefault="000F3890" w:rsidP="000F3890">
      <w:pPr>
        <w:spacing w:line="480" w:lineRule="auto"/>
        <w:rPr>
          <w:b/>
        </w:rPr>
      </w:pPr>
      <w:r>
        <w:rPr>
          <w:b/>
        </w:rPr>
        <w:t>Methods</w:t>
      </w:r>
    </w:p>
    <w:p w:rsidR="000F3890" w:rsidRPr="00355C77" w:rsidRDefault="000F3890" w:rsidP="000F3890">
      <w:pPr>
        <w:spacing w:line="480" w:lineRule="auto"/>
        <w:rPr>
          <w:i/>
        </w:rPr>
      </w:pPr>
      <w:r w:rsidRPr="00355C77">
        <w:rPr>
          <w:i/>
        </w:rPr>
        <w:t>Field methods</w:t>
      </w:r>
    </w:p>
    <w:p w:rsidR="000F3890" w:rsidRDefault="000F3890" w:rsidP="000F3890">
      <w:pPr>
        <w:spacing w:line="480" w:lineRule="auto"/>
        <w:ind w:firstLine="720"/>
      </w:pPr>
      <w:r>
        <w:t xml:space="preserve">We established eight study sites in Southeast Manitoba (49˚ 46’ N, 96˚ 29’ W) to represent a variety of habitat types used by GWWA within both fragmented and contiguous forests (Figure 1). The four fragmented sites occur in an area with active resource extraction, especially of </w:t>
      </w:r>
      <w:r w:rsidR="008C3977">
        <w:t xml:space="preserve">gravel </w:t>
      </w:r>
      <w:r>
        <w:t xml:space="preserve">aggregate. The contiguous forest sites occur within Sandilands provincial forest. Early seral forests in Sandilands either occur naturally as a result of hydrology or are regenerating after being logged. All study sites were dominated by trembling </w:t>
      </w:r>
      <w:r w:rsidRPr="00982D84">
        <w:t>aspen (</w:t>
      </w:r>
      <w:proofErr w:type="spellStart"/>
      <w:r w:rsidRPr="00982D84">
        <w:rPr>
          <w:i/>
        </w:rPr>
        <w:t>Populus</w:t>
      </w:r>
      <w:proofErr w:type="spellEnd"/>
      <w:r w:rsidRPr="00982D84">
        <w:rPr>
          <w:i/>
        </w:rPr>
        <w:t xml:space="preserve"> </w:t>
      </w:r>
      <w:proofErr w:type="spellStart"/>
      <w:r w:rsidRPr="00982D84">
        <w:rPr>
          <w:i/>
        </w:rPr>
        <w:t>tremuloides</w:t>
      </w:r>
      <w:proofErr w:type="spellEnd"/>
      <w:r w:rsidRPr="00982D84">
        <w:t xml:space="preserve">), </w:t>
      </w:r>
      <w:r>
        <w:t>balsam poplar (</w:t>
      </w:r>
      <w:r>
        <w:rPr>
          <w:i/>
        </w:rPr>
        <w:t>P.</w:t>
      </w:r>
      <w:r w:rsidRPr="00E23175">
        <w:rPr>
          <w:i/>
        </w:rPr>
        <w:t xml:space="preserve"> balsamifera</w:t>
      </w:r>
      <w:r>
        <w:t>), paper birch (</w:t>
      </w:r>
      <w:proofErr w:type="spellStart"/>
      <w:r w:rsidRPr="00E23175">
        <w:rPr>
          <w:i/>
        </w:rPr>
        <w:t>Betula</w:t>
      </w:r>
      <w:proofErr w:type="spellEnd"/>
      <w:r w:rsidRPr="00E23175">
        <w:rPr>
          <w:i/>
        </w:rPr>
        <w:t xml:space="preserve"> </w:t>
      </w:r>
      <w:proofErr w:type="spellStart"/>
      <w:r w:rsidRPr="00E23175">
        <w:rPr>
          <w:i/>
        </w:rPr>
        <w:t>papyrifera</w:t>
      </w:r>
      <w:proofErr w:type="spellEnd"/>
      <w:r>
        <w:t xml:space="preserve">), and/or </w:t>
      </w:r>
      <w:r w:rsidRPr="00982D84">
        <w:t>bur oak</w:t>
      </w:r>
      <w:r>
        <w:t xml:space="preserve"> (</w:t>
      </w:r>
      <w:proofErr w:type="spellStart"/>
      <w:r w:rsidRPr="00E23175">
        <w:rPr>
          <w:i/>
        </w:rPr>
        <w:t>Quercus</w:t>
      </w:r>
      <w:proofErr w:type="spellEnd"/>
      <w:r w:rsidRPr="00E23175">
        <w:rPr>
          <w:i/>
        </w:rPr>
        <w:t xml:space="preserve"> </w:t>
      </w:r>
      <w:proofErr w:type="spellStart"/>
      <w:r w:rsidRPr="00E23175">
        <w:rPr>
          <w:i/>
        </w:rPr>
        <w:t>macrocarpus</w:t>
      </w:r>
      <w:proofErr w:type="spellEnd"/>
      <w:r>
        <w:t>)</w:t>
      </w:r>
      <w:r w:rsidRPr="00982D84">
        <w:t>.</w:t>
      </w:r>
      <w:r>
        <w:t xml:space="preserve"> </w:t>
      </w:r>
    </w:p>
    <w:p w:rsidR="000F3890" w:rsidRDefault="001E6404" w:rsidP="000F3890">
      <w:pPr>
        <w:spacing w:line="480" w:lineRule="auto"/>
        <w:ind w:firstLine="720"/>
      </w:pPr>
      <w:r>
        <w:t>We captured &gt;90% of</w:t>
      </w:r>
      <w:r w:rsidR="000F3890">
        <w:t xml:space="preserve"> breeding male and</w:t>
      </w:r>
      <w:r>
        <w:t xml:space="preserve"> &gt;50% of</w:t>
      </w:r>
      <w:r w:rsidR="000F3890">
        <w:t xml:space="preserve"> </w:t>
      </w:r>
      <w:r>
        <w:t xml:space="preserve">breeding </w:t>
      </w:r>
      <w:r w:rsidR="000F3890">
        <w:t xml:space="preserve">female GWWA at each </w:t>
      </w:r>
      <w:r>
        <w:t>site</w:t>
      </w:r>
      <w:r w:rsidR="000F3890">
        <w:t xml:space="preserve"> from May 15 – July 15, 2011-2014. We target mist-netted territorial males using conspecific playback. We captured females by locating the nest</w:t>
      </w:r>
      <w:r w:rsidR="00E31AA5">
        <w:t xml:space="preserve"> and mist-netted nearby</w:t>
      </w:r>
      <w:r w:rsidR="000F3890">
        <w:t xml:space="preserve"> as they returned to the nest. We banded all birds with a Canadian Wildlife Service silver band and three unique color-bands to distinguish individuals. We aged birds as second-year (SY) or after second year (ASY) based on plumage characteristic and feather wear (Pyle 1997). A single rectrix feather (R1) was collected from each bird and stored at room temperature until DNA was extracted.</w:t>
      </w:r>
    </w:p>
    <w:p w:rsidR="000F3890" w:rsidRPr="00355C77" w:rsidRDefault="000F3890" w:rsidP="000F3890">
      <w:pPr>
        <w:spacing w:line="480" w:lineRule="auto"/>
        <w:ind w:firstLine="720"/>
        <w:rPr>
          <w:rFonts w:eastAsiaTheme="minorHAnsi"/>
          <w:i/>
          <w:kern w:val="0"/>
        </w:rPr>
      </w:pPr>
      <w:r>
        <w:t>We monitored banded birds a minimum of every other day</w:t>
      </w:r>
      <w:r w:rsidR="00E31AA5">
        <w:t xml:space="preserve"> from May 15 – July 15</w:t>
      </w:r>
      <w:r>
        <w:t xml:space="preserve">. To define territory boundaries, we took a minimum of 30 GPS points per </w:t>
      </w:r>
      <w:r w:rsidR="00E31AA5">
        <w:t>singing male</w:t>
      </w:r>
      <w:r>
        <w:t xml:space="preserve">. We sampled territory-level vegetation characteristics previously found to be indicators of habitat suitability for both GWWA and BWWA (Confer </w:t>
      </w:r>
      <w:r w:rsidR="00927B2C">
        <w:t>et al.</w:t>
      </w:r>
      <w:r w:rsidRPr="0021119E">
        <w:t xml:space="preserve"> 2010, Patton </w:t>
      </w:r>
      <w:r w:rsidR="00927B2C">
        <w:t>et al.</w:t>
      </w:r>
      <w:r>
        <w:t xml:space="preserve"> 2010) at 10 random points within </w:t>
      </w:r>
      <w:r>
        <w:lastRenderedPageBreak/>
        <w:t>each territory. Within a 5-m radius circle of each random point, we measured the percent of woody, shrub and herbaceous vegetation, the average canopy height (m), and the perc</w:t>
      </w:r>
      <w:r w:rsidR="00E31AA5">
        <w:t>ent canopy cover. W</w:t>
      </w:r>
      <w:r>
        <w:t xml:space="preserve">e </w:t>
      </w:r>
      <w:r w:rsidR="00E31AA5">
        <w:t xml:space="preserve">also </w:t>
      </w:r>
      <w:r>
        <w:t xml:space="preserve">measured the distance to the nearest forested </w:t>
      </w:r>
      <w:r w:rsidR="00B51CFF">
        <w:t>and nearest anthropogenic edge (m)</w:t>
      </w:r>
      <w:r>
        <w:t xml:space="preserve">. To examine landscape-level variables, we used land cover classification data from GIS layers supplied by the Manitoba Land Initiative (MLI 2015). These data include 18 distinct land cover classes that we </w:t>
      </w:r>
      <w:r w:rsidR="00B51CFF">
        <w:t>simplified</w:t>
      </w:r>
      <w:r>
        <w:t xml:space="preserve"> into anthropogenic and forested land-use types. We overlaid the territory polygons onto the land use layer and used analysis tools in ArcMap 10.2 (ESRI 2014) to create a 1000 m buffer around each territory. Within the buffers, we measured the percent anthropogenic (representing the percent non-forested), forest edge density (m/ha), and anthropogenic edge density (m/ha). </w:t>
      </w:r>
    </w:p>
    <w:p w:rsidR="000F3890" w:rsidRDefault="000F3890" w:rsidP="000F3890">
      <w:pPr>
        <w:widowControl/>
        <w:overflowPunct/>
        <w:autoSpaceDE w:val="0"/>
        <w:autoSpaceDN w:val="0"/>
        <w:spacing w:line="480" w:lineRule="auto"/>
        <w:rPr>
          <w:rFonts w:eastAsiaTheme="minorHAnsi"/>
          <w:i/>
          <w:kern w:val="0"/>
        </w:rPr>
      </w:pPr>
    </w:p>
    <w:p w:rsidR="000F3890" w:rsidRPr="00EC5686" w:rsidRDefault="000F3890" w:rsidP="000F3890">
      <w:pPr>
        <w:widowControl/>
        <w:overflowPunct/>
        <w:autoSpaceDE w:val="0"/>
        <w:autoSpaceDN w:val="0"/>
        <w:spacing w:line="480" w:lineRule="auto"/>
        <w:rPr>
          <w:rFonts w:eastAsiaTheme="minorHAnsi"/>
          <w:i/>
          <w:kern w:val="0"/>
        </w:rPr>
      </w:pPr>
      <w:r w:rsidRPr="00EC5686">
        <w:rPr>
          <w:rFonts w:eastAsiaTheme="minorHAnsi"/>
          <w:i/>
          <w:kern w:val="0"/>
        </w:rPr>
        <w:t>Lab methods</w:t>
      </w:r>
    </w:p>
    <w:p w:rsidR="000F3890" w:rsidRDefault="000F3890" w:rsidP="000F3890">
      <w:pPr>
        <w:widowControl/>
        <w:overflowPunct/>
        <w:autoSpaceDE w:val="0"/>
        <w:autoSpaceDN w:val="0"/>
        <w:spacing w:line="480" w:lineRule="auto"/>
        <w:ind w:firstLine="720"/>
        <w:rPr>
          <w:rFonts w:eastAsiaTheme="minorHAnsi"/>
          <w:kern w:val="0"/>
        </w:rPr>
      </w:pPr>
      <w:r>
        <w:rPr>
          <w:rFonts w:eastAsiaTheme="minorHAnsi"/>
          <w:kern w:val="0"/>
        </w:rPr>
        <w:t>We screened 205 feather samples (28 in 2011, 66 in 2012, 66 in</w:t>
      </w:r>
      <w:r w:rsidR="001E6404">
        <w:rPr>
          <w:rFonts w:eastAsiaTheme="minorHAnsi"/>
          <w:kern w:val="0"/>
        </w:rPr>
        <w:t xml:space="preserve"> 2013, and 45 in 2014) from </w:t>
      </w:r>
      <w:r>
        <w:rPr>
          <w:rFonts w:eastAsiaTheme="minorHAnsi"/>
          <w:kern w:val="0"/>
        </w:rPr>
        <w:t xml:space="preserve">eight study sites.  </w:t>
      </w:r>
      <w:r>
        <w:t>We extracted DNA from feathers using a homemade DNA extraction kit (</w:t>
      </w:r>
      <w:r w:rsidRPr="0021119E">
        <w:t xml:space="preserve">Ivanova </w:t>
      </w:r>
      <w:r w:rsidR="00927B2C">
        <w:t>et al.</w:t>
      </w:r>
      <w:r>
        <w:t xml:space="preserve"> 2006). GWWA and BWWA mitochondrial DNA (</w:t>
      </w:r>
      <w:proofErr w:type="spellStart"/>
      <w:r>
        <w:t>mtDNA</w:t>
      </w:r>
      <w:proofErr w:type="spellEnd"/>
      <w:r>
        <w:t xml:space="preserve">) have a 4.2 – 4.9% nucleotide divergence at the NDII gene </w:t>
      </w:r>
      <w:r>
        <w:rPr>
          <w:color w:val="231F20"/>
          <w:lang w:bidi="he-IL"/>
        </w:rPr>
        <w:t>(</w:t>
      </w:r>
      <w:proofErr w:type="spellStart"/>
      <w:r>
        <w:rPr>
          <w:color w:val="231F20"/>
          <w:lang w:bidi="he-IL"/>
        </w:rPr>
        <w:t>Dabrowski</w:t>
      </w:r>
      <w:proofErr w:type="spellEnd"/>
      <w:r>
        <w:rPr>
          <w:color w:val="231F20"/>
          <w:lang w:bidi="he-IL"/>
        </w:rPr>
        <w:t xml:space="preserve"> </w:t>
      </w:r>
      <w:r w:rsidR="00927B2C">
        <w:rPr>
          <w:iCs/>
          <w:color w:val="231F20"/>
          <w:lang w:bidi="he-IL"/>
        </w:rPr>
        <w:t>et al.</w:t>
      </w:r>
      <w:r w:rsidRPr="0021119E">
        <w:rPr>
          <w:color w:val="231F20"/>
          <w:lang w:bidi="he-IL"/>
        </w:rPr>
        <w:t xml:space="preserve"> 2005</w:t>
      </w:r>
      <w:r>
        <w:rPr>
          <w:color w:val="231F20"/>
          <w:lang w:bidi="he-IL"/>
        </w:rPr>
        <w:t xml:space="preserve">) that can be used to determine the ancestral maternal lineage of an individual. Vallender </w:t>
      </w:r>
      <w:r w:rsidR="00927B2C">
        <w:rPr>
          <w:color w:val="231F20"/>
          <w:lang w:bidi="he-IL"/>
        </w:rPr>
        <w:t>et al.</w:t>
      </w:r>
      <w:r w:rsidR="0057169A">
        <w:rPr>
          <w:color w:val="231F20"/>
          <w:lang w:bidi="he-IL"/>
        </w:rPr>
        <w:t xml:space="preserve"> </w:t>
      </w:r>
      <w:r>
        <w:rPr>
          <w:color w:val="231F20"/>
          <w:lang w:bidi="he-IL"/>
        </w:rPr>
        <w:t>(2009) discovered a single nucleotide polymorphism (SNP) at position 277 and 279 relative to the Zebra Finch NDII gene (</w:t>
      </w:r>
      <w:proofErr w:type="spellStart"/>
      <w:r>
        <w:rPr>
          <w:lang w:bidi="he-IL"/>
        </w:rPr>
        <w:t>Stapley</w:t>
      </w:r>
      <w:proofErr w:type="spellEnd"/>
      <w:r>
        <w:rPr>
          <w:lang w:bidi="he-IL"/>
        </w:rPr>
        <w:t xml:space="preserve"> </w:t>
      </w:r>
      <w:r w:rsidR="00927B2C">
        <w:rPr>
          <w:iCs/>
          <w:lang w:bidi="he-IL"/>
        </w:rPr>
        <w:t>et al.</w:t>
      </w:r>
      <w:r>
        <w:rPr>
          <w:lang w:bidi="he-IL"/>
        </w:rPr>
        <w:t xml:space="preserve"> 2008; GenBank reference #DQ422742) at which the GWWA variant (GCAT) differs from the BWWA variant (ACGT).  The BWWA variant is cut by the restriction enzyme </w:t>
      </w:r>
      <w:proofErr w:type="spellStart"/>
      <w:r>
        <w:rPr>
          <w:lang w:bidi="he-IL"/>
        </w:rPr>
        <w:t>MaeII</w:t>
      </w:r>
      <w:proofErr w:type="spellEnd"/>
      <w:r>
        <w:rPr>
          <w:lang w:bidi="he-IL"/>
        </w:rPr>
        <w:t xml:space="preserve"> (</w:t>
      </w:r>
      <w:proofErr w:type="spellStart"/>
      <w:r>
        <w:rPr>
          <w:lang w:bidi="he-IL"/>
        </w:rPr>
        <w:t>HpyCHIV</w:t>
      </w:r>
      <w:proofErr w:type="spellEnd"/>
      <w:r>
        <w:rPr>
          <w:lang w:bidi="he-IL"/>
        </w:rPr>
        <w:t xml:space="preserve">; New England Biolaboratories) while the GWWA variant remains intact. </w:t>
      </w:r>
      <w:r w:rsidR="006D392C">
        <w:rPr>
          <w:lang w:bidi="he-IL"/>
        </w:rPr>
        <w:t xml:space="preserve">We screened </w:t>
      </w:r>
      <w:proofErr w:type="spellStart"/>
      <w:r w:rsidR="006D392C">
        <w:rPr>
          <w:lang w:bidi="he-IL"/>
        </w:rPr>
        <w:t>mtDNA</w:t>
      </w:r>
      <w:proofErr w:type="spellEnd"/>
      <w:r w:rsidR="006D392C">
        <w:rPr>
          <w:lang w:bidi="he-IL"/>
        </w:rPr>
        <w:t xml:space="preserve"> as described in </w:t>
      </w:r>
      <w:r>
        <w:rPr>
          <w:lang w:bidi="he-IL"/>
        </w:rPr>
        <w:t xml:space="preserve">Vallender </w:t>
      </w:r>
      <w:r w:rsidR="00927B2C">
        <w:rPr>
          <w:lang w:bidi="he-IL"/>
        </w:rPr>
        <w:t>et al.</w:t>
      </w:r>
      <w:r>
        <w:rPr>
          <w:lang w:bidi="he-IL"/>
        </w:rPr>
        <w:t xml:space="preserve"> (2009)</w:t>
      </w:r>
      <w:r w:rsidR="006D392C">
        <w:rPr>
          <w:lang w:bidi="he-IL"/>
        </w:rPr>
        <w:t>.</w:t>
      </w:r>
      <w:r>
        <w:rPr>
          <w:lang w:bidi="he-IL"/>
        </w:rPr>
        <w:t xml:space="preserve"> </w:t>
      </w:r>
    </w:p>
    <w:p w:rsidR="000F3890" w:rsidRDefault="000F3890" w:rsidP="000F3890">
      <w:pPr>
        <w:widowControl/>
        <w:overflowPunct/>
        <w:autoSpaceDE w:val="0"/>
        <w:autoSpaceDN w:val="0"/>
        <w:spacing w:line="480" w:lineRule="auto"/>
        <w:rPr>
          <w:color w:val="FF0000"/>
          <w:lang w:bidi="he-IL"/>
        </w:rPr>
      </w:pPr>
    </w:p>
    <w:p w:rsidR="000F3890" w:rsidRDefault="000F3890" w:rsidP="000F3890">
      <w:pPr>
        <w:widowControl/>
        <w:overflowPunct/>
        <w:autoSpaceDE w:val="0"/>
        <w:autoSpaceDN w:val="0"/>
        <w:spacing w:line="480" w:lineRule="auto"/>
        <w:rPr>
          <w:rFonts w:eastAsiaTheme="minorHAnsi"/>
          <w:i/>
          <w:kern w:val="0"/>
        </w:rPr>
      </w:pPr>
      <w:r w:rsidRPr="00AA391C">
        <w:rPr>
          <w:rFonts w:eastAsiaTheme="minorHAnsi"/>
          <w:i/>
          <w:kern w:val="0"/>
        </w:rPr>
        <w:lastRenderedPageBreak/>
        <w:t>Analysis methods</w:t>
      </w:r>
    </w:p>
    <w:p w:rsidR="000F3890" w:rsidRPr="00937F05" w:rsidRDefault="000E790E" w:rsidP="000F3890">
      <w:pPr>
        <w:spacing w:line="480" w:lineRule="auto"/>
        <w:ind w:firstLine="720"/>
        <w:rPr>
          <w:rFonts w:eastAsiaTheme="minorHAnsi"/>
          <w:kern w:val="0"/>
        </w:rPr>
      </w:pPr>
      <w:r>
        <w:rPr>
          <w:rFonts w:eastAsiaTheme="minorHAnsi"/>
          <w:kern w:val="0"/>
        </w:rPr>
        <w:t>All</w:t>
      </w:r>
      <w:r w:rsidR="000F3890">
        <w:rPr>
          <w:rFonts w:eastAsiaTheme="minorHAnsi"/>
          <w:kern w:val="0"/>
        </w:rPr>
        <w:t xml:space="preserve"> the hybrids we discovered were present in 2012</w:t>
      </w:r>
      <w:r w:rsidR="00B51CFF">
        <w:rPr>
          <w:rFonts w:eastAsiaTheme="minorHAnsi"/>
          <w:kern w:val="0"/>
        </w:rPr>
        <w:t xml:space="preserve">; </w:t>
      </w:r>
      <w:r w:rsidR="000F3890">
        <w:rPr>
          <w:rFonts w:eastAsiaTheme="minorHAnsi"/>
          <w:kern w:val="0"/>
        </w:rPr>
        <w:t xml:space="preserve">therefore, we compared habitat use of hybrids and pure GWWA within this year only. </w:t>
      </w:r>
      <w:r w:rsidR="000F3890">
        <w:t xml:space="preserve">We used an information theoretic approach (Burnham and Anderson 2002) to determine support for four </w:t>
      </w:r>
      <w:r w:rsidR="000F3890" w:rsidRPr="00E3274A">
        <w:rPr>
          <w:i/>
          <w:iCs/>
        </w:rPr>
        <w:t>a priori</w:t>
      </w:r>
      <w:r w:rsidR="000F3890">
        <w:t xml:space="preserve"> candidate models that allowed us to evaluate whether habitat selection at different spatial scales was influenced by hybrid status</w:t>
      </w:r>
      <w:r w:rsidR="000F3890" w:rsidRPr="00A42E86">
        <w:t>.</w:t>
      </w:r>
      <w:r w:rsidR="000F3890">
        <w:t xml:space="preserve"> Our set of </w:t>
      </w:r>
      <w:r w:rsidR="000F3890" w:rsidRPr="00864350">
        <w:rPr>
          <w:i/>
        </w:rPr>
        <w:t>a priori</w:t>
      </w:r>
      <w:r w:rsidR="000F3890">
        <w:t xml:space="preserve"> candidate models included a la</w:t>
      </w:r>
      <w:r>
        <w:t>ndscape model that included</w:t>
      </w:r>
      <w:r w:rsidR="000F3890">
        <w:t xml:space="preserve"> landscape-level variables; a te</w:t>
      </w:r>
      <w:r>
        <w:t>rritory model that included</w:t>
      </w:r>
      <w:r w:rsidR="000F3890">
        <w:t xml:space="preserve"> territory-level variables; a global model including both landscape- and territory-level variables; and a null model with only an intercept. </w:t>
      </w:r>
    </w:p>
    <w:p w:rsidR="000F3890" w:rsidRPr="00F932B8" w:rsidRDefault="000F3890" w:rsidP="000F3890">
      <w:pPr>
        <w:spacing w:line="480" w:lineRule="auto"/>
        <w:ind w:firstLine="720"/>
      </w:pPr>
      <w:r>
        <w:t xml:space="preserve"> All models were fit using generalized linear models (GLMs) in PROC GENMOD (SAS 2014). The response variable, hybrid status, was fit using a binomial distribution with a logit link function. We evaluated the goodness of fit and model assumptions of each global model using the deviance/df as well as by visually examining the residuals (</w:t>
      </w:r>
      <w:proofErr w:type="spellStart"/>
      <w:r w:rsidRPr="004016E7">
        <w:rPr>
          <w:rStyle w:val="cite"/>
        </w:rPr>
        <w:t>McCullagh</w:t>
      </w:r>
      <w:proofErr w:type="spellEnd"/>
      <w:r w:rsidRPr="004016E7">
        <w:rPr>
          <w:rStyle w:val="cite"/>
        </w:rPr>
        <w:t xml:space="preserve"> and </w:t>
      </w:r>
      <w:proofErr w:type="spellStart"/>
      <w:r w:rsidRPr="004016E7">
        <w:rPr>
          <w:rStyle w:val="cite"/>
        </w:rPr>
        <w:t>Nelder</w:t>
      </w:r>
      <w:proofErr w:type="spellEnd"/>
      <w:r w:rsidRPr="004016E7">
        <w:rPr>
          <w:rStyle w:val="cite"/>
        </w:rPr>
        <w:t xml:space="preserve"> 1989</w:t>
      </w:r>
      <w:r>
        <w:rPr>
          <w:rStyle w:val="cite"/>
        </w:rPr>
        <w:t>).</w:t>
      </w:r>
      <w:r>
        <w:t xml:space="preserve"> We used Akaike’s Second-Order Information Criterion (</w:t>
      </w:r>
      <w:proofErr w:type="spellStart"/>
      <w:r>
        <w:t>AIC</w:t>
      </w:r>
      <w:r w:rsidRPr="0067293A">
        <w:rPr>
          <w:i/>
          <w:iCs/>
          <w:vertAlign w:val="subscript"/>
        </w:rPr>
        <w:t>c</w:t>
      </w:r>
      <w:proofErr w:type="spellEnd"/>
      <w:r>
        <w:t xml:space="preserve">) to rank models from the most to the least supported </w:t>
      </w:r>
      <w:r w:rsidRPr="00823C68">
        <w:t>(Burnham and Anderson 2002).</w:t>
      </w:r>
    </w:p>
    <w:p w:rsidR="000F3890" w:rsidRDefault="000F3890" w:rsidP="000F3890">
      <w:pPr>
        <w:widowControl/>
        <w:overflowPunct/>
        <w:autoSpaceDE w:val="0"/>
        <w:autoSpaceDN w:val="0"/>
        <w:spacing w:line="480" w:lineRule="auto"/>
        <w:rPr>
          <w:rFonts w:eastAsiaTheme="minorHAnsi"/>
          <w:kern w:val="0"/>
        </w:rPr>
      </w:pPr>
    </w:p>
    <w:p w:rsidR="000F3890" w:rsidRDefault="000F3890" w:rsidP="000F3890">
      <w:pPr>
        <w:widowControl/>
        <w:overflowPunct/>
        <w:autoSpaceDE w:val="0"/>
        <w:autoSpaceDN w:val="0"/>
        <w:spacing w:line="480" w:lineRule="auto"/>
        <w:rPr>
          <w:rFonts w:eastAsiaTheme="minorHAnsi"/>
          <w:b/>
          <w:kern w:val="0"/>
        </w:rPr>
      </w:pPr>
      <w:r w:rsidRPr="004A347D">
        <w:rPr>
          <w:rFonts w:eastAsiaTheme="minorHAnsi"/>
          <w:b/>
          <w:kern w:val="0"/>
        </w:rPr>
        <w:t>Results</w:t>
      </w:r>
    </w:p>
    <w:p w:rsidR="000F3890" w:rsidRDefault="000F3890" w:rsidP="000F3890">
      <w:pPr>
        <w:widowControl/>
        <w:overflowPunct/>
        <w:autoSpaceDE w:val="0"/>
        <w:autoSpaceDN w:val="0"/>
        <w:spacing w:line="480" w:lineRule="auto"/>
        <w:rPr>
          <w:rFonts w:eastAsiaTheme="minorHAnsi"/>
          <w:kern w:val="0"/>
        </w:rPr>
      </w:pPr>
      <w:r>
        <w:rPr>
          <w:rFonts w:eastAsiaTheme="minorHAnsi"/>
          <w:b/>
          <w:kern w:val="0"/>
        </w:rPr>
        <w:tab/>
      </w:r>
      <w:r>
        <w:rPr>
          <w:rFonts w:eastAsiaTheme="minorHAnsi"/>
          <w:kern w:val="0"/>
        </w:rPr>
        <w:t xml:space="preserve">We captured and sampled 205 GWWA and hybrids from 2011-2014 in SE Manitoba. Of these 205 birds, 10 (4.9%) were hybrids (Table 1). Two birds showed phenotypic signs of genetic introgression and fit the stereotypical phenotype of the BRWA (Parkes 1951). Genetic screening revealed both of the BRWAs to have GWWA </w:t>
      </w:r>
      <w:proofErr w:type="spellStart"/>
      <w:r>
        <w:rPr>
          <w:rFonts w:eastAsiaTheme="minorHAnsi"/>
          <w:kern w:val="0"/>
        </w:rPr>
        <w:t>mtDNA</w:t>
      </w:r>
      <w:proofErr w:type="spellEnd"/>
      <w:r>
        <w:rPr>
          <w:rFonts w:eastAsiaTheme="minorHAnsi"/>
          <w:kern w:val="0"/>
        </w:rPr>
        <w:t xml:space="preserve">. Of the remaining 203 phenotypic GWWA, eight had BWWA </w:t>
      </w:r>
      <w:proofErr w:type="spellStart"/>
      <w:r>
        <w:rPr>
          <w:rFonts w:eastAsiaTheme="minorHAnsi"/>
          <w:kern w:val="0"/>
        </w:rPr>
        <w:t>mtDNA</w:t>
      </w:r>
      <w:proofErr w:type="spellEnd"/>
      <w:r>
        <w:rPr>
          <w:rFonts w:eastAsiaTheme="minorHAnsi"/>
          <w:kern w:val="0"/>
        </w:rPr>
        <w:t xml:space="preserve"> and wer</w:t>
      </w:r>
      <w:r w:rsidR="00DA5A7B">
        <w:rPr>
          <w:rFonts w:eastAsiaTheme="minorHAnsi"/>
          <w:kern w:val="0"/>
        </w:rPr>
        <w:t xml:space="preserve">e </w:t>
      </w:r>
      <w:r w:rsidR="008C3977">
        <w:rPr>
          <w:rFonts w:eastAsiaTheme="minorHAnsi"/>
          <w:kern w:val="0"/>
        </w:rPr>
        <w:t>cryptic hybrids (Table 1). Though</w:t>
      </w:r>
      <w:r w:rsidR="00DA5A7B">
        <w:rPr>
          <w:rFonts w:eastAsiaTheme="minorHAnsi"/>
          <w:kern w:val="0"/>
        </w:rPr>
        <w:t xml:space="preserve"> ninety </w:t>
      </w:r>
      <w:r w:rsidR="008C3977">
        <w:rPr>
          <w:rFonts w:eastAsiaTheme="minorHAnsi"/>
          <w:kern w:val="0"/>
        </w:rPr>
        <w:t>percent of hybrids were male while</w:t>
      </w:r>
      <w:r>
        <w:rPr>
          <w:rFonts w:eastAsiaTheme="minorHAnsi"/>
          <w:kern w:val="0"/>
        </w:rPr>
        <w:t xml:space="preserve"> 65% o</w:t>
      </w:r>
      <w:r w:rsidR="00DA5A7B">
        <w:rPr>
          <w:rFonts w:eastAsiaTheme="minorHAnsi"/>
          <w:kern w:val="0"/>
        </w:rPr>
        <w:t>f our total sample was male,</w:t>
      </w:r>
      <w:r>
        <w:rPr>
          <w:rFonts w:eastAsiaTheme="minorHAnsi"/>
          <w:kern w:val="0"/>
        </w:rPr>
        <w:t xml:space="preserve"> </w:t>
      </w:r>
      <w:r w:rsidR="00DA5A7B">
        <w:rPr>
          <w:rFonts w:eastAsiaTheme="minorHAnsi"/>
          <w:kern w:val="0"/>
        </w:rPr>
        <w:t xml:space="preserve">we did not find a significantly greater proportion of males in the hybrid sample compared the to the rest of the </w:t>
      </w:r>
      <w:r w:rsidR="00DA5A7B">
        <w:rPr>
          <w:rFonts w:eastAsiaTheme="minorHAnsi"/>
          <w:kern w:val="0"/>
        </w:rPr>
        <w:lastRenderedPageBreak/>
        <w:t xml:space="preserve">population </w:t>
      </w:r>
      <w:r>
        <w:rPr>
          <w:rFonts w:eastAsiaTheme="minorHAnsi"/>
          <w:kern w:val="0"/>
        </w:rPr>
        <w:t>(χ</w:t>
      </w:r>
      <w:r w:rsidRPr="004731A1">
        <w:rPr>
          <w:rFonts w:eastAsiaTheme="minorHAnsi"/>
          <w:kern w:val="0"/>
          <w:vertAlign w:val="superscript"/>
        </w:rPr>
        <w:t xml:space="preserve">2 </w:t>
      </w:r>
      <w:proofErr w:type="gramStart"/>
      <w:r>
        <w:rPr>
          <w:rFonts w:eastAsiaTheme="minorHAnsi"/>
          <w:kern w:val="0"/>
        </w:rPr>
        <w:t>=  2.818</w:t>
      </w:r>
      <w:proofErr w:type="gramEnd"/>
      <w:r>
        <w:rPr>
          <w:rFonts w:eastAsiaTheme="minorHAnsi"/>
          <w:kern w:val="0"/>
        </w:rPr>
        <w:t xml:space="preserve">, </w:t>
      </w:r>
      <w:r w:rsidRPr="000D7F95">
        <w:rPr>
          <w:rFonts w:eastAsiaTheme="minorHAnsi"/>
          <w:i/>
          <w:kern w:val="0"/>
        </w:rPr>
        <w:t>p</w:t>
      </w:r>
      <w:r>
        <w:rPr>
          <w:rFonts w:eastAsiaTheme="minorHAnsi"/>
          <w:kern w:val="0"/>
        </w:rPr>
        <w:t xml:space="preserve"> = 0.09). SY birds made up 8</w:t>
      </w:r>
      <w:r w:rsidR="008C3977">
        <w:rPr>
          <w:rFonts w:eastAsiaTheme="minorHAnsi"/>
          <w:kern w:val="0"/>
        </w:rPr>
        <w:t>0% of the hybrid sample but</w:t>
      </w:r>
      <w:r>
        <w:rPr>
          <w:rFonts w:eastAsiaTheme="minorHAnsi"/>
          <w:kern w:val="0"/>
        </w:rPr>
        <w:t xml:space="preserve"> 55% of the total sample (χ</w:t>
      </w:r>
      <w:r w:rsidRPr="004731A1">
        <w:rPr>
          <w:rFonts w:eastAsiaTheme="minorHAnsi"/>
          <w:kern w:val="0"/>
          <w:vertAlign w:val="superscript"/>
        </w:rPr>
        <w:t>2</w:t>
      </w:r>
      <w:r>
        <w:rPr>
          <w:rFonts w:eastAsiaTheme="minorHAnsi"/>
          <w:kern w:val="0"/>
        </w:rPr>
        <w:t xml:space="preserve"> </w:t>
      </w:r>
      <w:proofErr w:type="gramStart"/>
      <w:r>
        <w:rPr>
          <w:rFonts w:eastAsiaTheme="minorHAnsi"/>
          <w:kern w:val="0"/>
        </w:rPr>
        <w:t>=  4.13</w:t>
      </w:r>
      <w:proofErr w:type="gramEnd"/>
      <w:r>
        <w:rPr>
          <w:rFonts w:eastAsiaTheme="minorHAnsi"/>
          <w:kern w:val="0"/>
        </w:rPr>
        <w:t xml:space="preserve">, </w:t>
      </w:r>
      <w:r w:rsidRPr="000D7F95">
        <w:rPr>
          <w:rFonts w:eastAsiaTheme="minorHAnsi"/>
          <w:i/>
          <w:kern w:val="0"/>
        </w:rPr>
        <w:t>p</w:t>
      </w:r>
      <w:r>
        <w:rPr>
          <w:rFonts w:eastAsiaTheme="minorHAnsi"/>
          <w:kern w:val="0"/>
        </w:rPr>
        <w:t xml:space="preserve"> = 0.04). Half (5/10) of the genetic and phenotypic hybrids returned to the same territories in</w:t>
      </w:r>
      <w:r w:rsidR="00DA5A7B">
        <w:rPr>
          <w:rFonts w:eastAsiaTheme="minorHAnsi"/>
          <w:kern w:val="0"/>
        </w:rPr>
        <w:t xml:space="preserve"> subsequent years (Table 2); by </w:t>
      </w:r>
      <w:r>
        <w:rPr>
          <w:rFonts w:eastAsiaTheme="minorHAnsi"/>
          <w:kern w:val="0"/>
        </w:rPr>
        <w:t xml:space="preserve">comparison, 19 out of 41 (46%) pure GWWA returned in 2012, 39 out of 71 (55%) in 2013, and 33 out of 83 (40%) in 2014.    </w:t>
      </w:r>
    </w:p>
    <w:p w:rsidR="000F3890" w:rsidRDefault="000F3890" w:rsidP="000F3890">
      <w:pPr>
        <w:widowControl/>
        <w:overflowPunct/>
        <w:autoSpaceDE w:val="0"/>
        <w:autoSpaceDN w:val="0"/>
        <w:spacing w:line="480" w:lineRule="auto"/>
        <w:rPr>
          <w:rFonts w:eastAsiaTheme="minorHAnsi"/>
          <w:kern w:val="0"/>
        </w:rPr>
      </w:pPr>
      <w:r>
        <w:rPr>
          <w:rFonts w:eastAsiaTheme="minorHAnsi"/>
          <w:kern w:val="0"/>
        </w:rPr>
        <w:tab/>
        <w:t>Hybrids co-occurred at sites with GWWA and did not overlap territo</w:t>
      </w:r>
      <w:r w:rsidR="00DA5A7B">
        <w:rPr>
          <w:rFonts w:eastAsiaTheme="minorHAnsi"/>
          <w:kern w:val="0"/>
        </w:rPr>
        <w:t>ries.  Hybrids were found in five out of eight</w:t>
      </w:r>
      <w:r>
        <w:rPr>
          <w:rFonts w:eastAsiaTheme="minorHAnsi"/>
          <w:kern w:val="0"/>
        </w:rPr>
        <w:t xml:space="preserve"> study sites. The standard errors overlap</w:t>
      </w:r>
      <w:r w:rsidR="00DA5A7B">
        <w:rPr>
          <w:rFonts w:eastAsiaTheme="minorHAnsi"/>
          <w:kern w:val="0"/>
        </w:rPr>
        <w:t>ped for all of the habitat</w:t>
      </w:r>
      <w:r>
        <w:rPr>
          <w:rFonts w:eastAsiaTheme="minorHAnsi"/>
          <w:kern w:val="0"/>
        </w:rPr>
        <w:t xml:space="preserve"> metrics at both spatial scales (Table 3). </w:t>
      </w:r>
      <w:r w:rsidR="00DA5A7B">
        <w:rPr>
          <w:rFonts w:eastAsiaTheme="minorHAnsi"/>
          <w:kern w:val="0"/>
        </w:rPr>
        <w:t xml:space="preserve">The null model received most of the support (Table 4) and we found no evidence that </w:t>
      </w:r>
      <w:r>
        <w:rPr>
          <w:rFonts w:eastAsiaTheme="minorHAnsi"/>
          <w:kern w:val="0"/>
        </w:rPr>
        <w:t>landscape- or territory-level variables were useful predictors of hybrid status</w:t>
      </w:r>
      <w:r w:rsidR="00DA5A7B">
        <w:rPr>
          <w:rFonts w:eastAsiaTheme="minorHAnsi"/>
          <w:kern w:val="0"/>
        </w:rPr>
        <w:t xml:space="preserve">. </w:t>
      </w:r>
      <w:r>
        <w:rPr>
          <w:rFonts w:eastAsiaTheme="minorHAnsi"/>
          <w:kern w:val="0"/>
        </w:rPr>
        <w:t>We found no differences in habitat selection between hybrid and pure GWWA at either scale, at least for the variables that we</w:t>
      </w:r>
      <w:r w:rsidR="004504D6">
        <w:rPr>
          <w:rFonts w:eastAsiaTheme="minorHAnsi"/>
          <w:kern w:val="0"/>
        </w:rPr>
        <w:t>re</w:t>
      </w:r>
      <w:r>
        <w:rPr>
          <w:rFonts w:eastAsiaTheme="minorHAnsi"/>
          <w:kern w:val="0"/>
        </w:rPr>
        <w:t xml:space="preserve"> measured. </w:t>
      </w:r>
    </w:p>
    <w:p w:rsidR="000F3890" w:rsidRDefault="000F3890" w:rsidP="000F3890">
      <w:pPr>
        <w:widowControl/>
        <w:overflowPunct/>
        <w:autoSpaceDE w:val="0"/>
        <w:autoSpaceDN w:val="0"/>
        <w:spacing w:line="480" w:lineRule="auto"/>
        <w:rPr>
          <w:rFonts w:eastAsiaTheme="minorHAnsi"/>
          <w:kern w:val="0"/>
        </w:rPr>
      </w:pPr>
      <w:r>
        <w:rPr>
          <w:rFonts w:eastAsiaTheme="minorHAnsi"/>
          <w:kern w:val="0"/>
        </w:rPr>
        <w:tab/>
        <w:t>At the patch scale, b</w:t>
      </w:r>
      <w:r w:rsidRPr="00ED0654">
        <w:rPr>
          <w:rFonts w:eastAsiaTheme="minorHAnsi"/>
          <w:kern w:val="0"/>
        </w:rPr>
        <w:t>oth hybrids and pure GWWA prefer</w:t>
      </w:r>
      <w:r>
        <w:rPr>
          <w:rFonts w:eastAsiaTheme="minorHAnsi"/>
          <w:kern w:val="0"/>
        </w:rPr>
        <w:t>red</w:t>
      </w:r>
      <w:r w:rsidRPr="00ED0654">
        <w:rPr>
          <w:rFonts w:eastAsiaTheme="minorHAnsi"/>
          <w:kern w:val="0"/>
        </w:rPr>
        <w:t xml:space="preserve"> predominantly d</w:t>
      </w:r>
      <w:r>
        <w:rPr>
          <w:rFonts w:eastAsiaTheme="minorHAnsi"/>
          <w:kern w:val="0"/>
        </w:rPr>
        <w:t>eciduous forests and placed</w:t>
      </w:r>
      <w:r w:rsidRPr="00ED0654">
        <w:rPr>
          <w:rFonts w:eastAsiaTheme="minorHAnsi"/>
          <w:kern w:val="0"/>
        </w:rPr>
        <w:t xml:space="preserve"> territories within 100</w:t>
      </w:r>
      <w:r>
        <w:rPr>
          <w:rFonts w:eastAsiaTheme="minorHAnsi"/>
          <w:kern w:val="0"/>
        </w:rPr>
        <w:t xml:space="preserve"> </w:t>
      </w:r>
      <w:r w:rsidRPr="00ED0654">
        <w:rPr>
          <w:rFonts w:eastAsiaTheme="minorHAnsi"/>
          <w:kern w:val="0"/>
        </w:rPr>
        <w:t xml:space="preserve">m of a forested edge. </w:t>
      </w:r>
      <w:r>
        <w:rPr>
          <w:rFonts w:eastAsiaTheme="minorHAnsi"/>
          <w:kern w:val="0"/>
        </w:rPr>
        <w:t xml:space="preserve">The average distance from the center of a territory to an anthropogenic edge was 805 m but ranged from less than 10 m to over 3 km. Both hybrids and GWWA had territories made up of nearly equal ratios of </w:t>
      </w:r>
      <w:r w:rsidRPr="00ED0654">
        <w:rPr>
          <w:rFonts w:eastAsiaTheme="minorHAnsi"/>
          <w:kern w:val="0"/>
        </w:rPr>
        <w:t>canopy, shrub, and herbaceous component</w:t>
      </w:r>
      <w:r>
        <w:rPr>
          <w:rFonts w:eastAsiaTheme="minorHAnsi"/>
          <w:kern w:val="0"/>
        </w:rPr>
        <w:t xml:space="preserve">s. At a landscape scale, hybrid and pure GWWA territories contained an average of 23% habitat that was anthropogenically disturbed in some way, generally through agriculture or aggregate mining, up to a maximum of 44% disturbed habitat.  </w:t>
      </w:r>
      <w:r>
        <w:rPr>
          <w:rFonts w:eastAsiaTheme="minorHAnsi"/>
          <w:kern w:val="0"/>
        </w:rPr>
        <w:tab/>
      </w:r>
    </w:p>
    <w:p w:rsidR="000F3890" w:rsidRDefault="000F3890" w:rsidP="000F3890">
      <w:pPr>
        <w:widowControl/>
        <w:overflowPunct/>
        <w:autoSpaceDE w:val="0"/>
        <w:autoSpaceDN w:val="0"/>
        <w:spacing w:line="480" w:lineRule="auto"/>
        <w:rPr>
          <w:rFonts w:eastAsiaTheme="minorHAnsi"/>
          <w:kern w:val="0"/>
        </w:rPr>
      </w:pPr>
    </w:p>
    <w:p w:rsidR="000F3890" w:rsidRDefault="000F3890" w:rsidP="000F3890">
      <w:pPr>
        <w:widowControl/>
        <w:overflowPunct/>
        <w:autoSpaceDE w:val="0"/>
        <w:autoSpaceDN w:val="0"/>
        <w:spacing w:line="480" w:lineRule="auto"/>
        <w:rPr>
          <w:rFonts w:eastAsiaTheme="minorHAnsi"/>
          <w:b/>
          <w:kern w:val="0"/>
        </w:rPr>
      </w:pPr>
      <w:r w:rsidRPr="0039412F">
        <w:rPr>
          <w:rFonts w:eastAsiaTheme="minorHAnsi"/>
          <w:b/>
          <w:kern w:val="0"/>
        </w:rPr>
        <w:t>Discussion</w:t>
      </w:r>
    </w:p>
    <w:p w:rsidR="000F3890" w:rsidRDefault="000F3890" w:rsidP="000F3890">
      <w:pPr>
        <w:widowControl/>
        <w:overflowPunct/>
        <w:autoSpaceDE w:val="0"/>
        <w:autoSpaceDN w:val="0"/>
        <w:spacing w:line="480" w:lineRule="auto"/>
        <w:ind w:firstLine="720"/>
        <w:rPr>
          <w:rFonts w:eastAsiaTheme="minorHAnsi"/>
          <w:kern w:val="0"/>
        </w:rPr>
      </w:pPr>
      <w:r>
        <w:rPr>
          <w:rFonts w:eastAsiaTheme="minorHAnsi"/>
          <w:kern w:val="0"/>
        </w:rPr>
        <w:t xml:space="preserve">Our study provides the first published genetic evidence that introgression has occurred in the Manitoba population of GWWA. </w:t>
      </w:r>
      <w:r w:rsidR="000E790E">
        <w:rPr>
          <w:rFonts w:eastAsiaTheme="minorHAnsi"/>
          <w:kern w:val="0"/>
        </w:rPr>
        <w:t>Presently</w:t>
      </w:r>
      <w:r>
        <w:rPr>
          <w:rFonts w:eastAsiaTheme="minorHAnsi"/>
          <w:kern w:val="0"/>
        </w:rPr>
        <w:t xml:space="preserve">, the rate of introgression does not appear to be increasing. While we did not find significant evidence that hybrids were more likely to be male, we did find that hybrids were more likely to be SY when first captured than expected by chance. </w:t>
      </w:r>
      <w:r w:rsidR="000E790E">
        <w:rPr>
          <w:rFonts w:eastAsiaTheme="minorHAnsi"/>
          <w:kern w:val="0"/>
        </w:rPr>
        <w:lastRenderedPageBreak/>
        <w:t>We think it</w:t>
      </w:r>
      <w:r>
        <w:rPr>
          <w:rFonts w:eastAsiaTheme="minorHAnsi"/>
          <w:kern w:val="0"/>
        </w:rPr>
        <w:t xml:space="preserve"> likely that the BRWA and cryptic hybrids were born elsewhere and dispersed northwest to Manitoba for their first breeding season. Van </w:t>
      </w:r>
      <w:proofErr w:type="spellStart"/>
      <w:r>
        <w:rPr>
          <w:rFonts w:eastAsiaTheme="minorHAnsi"/>
          <w:kern w:val="0"/>
        </w:rPr>
        <w:t>Wilgenburg</w:t>
      </w:r>
      <w:proofErr w:type="spellEnd"/>
      <w:r>
        <w:rPr>
          <w:rFonts w:eastAsiaTheme="minorHAnsi"/>
          <w:kern w:val="0"/>
        </w:rPr>
        <w:t xml:space="preserve"> (</w:t>
      </w:r>
      <w:proofErr w:type="spellStart"/>
      <w:r>
        <w:rPr>
          <w:rFonts w:eastAsiaTheme="minorHAnsi"/>
          <w:kern w:val="0"/>
        </w:rPr>
        <w:t>unpub</w:t>
      </w:r>
      <w:proofErr w:type="spellEnd"/>
      <w:r>
        <w:rPr>
          <w:rFonts w:eastAsiaTheme="minorHAnsi"/>
          <w:kern w:val="0"/>
        </w:rPr>
        <w:t xml:space="preserve">. data) completed stable isotope analyses of GWWA across the breeding range </w:t>
      </w:r>
      <w:r w:rsidR="000E790E">
        <w:rPr>
          <w:rFonts w:eastAsiaTheme="minorHAnsi"/>
          <w:kern w:val="0"/>
        </w:rPr>
        <w:t>with</w:t>
      </w:r>
      <w:r>
        <w:rPr>
          <w:rFonts w:eastAsiaTheme="minorHAnsi"/>
          <w:kern w:val="0"/>
        </w:rPr>
        <w:t xml:space="preserve"> results suggest</w:t>
      </w:r>
      <w:r w:rsidR="000E790E">
        <w:rPr>
          <w:rFonts w:eastAsiaTheme="minorHAnsi"/>
          <w:kern w:val="0"/>
        </w:rPr>
        <w:t>ing</w:t>
      </w:r>
      <w:r>
        <w:rPr>
          <w:rFonts w:eastAsiaTheme="minorHAnsi"/>
          <w:kern w:val="0"/>
        </w:rPr>
        <w:t xml:space="preserve"> that ha</w:t>
      </w:r>
      <w:r w:rsidR="000E790E">
        <w:rPr>
          <w:rFonts w:eastAsiaTheme="minorHAnsi"/>
          <w:kern w:val="0"/>
        </w:rPr>
        <w:t xml:space="preserve">tch year birds disperse </w:t>
      </w:r>
      <w:r>
        <w:rPr>
          <w:rFonts w:eastAsiaTheme="minorHAnsi"/>
          <w:kern w:val="0"/>
        </w:rPr>
        <w:t xml:space="preserve">north of their natal grounds. </w:t>
      </w:r>
    </w:p>
    <w:p w:rsidR="000F3890" w:rsidRDefault="000E790E" w:rsidP="000F3890">
      <w:pPr>
        <w:widowControl/>
        <w:overflowPunct/>
        <w:autoSpaceDE w:val="0"/>
        <w:autoSpaceDN w:val="0"/>
        <w:spacing w:line="480" w:lineRule="auto"/>
        <w:ind w:firstLine="720"/>
        <w:rPr>
          <w:rFonts w:eastAsiaTheme="minorHAnsi"/>
          <w:kern w:val="0"/>
        </w:rPr>
      </w:pPr>
      <w:r>
        <w:rPr>
          <w:rFonts w:eastAsiaTheme="minorHAnsi"/>
          <w:kern w:val="0"/>
        </w:rPr>
        <w:t xml:space="preserve">While not significant, </w:t>
      </w:r>
      <w:r w:rsidR="000F3890">
        <w:rPr>
          <w:rFonts w:eastAsiaTheme="minorHAnsi"/>
          <w:kern w:val="0"/>
        </w:rPr>
        <w:t>that 90% of hybrid</w:t>
      </w:r>
      <w:r>
        <w:rPr>
          <w:rFonts w:eastAsiaTheme="minorHAnsi"/>
          <w:kern w:val="0"/>
        </w:rPr>
        <w:t>s were male might be noteworthy</w:t>
      </w:r>
      <w:r w:rsidR="000F3890">
        <w:rPr>
          <w:rFonts w:eastAsiaTheme="minorHAnsi"/>
          <w:kern w:val="0"/>
        </w:rPr>
        <w:t xml:space="preserve"> because female passerines are general</w:t>
      </w:r>
      <w:r w:rsidR="00A607C4">
        <w:rPr>
          <w:rFonts w:eastAsiaTheme="minorHAnsi"/>
          <w:kern w:val="0"/>
        </w:rPr>
        <w:t>ly the dispersing sex (Greenwood 1980</w:t>
      </w:r>
      <w:r w:rsidR="000F3890">
        <w:rPr>
          <w:rFonts w:eastAsiaTheme="minorHAnsi"/>
          <w:kern w:val="0"/>
        </w:rPr>
        <w:t xml:space="preserve">). Gill (1997) asserted that females are leading the BWWA range expansion and that introgression is initiated when they pair with pure GWWA males. Our results suggest the opposite to be true; in all but one case, </w:t>
      </w:r>
      <w:proofErr w:type="spellStart"/>
      <w:r w:rsidR="000F3890">
        <w:rPr>
          <w:rFonts w:eastAsiaTheme="minorHAnsi"/>
          <w:kern w:val="0"/>
        </w:rPr>
        <w:t>introgressed</w:t>
      </w:r>
      <w:proofErr w:type="spellEnd"/>
      <w:r w:rsidR="000F3890">
        <w:rPr>
          <w:rFonts w:eastAsiaTheme="minorHAnsi"/>
          <w:kern w:val="0"/>
        </w:rPr>
        <w:t xml:space="preserve"> males </w:t>
      </w:r>
      <w:r>
        <w:rPr>
          <w:rFonts w:eastAsiaTheme="minorHAnsi"/>
          <w:kern w:val="0"/>
        </w:rPr>
        <w:t>paired</w:t>
      </w:r>
      <w:r w:rsidR="000F3890">
        <w:rPr>
          <w:rFonts w:eastAsiaTheme="minorHAnsi"/>
          <w:kern w:val="0"/>
        </w:rPr>
        <w:t xml:space="preserve"> with pure GWWA females. Because </w:t>
      </w:r>
      <w:proofErr w:type="spellStart"/>
      <w:r w:rsidR="000F3890">
        <w:rPr>
          <w:rFonts w:eastAsiaTheme="minorHAnsi"/>
          <w:kern w:val="0"/>
        </w:rPr>
        <w:t>mtDNA</w:t>
      </w:r>
      <w:proofErr w:type="spellEnd"/>
      <w:r w:rsidR="000F3890">
        <w:rPr>
          <w:rFonts w:eastAsiaTheme="minorHAnsi"/>
          <w:kern w:val="0"/>
        </w:rPr>
        <w:t xml:space="preserve"> is inherited maternally, the offspring of these pairings will again be classified as pure GWWA if there are no phenotypic signs of introgression. </w:t>
      </w:r>
    </w:p>
    <w:p w:rsidR="000F3890" w:rsidRDefault="000F3890" w:rsidP="000F3890">
      <w:pPr>
        <w:widowControl/>
        <w:overflowPunct/>
        <w:autoSpaceDE w:val="0"/>
        <w:autoSpaceDN w:val="0"/>
        <w:spacing w:line="480" w:lineRule="auto"/>
        <w:rPr>
          <w:rFonts w:eastAsiaTheme="minorHAnsi"/>
          <w:kern w:val="0"/>
        </w:rPr>
      </w:pPr>
      <w:r>
        <w:rPr>
          <w:rFonts w:eastAsiaTheme="minorHAnsi"/>
          <w:kern w:val="0"/>
        </w:rPr>
        <w:tab/>
      </w:r>
      <w:r w:rsidR="000E790E">
        <w:rPr>
          <w:rFonts w:eastAsiaTheme="minorHAnsi"/>
          <w:kern w:val="0"/>
        </w:rPr>
        <w:t>T</w:t>
      </w:r>
      <w:r>
        <w:rPr>
          <w:rFonts w:eastAsiaTheme="minorHAnsi"/>
          <w:kern w:val="0"/>
        </w:rPr>
        <w:t xml:space="preserve">he return rate of hybrids was similar between the pure GWWA and hybrids in our population. </w:t>
      </w:r>
      <w:r w:rsidR="000E790E">
        <w:rPr>
          <w:rFonts w:eastAsiaTheme="minorHAnsi"/>
          <w:kern w:val="0"/>
        </w:rPr>
        <w:t>Like</w:t>
      </w:r>
      <w:r>
        <w:rPr>
          <w:rFonts w:eastAsiaTheme="minorHAnsi"/>
          <w:kern w:val="0"/>
        </w:rPr>
        <w:t xml:space="preserve"> others, we found no evidence to suggest that hybrids are at a survival disadvantage (Vallender </w:t>
      </w:r>
      <w:r w:rsidR="00927B2C">
        <w:rPr>
          <w:rFonts w:eastAsiaTheme="minorHAnsi"/>
          <w:kern w:val="0"/>
        </w:rPr>
        <w:t>et al.</w:t>
      </w:r>
      <w:r w:rsidR="0057169A">
        <w:rPr>
          <w:rFonts w:eastAsiaTheme="minorHAnsi"/>
          <w:kern w:val="0"/>
        </w:rPr>
        <w:t xml:space="preserve"> </w:t>
      </w:r>
      <w:r w:rsidRPr="00927B2C">
        <w:rPr>
          <w:rFonts w:eastAsiaTheme="minorHAnsi"/>
          <w:kern w:val="0"/>
        </w:rPr>
        <w:t xml:space="preserve">2007b, Neville </w:t>
      </w:r>
      <w:r w:rsidR="00927B2C">
        <w:rPr>
          <w:rFonts w:eastAsiaTheme="minorHAnsi"/>
          <w:kern w:val="0"/>
        </w:rPr>
        <w:t>et al.</w:t>
      </w:r>
      <w:r w:rsidR="002A5D24">
        <w:rPr>
          <w:rFonts w:eastAsiaTheme="minorHAnsi"/>
          <w:kern w:val="0"/>
        </w:rPr>
        <w:t xml:space="preserve"> </w:t>
      </w:r>
      <w:r>
        <w:rPr>
          <w:rFonts w:eastAsiaTheme="minorHAnsi"/>
          <w:kern w:val="0"/>
        </w:rPr>
        <w:t xml:space="preserve">2008). The comparable survivorship of hybrids provides additional evidence that hybrids do not face post-zygotic selection (Reed </w:t>
      </w:r>
      <w:r w:rsidR="00927B2C">
        <w:rPr>
          <w:rFonts w:eastAsiaTheme="minorHAnsi"/>
          <w:kern w:val="0"/>
        </w:rPr>
        <w:t>et al.</w:t>
      </w:r>
      <w:r w:rsidR="007F171C">
        <w:rPr>
          <w:rFonts w:eastAsiaTheme="minorHAnsi"/>
          <w:kern w:val="0"/>
        </w:rPr>
        <w:t xml:space="preserve"> </w:t>
      </w:r>
      <w:r>
        <w:rPr>
          <w:rFonts w:eastAsiaTheme="minorHAnsi"/>
          <w:kern w:val="0"/>
        </w:rPr>
        <w:t xml:space="preserve">2007, Vallender </w:t>
      </w:r>
      <w:r w:rsidR="00927B2C">
        <w:rPr>
          <w:rFonts w:eastAsiaTheme="minorHAnsi"/>
          <w:kern w:val="0"/>
        </w:rPr>
        <w:t>et al.</w:t>
      </w:r>
      <w:r w:rsidR="000E790E">
        <w:rPr>
          <w:rFonts w:eastAsiaTheme="minorHAnsi"/>
          <w:kern w:val="0"/>
        </w:rPr>
        <w:t xml:space="preserve"> </w:t>
      </w:r>
      <w:r>
        <w:rPr>
          <w:rFonts w:eastAsiaTheme="minorHAnsi"/>
          <w:kern w:val="0"/>
        </w:rPr>
        <w:t xml:space="preserve">2012). Taken together with the lack of pre-zygotic selection against hybrids (Vallender </w:t>
      </w:r>
      <w:r w:rsidR="00927B2C" w:rsidRPr="00927B2C">
        <w:rPr>
          <w:rFonts w:eastAsiaTheme="minorHAnsi"/>
          <w:kern w:val="0"/>
        </w:rPr>
        <w:t>et al.</w:t>
      </w:r>
      <w:r>
        <w:rPr>
          <w:rFonts w:eastAsiaTheme="minorHAnsi"/>
          <w:kern w:val="0"/>
        </w:rPr>
        <w:t xml:space="preserve"> 2007b), </w:t>
      </w:r>
      <w:r w:rsidR="000E790E">
        <w:rPr>
          <w:rFonts w:eastAsiaTheme="minorHAnsi"/>
          <w:kern w:val="0"/>
        </w:rPr>
        <w:t>this implies</w:t>
      </w:r>
      <w:r>
        <w:rPr>
          <w:rFonts w:eastAsiaTheme="minorHAnsi"/>
          <w:kern w:val="0"/>
        </w:rPr>
        <w:t xml:space="preserve"> there are no barriers to the complete admixture of GWWA and BWWA populations once they come into secondary contact.    </w:t>
      </w:r>
    </w:p>
    <w:p w:rsidR="000F3890" w:rsidRDefault="00752007" w:rsidP="000F3890">
      <w:pPr>
        <w:widowControl/>
        <w:overflowPunct/>
        <w:autoSpaceDE w:val="0"/>
        <w:autoSpaceDN w:val="0"/>
        <w:spacing w:line="480" w:lineRule="auto"/>
        <w:ind w:firstLine="720"/>
        <w:rPr>
          <w:rFonts w:eastAsiaTheme="minorHAnsi"/>
          <w:kern w:val="0"/>
        </w:rPr>
      </w:pPr>
      <w:r w:rsidRPr="006D392C">
        <w:rPr>
          <w:rFonts w:eastAsiaTheme="minorHAnsi"/>
          <w:kern w:val="0"/>
        </w:rPr>
        <w:t>While differences may exist between GWWA and BWWA habitat preferenc</w:t>
      </w:r>
      <w:r w:rsidR="000E790E">
        <w:rPr>
          <w:rFonts w:eastAsiaTheme="minorHAnsi"/>
          <w:kern w:val="0"/>
        </w:rPr>
        <w:t xml:space="preserve">es, we found no evidence of </w:t>
      </w:r>
      <w:r w:rsidRPr="006D392C">
        <w:rPr>
          <w:rFonts w:eastAsiaTheme="minorHAnsi"/>
          <w:kern w:val="0"/>
        </w:rPr>
        <w:t>difference</w:t>
      </w:r>
      <w:r w:rsidR="000E790E">
        <w:rPr>
          <w:rFonts w:eastAsiaTheme="minorHAnsi"/>
          <w:kern w:val="0"/>
        </w:rPr>
        <w:t>s</w:t>
      </w:r>
      <w:r w:rsidRPr="006D392C">
        <w:rPr>
          <w:rFonts w:eastAsiaTheme="minorHAnsi"/>
          <w:kern w:val="0"/>
        </w:rPr>
        <w:t xml:space="preserve"> in the habitat used by p</w:t>
      </w:r>
      <w:r w:rsidR="000E790E">
        <w:rPr>
          <w:rFonts w:eastAsiaTheme="minorHAnsi"/>
          <w:kern w:val="0"/>
        </w:rPr>
        <w:t>ure GWWA and hybrids</w:t>
      </w:r>
      <w:r w:rsidRPr="006D392C">
        <w:rPr>
          <w:rFonts w:eastAsiaTheme="minorHAnsi"/>
          <w:kern w:val="0"/>
        </w:rPr>
        <w:t xml:space="preserve">. </w:t>
      </w:r>
      <w:r w:rsidR="000F3890" w:rsidRPr="006D392C">
        <w:rPr>
          <w:rFonts w:eastAsiaTheme="minorHAnsi"/>
          <w:kern w:val="0"/>
        </w:rPr>
        <w:t xml:space="preserve">The breeding habitat characteristics are </w:t>
      </w:r>
      <w:r w:rsidR="000E790E" w:rsidRPr="006D392C">
        <w:rPr>
          <w:rFonts w:eastAsiaTheme="minorHAnsi"/>
          <w:kern w:val="0"/>
        </w:rPr>
        <w:t>like</w:t>
      </w:r>
      <w:r w:rsidR="000F3890" w:rsidRPr="006D392C">
        <w:rPr>
          <w:rFonts w:eastAsiaTheme="minorHAnsi"/>
          <w:kern w:val="0"/>
        </w:rPr>
        <w:t xml:space="preserve"> those used by GWWA e</w:t>
      </w:r>
      <w:r w:rsidR="000E790E">
        <w:rPr>
          <w:rFonts w:eastAsiaTheme="minorHAnsi"/>
          <w:kern w:val="0"/>
        </w:rPr>
        <w:t>lsewhere in the range,</w:t>
      </w:r>
      <w:r w:rsidR="000F3890" w:rsidRPr="006D392C">
        <w:rPr>
          <w:rFonts w:eastAsiaTheme="minorHAnsi"/>
          <w:kern w:val="0"/>
        </w:rPr>
        <w:t xml:space="preserve"> including s</w:t>
      </w:r>
      <w:r w:rsidR="007B7C76">
        <w:rPr>
          <w:rFonts w:eastAsiaTheme="minorHAnsi"/>
          <w:kern w:val="0"/>
        </w:rPr>
        <w:t>ome anthropogenic disturbance, nearby forested edge, and</w:t>
      </w:r>
      <w:r w:rsidR="000F3890" w:rsidRPr="006D392C">
        <w:rPr>
          <w:rFonts w:eastAsiaTheme="minorHAnsi"/>
          <w:kern w:val="0"/>
        </w:rPr>
        <w:t xml:space="preserve"> habitat structure composed of an herbaceous, shrub, an</w:t>
      </w:r>
      <w:r w:rsidR="0057169A">
        <w:rPr>
          <w:rFonts w:eastAsiaTheme="minorHAnsi"/>
          <w:kern w:val="0"/>
        </w:rPr>
        <w:t>d canopy component (Confer 1992,</w:t>
      </w:r>
      <w:r w:rsidR="000F3890" w:rsidRPr="006D392C">
        <w:rPr>
          <w:rFonts w:eastAsiaTheme="minorHAnsi"/>
          <w:kern w:val="0"/>
        </w:rPr>
        <w:t xml:space="preserve"> </w:t>
      </w:r>
      <w:proofErr w:type="spellStart"/>
      <w:r w:rsidR="000F3890" w:rsidRPr="006D392C">
        <w:rPr>
          <w:rFonts w:eastAsiaTheme="minorHAnsi"/>
          <w:kern w:val="0"/>
        </w:rPr>
        <w:t>Aldinger</w:t>
      </w:r>
      <w:proofErr w:type="spellEnd"/>
      <w:r w:rsidR="000F3890" w:rsidRPr="006D392C">
        <w:rPr>
          <w:rFonts w:eastAsiaTheme="minorHAnsi"/>
          <w:kern w:val="0"/>
        </w:rPr>
        <w:t xml:space="preserve"> </w:t>
      </w:r>
      <w:r w:rsidR="00A607C4">
        <w:rPr>
          <w:rFonts w:eastAsiaTheme="minorHAnsi"/>
          <w:kern w:val="0"/>
        </w:rPr>
        <w:t>and Wood</w:t>
      </w:r>
      <w:r w:rsidR="000E790E">
        <w:rPr>
          <w:rFonts w:eastAsiaTheme="minorHAnsi"/>
          <w:kern w:val="0"/>
        </w:rPr>
        <w:t xml:space="preserve"> 2014</w:t>
      </w:r>
      <w:r w:rsidR="000F3890" w:rsidRPr="006D392C">
        <w:rPr>
          <w:rFonts w:eastAsiaTheme="minorHAnsi"/>
          <w:kern w:val="0"/>
        </w:rPr>
        <w:t xml:space="preserve">). In </w:t>
      </w:r>
      <w:r w:rsidR="000F3890" w:rsidRPr="006D392C">
        <w:rPr>
          <w:rFonts w:eastAsiaTheme="minorHAnsi"/>
          <w:kern w:val="0"/>
        </w:rPr>
        <w:lastRenderedPageBreak/>
        <w:t>Manitoba, early successional habitat within a deciduous forest-dominated lands</w:t>
      </w:r>
      <w:r w:rsidR="002A5D24">
        <w:rPr>
          <w:rFonts w:eastAsiaTheme="minorHAnsi"/>
          <w:kern w:val="0"/>
        </w:rPr>
        <w:t xml:space="preserve">cape </w:t>
      </w:r>
      <w:r w:rsidR="000F3890" w:rsidRPr="006D392C">
        <w:rPr>
          <w:rFonts w:eastAsiaTheme="minorHAnsi"/>
          <w:kern w:val="0"/>
        </w:rPr>
        <w:t xml:space="preserve">has become scarce enough that the management technique of BWWA exclusion from areas with GWWA </w:t>
      </w:r>
      <w:r w:rsidR="007B7C76">
        <w:rPr>
          <w:rFonts w:eastAsiaTheme="minorHAnsi"/>
          <w:kern w:val="0"/>
        </w:rPr>
        <w:t>would be detrimental</w:t>
      </w:r>
      <w:r w:rsidR="000F3890" w:rsidRPr="006D392C">
        <w:rPr>
          <w:rFonts w:eastAsiaTheme="minorHAnsi"/>
          <w:kern w:val="0"/>
        </w:rPr>
        <w:t xml:space="preserve"> if it results in the permanent loss of any additional habitat. </w:t>
      </w:r>
      <w:r w:rsidRPr="006D392C">
        <w:rPr>
          <w:rFonts w:eastAsiaTheme="minorHAnsi"/>
          <w:kern w:val="0"/>
        </w:rPr>
        <w:t>T</w:t>
      </w:r>
      <w:r w:rsidR="000F3890" w:rsidRPr="006D392C">
        <w:rPr>
          <w:rFonts w:eastAsiaTheme="minorHAnsi"/>
          <w:kern w:val="0"/>
        </w:rPr>
        <w:t xml:space="preserve">he current rate of introgression in Manitoba </w:t>
      </w:r>
      <w:r w:rsidR="007B7C76">
        <w:rPr>
          <w:rFonts w:eastAsiaTheme="minorHAnsi"/>
          <w:kern w:val="0"/>
        </w:rPr>
        <w:t xml:space="preserve">remains low enough </w:t>
      </w:r>
      <w:r w:rsidR="000F3890" w:rsidRPr="006D392C">
        <w:rPr>
          <w:rFonts w:eastAsiaTheme="minorHAnsi"/>
          <w:kern w:val="0"/>
        </w:rPr>
        <w:t xml:space="preserve">that the best strategy </w:t>
      </w:r>
      <w:r w:rsidR="007B7C76">
        <w:rPr>
          <w:rFonts w:eastAsiaTheme="minorHAnsi"/>
          <w:kern w:val="0"/>
        </w:rPr>
        <w:t>is</w:t>
      </w:r>
      <w:r w:rsidR="000F3890" w:rsidRPr="006D392C">
        <w:rPr>
          <w:rFonts w:eastAsiaTheme="minorHAnsi"/>
          <w:kern w:val="0"/>
        </w:rPr>
        <w:t xml:space="preserve"> to conserve the maximum amount of intact deciduous forest as possible and avoid further </w:t>
      </w:r>
      <w:r w:rsidR="002A5D24">
        <w:rPr>
          <w:rFonts w:eastAsiaTheme="minorHAnsi"/>
          <w:kern w:val="0"/>
        </w:rPr>
        <w:t xml:space="preserve">losses or </w:t>
      </w:r>
      <w:r w:rsidR="000F3890" w:rsidRPr="006D392C">
        <w:rPr>
          <w:rFonts w:eastAsiaTheme="minorHAnsi"/>
          <w:kern w:val="0"/>
        </w:rPr>
        <w:t>fragmentation. It seems unlikely that there are any habitat characteristics that could be manipulated or managed at a large enough scale to exclude hybrids while benefitting pure GWWA.</w:t>
      </w:r>
      <w:r w:rsidR="000F3890">
        <w:rPr>
          <w:rFonts w:eastAsiaTheme="minorHAnsi"/>
          <w:kern w:val="0"/>
        </w:rPr>
        <w:t xml:space="preserve"> </w:t>
      </w:r>
    </w:p>
    <w:p w:rsidR="006D392C" w:rsidRPr="006D392C" w:rsidRDefault="000F3890" w:rsidP="006D392C">
      <w:pPr>
        <w:widowControl/>
        <w:overflowPunct/>
        <w:autoSpaceDE w:val="0"/>
        <w:autoSpaceDN w:val="0"/>
        <w:spacing w:line="480" w:lineRule="auto"/>
        <w:rPr>
          <w:rFonts w:eastAsiaTheme="minorHAnsi"/>
          <w:kern w:val="0"/>
        </w:rPr>
      </w:pPr>
      <w:r>
        <w:rPr>
          <w:rFonts w:eastAsiaTheme="minorHAnsi"/>
          <w:kern w:val="0"/>
        </w:rPr>
        <w:tab/>
        <w:t xml:space="preserve">The Manitoba population of GWWA has the lowest levels of genetic introgression range-wide and is likely to serve as an important refugium for GWWA in the coming years. While afforded some habitat protection under the Species at Risk Act as a Schedule 1 – threatened species (SARA 2007), viable breeding habitat continues to be destroyed with no mitigation and little oversight. </w:t>
      </w:r>
      <w:r w:rsidR="006D392C" w:rsidRPr="006D392C">
        <w:rPr>
          <w:rFonts w:eastAsiaTheme="minorHAnsi"/>
          <w:kern w:val="0"/>
        </w:rPr>
        <w:t>If development and fragmentation continue at their current rate in Manitoba, the GWWA will decline regardless of the impact of BWWA. Conservation efforts should be put toward preserving and managing all possible habitat types for GWWA</w:t>
      </w:r>
      <w:r w:rsidR="006D392C">
        <w:rPr>
          <w:rFonts w:eastAsiaTheme="minorHAnsi"/>
          <w:kern w:val="0"/>
        </w:rPr>
        <w:t xml:space="preserve"> or further declines will be unavoidable</w:t>
      </w:r>
      <w:r w:rsidR="006D392C" w:rsidRPr="006D392C">
        <w:rPr>
          <w:rFonts w:eastAsiaTheme="minorHAnsi"/>
          <w:kern w:val="0"/>
        </w:rPr>
        <w:t xml:space="preserve">. </w:t>
      </w:r>
    </w:p>
    <w:p w:rsidR="000F3890" w:rsidRPr="00A2671A" w:rsidRDefault="000F3890" w:rsidP="000F3890">
      <w:pPr>
        <w:widowControl/>
        <w:overflowPunct/>
        <w:autoSpaceDE w:val="0"/>
        <w:autoSpaceDN w:val="0"/>
        <w:spacing w:line="480" w:lineRule="auto"/>
        <w:ind w:firstLine="720"/>
        <w:rPr>
          <w:rFonts w:eastAsiaTheme="minorHAnsi"/>
          <w:kern w:val="0"/>
        </w:rPr>
      </w:pPr>
      <w:r w:rsidRPr="00E12961">
        <w:t xml:space="preserve">Though hybridization is a common and natural process with an important evolutionary role, </w:t>
      </w:r>
      <w:r w:rsidR="002A5D24">
        <w:t>habitat fragmentation and climate change</w:t>
      </w:r>
      <w:r w:rsidRPr="00E12961">
        <w:t xml:space="preserve"> </w:t>
      </w:r>
      <w:r w:rsidR="00DA79CC">
        <w:t>have</w:t>
      </w:r>
      <w:r w:rsidRPr="00E12961">
        <w:t xml:space="preserve"> </w:t>
      </w:r>
      <w:r w:rsidR="002A5D24">
        <w:t>broken down geogra</w:t>
      </w:r>
      <w:r w:rsidR="00DA79CC">
        <w:t>phic and ecological barriers and</w:t>
      </w:r>
      <w:r w:rsidR="002A5D24">
        <w:t xml:space="preserve"> </w:t>
      </w:r>
      <w:r w:rsidRPr="00E12961">
        <w:t>caused a net loss of biodiversity</w:t>
      </w:r>
      <w:r>
        <w:t xml:space="preserve"> (</w:t>
      </w:r>
      <w:r w:rsidR="002A5D24">
        <w:t xml:space="preserve">Chapin et al. 2000, </w:t>
      </w:r>
      <w:r>
        <w:t>Seehausen 2006)</w:t>
      </w:r>
      <w:r w:rsidRPr="00E12961">
        <w:t xml:space="preserve">. </w:t>
      </w:r>
      <w:r>
        <w:t>The resulting homogeniz</w:t>
      </w:r>
      <w:r w:rsidRPr="00111E1E">
        <w:t xml:space="preserve">ation of the environment </w:t>
      </w:r>
      <w:r>
        <w:t xml:space="preserve">can </w:t>
      </w:r>
      <w:r w:rsidR="00DA79CC">
        <w:t xml:space="preserve">reverse </w:t>
      </w:r>
      <w:r>
        <w:t>the evolutionary processes that initially led to speciation (</w:t>
      </w:r>
      <w:r w:rsidRPr="00111E1E">
        <w:t xml:space="preserve">Rhymer and </w:t>
      </w:r>
      <w:proofErr w:type="spellStart"/>
      <w:r w:rsidRPr="00111E1E">
        <w:t>Simberloff</w:t>
      </w:r>
      <w:proofErr w:type="spellEnd"/>
      <w:r w:rsidRPr="00111E1E">
        <w:t xml:space="preserve"> 1996, Seehau</w:t>
      </w:r>
      <w:r>
        <w:t>sen 2006).</w:t>
      </w:r>
      <w:r w:rsidRPr="00111E1E">
        <w:t xml:space="preserve"> </w:t>
      </w:r>
      <w:r w:rsidRPr="00E12961">
        <w:t xml:space="preserve">Some of the consequences of hybridization </w:t>
      </w:r>
      <w:r>
        <w:t>and</w:t>
      </w:r>
      <w:r w:rsidRPr="00E12961">
        <w:t xml:space="preserve"> genet</w:t>
      </w:r>
      <w:r w:rsidR="00DA79CC">
        <w:t>ic introgression</w:t>
      </w:r>
      <w:r>
        <w:t xml:space="preserve"> </w:t>
      </w:r>
      <w:r w:rsidRPr="00E12961">
        <w:t xml:space="preserve">include the erosion of genetic diversity, a loss of adaptation, </w:t>
      </w:r>
      <w:r>
        <w:t xml:space="preserve">and ultimately extinction </w:t>
      </w:r>
      <w:r w:rsidRPr="00E12961">
        <w:t xml:space="preserve">(Rhymer and </w:t>
      </w:r>
      <w:proofErr w:type="spellStart"/>
      <w:r w:rsidRPr="00E12961">
        <w:t>Simberloff</w:t>
      </w:r>
      <w:proofErr w:type="spellEnd"/>
      <w:r w:rsidRPr="00E12961">
        <w:t xml:space="preserve"> 1996, </w:t>
      </w:r>
      <w:proofErr w:type="spellStart"/>
      <w:r w:rsidRPr="00E12961">
        <w:t>Rosenzweig</w:t>
      </w:r>
      <w:proofErr w:type="spellEnd"/>
      <w:r w:rsidRPr="00E12961">
        <w:t xml:space="preserve"> 2001, Myers </w:t>
      </w:r>
      <w:r w:rsidRPr="00E12961">
        <w:lastRenderedPageBreak/>
        <w:t>and Knoll</w:t>
      </w:r>
      <w:r>
        <w:t xml:space="preserve"> 2001). </w:t>
      </w:r>
      <w:r w:rsidRPr="00E12961">
        <w:t xml:space="preserve">Further, as hybridization rates increase and genetically distinct populations merge, not only is current genetic diversity lost but there may also be a loss of evolutionary potential (Myers and Knoll 2001, Rosenzweig 2001). The combination of modern extinction rates and increased hybridization </w:t>
      </w:r>
      <w:r>
        <w:t xml:space="preserve">could have </w:t>
      </w:r>
      <w:r w:rsidRPr="00E12961">
        <w:t xml:space="preserve">evolutionary consequences far into the future, beyond when these processes themselves have stopped. Stated simply, there will be less diversity, fewer genetically distinct populations, and fewer separate starting points from which evolution can proceed. </w:t>
      </w:r>
    </w:p>
    <w:p w:rsidR="000F3890" w:rsidRPr="00111E1E" w:rsidRDefault="000F3890" w:rsidP="000F3890">
      <w:pPr>
        <w:pStyle w:val="Default"/>
        <w:spacing w:line="480" w:lineRule="auto"/>
        <w:ind w:firstLine="720"/>
      </w:pPr>
      <w:r w:rsidRPr="00A738DA">
        <w:t xml:space="preserve">The loss of a species through hybridization and introgression is </w:t>
      </w:r>
      <w:r>
        <w:t>likely</w:t>
      </w:r>
      <w:r w:rsidRPr="00A738DA">
        <w:t xml:space="preserve"> to be</w:t>
      </w:r>
      <w:r>
        <w:t>come</w:t>
      </w:r>
      <w:r w:rsidRPr="00A738DA">
        <w:t xml:space="preserve"> an increasingly common threat to biodiversity</w:t>
      </w:r>
      <w:r w:rsidR="002A5D24">
        <w:t xml:space="preserve"> as human impacts to ecosystems increase</w:t>
      </w:r>
      <w:r w:rsidRPr="00A738DA">
        <w:t xml:space="preserve">. </w:t>
      </w:r>
      <w:r>
        <w:t xml:space="preserve">In the case of the GWWA, secondary contact, genetic introgression, and species replacement has already been initiated throughout most of its range, with Manitoba acting as the ‘final frontier’. The documentation of this process from start to finish in a species such as the GWWA can serve as a blueprint for what could occur in other closely related species brought into secondary contact. </w:t>
      </w:r>
    </w:p>
    <w:p w:rsidR="000F3890" w:rsidRDefault="000F3890" w:rsidP="000F3890">
      <w:pPr>
        <w:widowControl/>
        <w:overflowPunct/>
        <w:autoSpaceDE w:val="0"/>
        <w:autoSpaceDN w:val="0"/>
        <w:spacing w:line="480" w:lineRule="auto"/>
        <w:rPr>
          <w:rFonts w:eastAsiaTheme="minorHAnsi"/>
          <w:kern w:val="0"/>
        </w:rPr>
      </w:pPr>
      <w:r>
        <w:rPr>
          <w:rFonts w:eastAsiaTheme="minorHAnsi"/>
          <w:kern w:val="0"/>
        </w:rPr>
        <w:t xml:space="preserve"> </w:t>
      </w:r>
    </w:p>
    <w:p w:rsidR="000F3890" w:rsidRPr="002C3AFE" w:rsidRDefault="000F3890" w:rsidP="000F3890">
      <w:pPr>
        <w:widowControl/>
        <w:overflowPunct/>
        <w:autoSpaceDE w:val="0"/>
        <w:autoSpaceDN w:val="0"/>
        <w:spacing w:line="480" w:lineRule="auto"/>
        <w:rPr>
          <w:rFonts w:eastAsiaTheme="minorHAnsi"/>
          <w:kern w:val="0"/>
        </w:rPr>
      </w:pPr>
      <w:r>
        <w:rPr>
          <w:b/>
        </w:rPr>
        <w:t>Acknowledgments</w:t>
      </w:r>
    </w:p>
    <w:p w:rsidR="000F3890" w:rsidRPr="008D2DD9" w:rsidRDefault="000F3890" w:rsidP="000F3890">
      <w:pPr>
        <w:spacing w:line="480" w:lineRule="auto"/>
      </w:pPr>
      <w:r>
        <w:t xml:space="preserve">We thank R.D. Bull and the Canadian Museum of Nature for lab assistance and for providing the space to complete the genetic component of this research. We also thank the numerous field technicians who assisted with collecting data in the field: A. Hutchings, C. Enslow, R. McDonald, S. </w:t>
      </w:r>
      <w:proofErr w:type="spellStart"/>
      <w:r>
        <w:t>Blay</w:t>
      </w:r>
      <w:proofErr w:type="spellEnd"/>
      <w:r>
        <w:t xml:space="preserve">, H. </w:t>
      </w:r>
      <w:proofErr w:type="spellStart"/>
      <w:r>
        <w:t>Miltenburg</w:t>
      </w:r>
      <w:proofErr w:type="spellEnd"/>
      <w:r>
        <w:t xml:space="preserve">, T. </w:t>
      </w:r>
      <w:proofErr w:type="spellStart"/>
      <w:r>
        <w:t>Belluz</w:t>
      </w:r>
      <w:proofErr w:type="spellEnd"/>
      <w:r>
        <w:t xml:space="preserve">, M. </w:t>
      </w:r>
      <w:proofErr w:type="spellStart"/>
      <w:r>
        <w:t>Dorriesfield</w:t>
      </w:r>
      <w:proofErr w:type="spellEnd"/>
      <w:r>
        <w:t xml:space="preserve">, J. </w:t>
      </w:r>
      <w:proofErr w:type="spellStart"/>
      <w:r>
        <w:t>Levac</w:t>
      </w:r>
      <w:proofErr w:type="spellEnd"/>
      <w:r>
        <w:t xml:space="preserve">, L. McConnell, M. Olynyk, and O. O’Sullivan. Funding for this project was provided by </w:t>
      </w:r>
      <w:r w:rsidR="0021119E">
        <w:t>Natural Sciences and Engineering Research Council – Industrial Postgraduate Scholarship program</w:t>
      </w:r>
      <w:r>
        <w:t>, Bird Studies Canada, the Manitoba Conservation Endangered Species Biodiversity Fund, the Neotropical Migratory Bird Conservation Act Fund (U</w:t>
      </w:r>
      <w:r w:rsidR="0021119E">
        <w:t xml:space="preserve">nited </w:t>
      </w:r>
      <w:r>
        <w:t>S</w:t>
      </w:r>
      <w:r w:rsidR="0021119E">
        <w:t xml:space="preserve">tates </w:t>
      </w:r>
      <w:r>
        <w:t>F</w:t>
      </w:r>
      <w:r w:rsidR="0021119E">
        <w:t xml:space="preserve">ish and Wildlife </w:t>
      </w:r>
      <w:r>
        <w:t>S</w:t>
      </w:r>
      <w:r w:rsidR="0021119E">
        <w:t>ervice</w:t>
      </w:r>
      <w:r>
        <w:t xml:space="preserve">), and the Connie </w:t>
      </w:r>
      <w:r>
        <w:lastRenderedPageBreak/>
        <w:t xml:space="preserve">Holland Bird Study Fund. This research was completed under Canadian Wildlife Service bird banding permit 10793-D and Canadian Wildlife Service scientific permit 11-MC-SC019. Animal care and use permit F11-010 was issued by the University of Manitoba.  </w:t>
      </w:r>
    </w:p>
    <w:p w:rsidR="000F3890" w:rsidRDefault="000F3890" w:rsidP="000F3890">
      <w:pPr>
        <w:widowControl/>
        <w:overflowPunct/>
        <w:adjustRightInd/>
        <w:spacing w:after="160" w:line="480" w:lineRule="auto"/>
        <w:rPr>
          <w:b/>
        </w:rPr>
      </w:pPr>
      <w:r>
        <w:rPr>
          <w:b/>
        </w:rPr>
        <w:br w:type="page"/>
      </w:r>
      <w:r>
        <w:rPr>
          <w:b/>
        </w:rPr>
        <w:lastRenderedPageBreak/>
        <w:t>Literature Cited</w:t>
      </w:r>
    </w:p>
    <w:p w:rsidR="000F3890" w:rsidRPr="00A607C4" w:rsidRDefault="00966BDE" w:rsidP="000F3890">
      <w:pPr>
        <w:autoSpaceDE w:val="0"/>
        <w:autoSpaceDN w:val="0"/>
        <w:spacing w:line="480" w:lineRule="auto"/>
        <w:ind w:left="720" w:hanging="720"/>
        <w:rPr>
          <w:lang w:bidi="he-IL"/>
        </w:rPr>
      </w:pPr>
      <w:proofErr w:type="spellStart"/>
      <w:r w:rsidRPr="00A607C4">
        <w:rPr>
          <w:lang w:bidi="he-IL"/>
        </w:rPr>
        <w:t>Aldinger</w:t>
      </w:r>
      <w:proofErr w:type="spellEnd"/>
      <w:r w:rsidRPr="00A607C4">
        <w:rPr>
          <w:lang w:bidi="he-IL"/>
        </w:rPr>
        <w:t xml:space="preserve"> KR, </w:t>
      </w:r>
      <w:r w:rsidR="000F3890" w:rsidRPr="00A607C4">
        <w:rPr>
          <w:lang w:bidi="he-IL"/>
        </w:rPr>
        <w:t>Wood</w:t>
      </w:r>
      <w:r w:rsidRPr="00A607C4">
        <w:rPr>
          <w:lang w:bidi="he-IL"/>
        </w:rPr>
        <w:t xml:space="preserve"> PB</w:t>
      </w:r>
      <w:r w:rsidR="000F3890" w:rsidRPr="00A607C4">
        <w:rPr>
          <w:lang w:bidi="he-IL"/>
        </w:rPr>
        <w:t xml:space="preserve"> </w:t>
      </w:r>
      <w:r w:rsidRPr="00A607C4">
        <w:rPr>
          <w:lang w:bidi="he-IL"/>
        </w:rPr>
        <w:t>(</w:t>
      </w:r>
      <w:r w:rsidR="000F3890" w:rsidRPr="00A607C4">
        <w:rPr>
          <w:lang w:bidi="he-IL"/>
        </w:rPr>
        <w:t>2014</w:t>
      </w:r>
      <w:r w:rsidRPr="00A607C4">
        <w:rPr>
          <w:lang w:bidi="he-IL"/>
        </w:rPr>
        <w:t>)</w:t>
      </w:r>
      <w:r w:rsidR="000F3890" w:rsidRPr="00A607C4">
        <w:rPr>
          <w:lang w:bidi="he-IL"/>
        </w:rPr>
        <w:t xml:space="preserve"> Reproductive success and habitat characteristics of Golden-winged Warblers in high-elevation pasturelands. </w:t>
      </w:r>
      <w:r w:rsidR="00382530" w:rsidRPr="00A607C4">
        <w:rPr>
          <w:iCs/>
          <w:lang w:bidi="he-IL"/>
        </w:rPr>
        <w:t xml:space="preserve">Wilson J. </w:t>
      </w:r>
      <w:proofErr w:type="spellStart"/>
      <w:r w:rsidR="00382530" w:rsidRPr="00A607C4">
        <w:rPr>
          <w:iCs/>
          <w:lang w:bidi="he-IL"/>
        </w:rPr>
        <w:t>Ornithol</w:t>
      </w:r>
      <w:proofErr w:type="spellEnd"/>
      <w:r w:rsidR="00382530" w:rsidRPr="00A607C4">
        <w:rPr>
          <w:iCs/>
          <w:lang w:bidi="he-IL"/>
        </w:rPr>
        <w:t>.</w:t>
      </w:r>
      <w:r w:rsidR="000F3890" w:rsidRPr="00A607C4">
        <w:rPr>
          <w:lang w:bidi="he-IL"/>
        </w:rPr>
        <w:t xml:space="preserve"> </w:t>
      </w:r>
      <w:r w:rsidR="000F3890" w:rsidRPr="00A607C4">
        <w:rPr>
          <w:iCs/>
          <w:lang w:bidi="he-IL"/>
        </w:rPr>
        <w:t>126</w:t>
      </w:r>
      <w:r w:rsidR="000F3890" w:rsidRPr="00A607C4">
        <w:rPr>
          <w:lang w:bidi="he-IL"/>
        </w:rPr>
        <w:t>:</w:t>
      </w:r>
      <w:r w:rsidRPr="00A607C4">
        <w:rPr>
          <w:lang w:bidi="he-IL"/>
        </w:rPr>
        <w:t>279-287</w:t>
      </w:r>
    </w:p>
    <w:p w:rsidR="000F3890" w:rsidRPr="002A5D24" w:rsidRDefault="000F3890" w:rsidP="00587EC0">
      <w:pPr>
        <w:autoSpaceDE w:val="0"/>
        <w:autoSpaceDN w:val="0"/>
        <w:spacing w:line="480" w:lineRule="auto"/>
        <w:rPr>
          <w:highlight w:val="yellow"/>
          <w:lang w:bidi="he-IL"/>
        </w:rPr>
      </w:pPr>
    </w:p>
    <w:p w:rsidR="000F3890" w:rsidRPr="00A607C4" w:rsidRDefault="00D15760" w:rsidP="00A607C4">
      <w:pPr>
        <w:autoSpaceDE w:val="0"/>
        <w:autoSpaceDN w:val="0"/>
        <w:spacing w:line="480" w:lineRule="auto"/>
        <w:rPr>
          <w:rFonts w:eastAsiaTheme="minorHAnsi"/>
          <w:kern w:val="0"/>
        </w:rPr>
      </w:pPr>
      <w:r w:rsidRPr="00B72D37">
        <w:rPr>
          <w:rFonts w:eastAsiaTheme="minorHAnsi"/>
          <w:kern w:val="0"/>
        </w:rPr>
        <w:t>Anderson</w:t>
      </w:r>
      <w:r w:rsidR="000B6AB0" w:rsidRPr="00B72D37">
        <w:rPr>
          <w:rFonts w:eastAsiaTheme="minorHAnsi"/>
          <w:kern w:val="0"/>
        </w:rPr>
        <w:t xml:space="preserve"> E</w:t>
      </w:r>
      <w:r w:rsidRPr="00B72D37">
        <w:rPr>
          <w:rFonts w:eastAsiaTheme="minorHAnsi"/>
          <w:kern w:val="0"/>
        </w:rPr>
        <w:t xml:space="preserve"> </w:t>
      </w:r>
      <w:r w:rsidR="000B6AB0" w:rsidRPr="00B72D37">
        <w:rPr>
          <w:rFonts w:eastAsiaTheme="minorHAnsi"/>
          <w:kern w:val="0"/>
        </w:rPr>
        <w:t>(</w:t>
      </w:r>
      <w:r w:rsidRPr="00B72D37">
        <w:rPr>
          <w:rFonts w:eastAsiaTheme="minorHAnsi"/>
          <w:kern w:val="0"/>
        </w:rPr>
        <w:t>194</w:t>
      </w:r>
      <w:r w:rsidR="000B6AB0" w:rsidRPr="00B72D37">
        <w:rPr>
          <w:rFonts w:eastAsiaTheme="minorHAnsi"/>
          <w:kern w:val="0"/>
        </w:rPr>
        <w:t>9)</w:t>
      </w:r>
      <w:r w:rsidRPr="00B72D37">
        <w:rPr>
          <w:rFonts w:eastAsiaTheme="minorHAnsi"/>
          <w:kern w:val="0"/>
        </w:rPr>
        <w:t xml:space="preserve"> </w:t>
      </w:r>
      <w:r w:rsidRPr="00B72D37">
        <w:rPr>
          <w:rFonts w:eastAsiaTheme="minorHAnsi"/>
          <w:i/>
          <w:kern w:val="0"/>
        </w:rPr>
        <w:t>Introgressive hybridization</w:t>
      </w:r>
      <w:r w:rsidR="000B6AB0" w:rsidRPr="00B72D37">
        <w:rPr>
          <w:rFonts w:eastAsiaTheme="minorHAnsi"/>
          <w:kern w:val="0"/>
        </w:rPr>
        <w:t xml:space="preserve">. </w:t>
      </w:r>
      <w:r w:rsidRPr="00B72D37">
        <w:rPr>
          <w:rFonts w:eastAsiaTheme="minorHAnsi"/>
          <w:kern w:val="0"/>
        </w:rPr>
        <w:t>New York: Wiley</w:t>
      </w:r>
    </w:p>
    <w:p w:rsidR="00F002A9" w:rsidRPr="00F002A9" w:rsidRDefault="00F002A9" w:rsidP="00587EC0">
      <w:pPr>
        <w:spacing w:line="480" w:lineRule="auto"/>
        <w:rPr>
          <w:rFonts w:eastAsia="Times-Roman"/>
          <w:kern w:val="0"/>
        </w:rPr>
      </w:pPr>
    </w:p>
    <w:p w:rsidR="000F3890" w:rsidRPr="00535625" w:rsidRDefault="000B6AB0" w:rsidP="000F3890">
      <w:pPr>
        <w:pStyle w:val="BodyTextIndent2"/>
        <w:spacing w:line="480" w:lineRule="auto"/>
      </w:pPr>
      <w:r w:rsidRPr="00535625">
        <w:t>Buehler DA</w:t>
      </w:r>
      <w:r w:rsidR="000F3890" w:rsidRPr="00535625">
        <w:t>, Roth</w:t>
      </w:r>
      <w:r w:rsidRPr="00535625">
        <w:t xml:space="preserve"> AM, </w:t>
      </w:r>
      <w:r w:rsidR="000F3890" w:rsidRPr="00535625">
        <w:t>Vallender</w:t>
      </w:r>
      <w:r w:rsidRPr="00535625">
        <w:t xml:space="preserve"> R,</w:t>
      </w:r>
      <w:r w:rsidR="000F3890" w:rsidRPr="00535625">
        <w:t xml:space="preserve"> Will</w:t>
      </w:r>
      <w:r w:rsidRPr="00535625">
        <w:t xml:space="preserve"> TC, </w:t>
      </w:r>
      <w:r w:rsidR="000F3890" w:rsidRPr="00535625">
        <w:t>Confer</w:t>
      </w:r>
      <w:r w:rsidRPr="00535625">
        <w:t xml:space="preserve"> JL, </w:t>
      </w:r>
      <w:r w:rsidR="000F3890" w:rsidRPr="00535625">
        <w:t>Canterbury</w:t>
      </w:r>
      <w:r w:rsidRPr="00535625">
        <w:t xml:space="preserve"> RA,</w:t>
      </w:r>
      <w:r w:rsidR="000F3890" w:rsidRPr="00535625">
        <w:t xml:space="preserve"> Barker </w:t>
      </w:r>
      <w:proofErr w:type="spellStart"/>
      <w:r w:rsidR="000F3890" w:rsidRPr="00535625">
        <w:t>Swarthout</w:t>
      </w:r>
      <w:proofErr w:type="spellEnd"/>
      <w:r w:rsidRPr="00535625">
        <w:t xml:space="preserve"> S, </w:t>
      </w:r>
      <w:r w:rsidR="000F3890" w:rsidRPr="00535625">
        <w:t>Rosenberg</w:t>
      </w:r>
      <w:r w:rsidRPr="00535625">
        <w:t xml:space="preserve"> KV, </w:t>
      </w:r>
      <w:proofErr w:type="spellStart"/>
      <w:r w:rsidR="000F3890" w:rsidRPr="00535625">
        <w:t>Bulluck</w:t>
      </w:r>
      <w:proofErr w:type="spellEnd"/>
      <w:r w:rsidRPr="00535625">
        <w:t xml:space="preserve"> LP</w:t>
      </w:r>
      <w:r w:rsidR="000F3890" w:rsidRPr="00535625">
        <w:t xml:space="preserve"> </w:t>
      </w:r>
      <w:r w:rsidRPr="00535625">
        <w:t>(2007)</w:t>
      </w:r>
      <w:r w:rsidR="000F3890" w:rsidRPr="00535625">
        <w:t xml:space="preserve"> Status and conservation priorities of Golden-winged Warblers (</w:t>
      </w:r>
      <w:proofErr w:type="spellStart"/>
      <w:r w:rsidR="000F3890" w:rsidRPr="00535625">
        <w:rPr>
          <w:i/>
        </w:rPr>
        <w:t>Vermivora</w:t>
      </w:r>
      <w:proofErr w:type="spellEnd"/>
      <w:r w:rsidR="000F3890" w:rsidRPr="00535625">
        <w:rPr>
          <w:i/>
        </w:rPr>
        <w:t xml:space="preserve"> chrysoptera</w:t>
      </w:r>
      <w:r w:rsidR="000F3890" w:rsidRPr="00535625">
        <w:t>) in North America</w:t>
      </w:r>
      <w:r w:rsidRPr="00535625">
        <w:t>. Auk 124:1439-1445</w:t>
      </w:r>
    </w:p>
    <w:p w:rsidR="000F3890" w:rsidRPr="00535625" w:rsidRDefault="000F3890" w:rsidP="000F3890">
      <w:pPr>
        <w:spacing w:line="480" w:lineRule="auto"/>
      </w:pPr>
    </w:p>
    <w:p w:rsidR="000F3890" w:rsidRPr="00535625" w:rsidRDefault="000B6AB0" w:rsidP="000F3890">
      <w:pPr>
        <w:spacing w:line="480" w:lineRule="auto"/>
      </w:pPr>
      <w:r w:rsidRPr="00535625">
        <w:t>Burnham KP,</w:t>
      </w:r>
      <w:r w:rsidR="000F3890" w:rsidRPr="00535625">
        <w:t xml:space="preserve"> Anderson</w:t>
      </w:r>
      <w:r w:rsidRPr="00535625">
        <w:t xml:space="preserve"> DR</w:t>
      </w:r>
      <w:r w:rsidR="000F3890" w:rsidRPr="00535625">
        <w:t xml:space="preserve"> </w:t>
      </w:r>
      <w:r w:rsidRPr="00535625">
        <w:t>(2002)</w:t>
      </w:r>
      <w:r w:rsidR="000F3890" w:rsidRPr="00535625">
        <w:t xml:space="preserve"> Model selection and multi-model inference: a </w:t>
      </w:r>
    </w:p>
    <w:p w:rsidR="000F3890" w:rsidRPr="00535625" w:rsidRDefault="000F3890" w:rsidP="000F3890">
      <w:pPr>
        <w:spacing w:line="480" w:lineRule="auto"/>
        <w:ind w:firstLine="720"/>
      </w:pPr>
      <w:r w:rsidRPr="00535625">
        <w:t>practical information theoretic approach, 2</w:t>
      </w:r>
      <w:r w:rsidRPr="00535625">
        <w:rPr>
          <w:vertAlign w:val="superscript"/>
        </w:rPr>
        <w:t>nd</w:t>
      </w:r>
      <w:r w:rsidRPr="00535625">
        <w:t xml:space="preserve"> edit</w:t>
      </w:r>
      <w:r w:rsidR="000B6AB0" w:rsidRPr="00535625">
        <w:t>ion. Springer-Verlag, New York</w:t>
      </w:r>
    </w:p>
    <w:p w:rsidR="000F3890" w:rsidRPr="00535625" w:rsidRDefault="000F3890" w:rsidP="000F3890">
      <w:pPr>
        <w:spacing w:line="480" w:lineRule="auto"/>
      </w:pPr>
    </w:p>
    <w:p w:rsidR="000F3890" w:rsidRPr="00535625" w:rsidRDefault="000F3890" w:rsidP="000F3890">
      <w:pPr>
        <w:spacing w:line="480" w:lineRule="auto"/>
      </w:pPr>
      <w:r w:rsidRPr="00535625">
        <w:t>Chapin</w:t>
      </w:r>
      <w:r w:rsidR="000B6AB0" w:rsidRPr="00535625">
        <w:t xml:space="preserve"> III</w:t>
      </w:r>
      <w:r w:rsidRPr="00535625">
        <w:t xml:space="preserve"> F</w:t>
      </w:r>
      <w:r w:rsidR="000B6AB0" w:rsidRPr="00535625">
        <w:t>S,</w:t>
      </w:r>
      <w:r w:rsidRPr="00535625">
        <w:t xml:space="preserve"> </w:t>
      </w:r>
      <w:proofErr w:type="spellStart"/>
      <w:r w:rsidRPr="00535625">
        <w:t>Zavaleta</w:t>
      </w:r>
      <w:proofErr w:type="spellEnd"/>
      <w:r w:rsidR="000B6AB0" w:rsidRPr="00535625">
        <w:t xml:space="preserve"> ES, </w:t>
      </w:r>
      <w:proofErr w:type="spellStart"/>
      <w:r w:rsidRPr="00535625">
        <w:t>Eviner</w:t>
      </w:r>
      <w:proofErr w:type="spellEnd"/>
      <w:r w:rsidR="000B6AB0" w:rsidRPr="00535625">
        <w:t xml:space="preserve"> VT</w:t>
      </w:r>
      <w:r w:rsidRPr="00535625">
        <w:t>, Naylor</w:t>
      </w:r>
      <w:r w:rsidR="000B6AB0" w:rsidRPr="00535625">
        <w:t xml:space="preserve"> RL</w:t>
      </w:r>
      <w:r w:rsidRPr="00535625">
        <w:t xml:space="preserve">, </w:t>
      </w:r>
      <w:proofErr w:type="spellStart"/>
      <w:r w:rsidRPr="00535625">
        <w:t>Vitousek</w:t>
      </w:r>
      <w:proofErr w:type="spellEnd"/>
      <w:r w:rsidR="000B6AB0" w:rsidRPr="00535625">
        <w:t xml:space="preserve"> PM</w:t>
      </w:r>
      <w:r w:rsidRPr="00535625">
        <w:t xml:space="preserve">, Reynolds </w:t>
      </w:r>
      <w:r w:rsidR="000B6AB0" w:rsidRPr="00535625">
        <w:t>HL,</w:t>
      </w:r>
      <w:r w:rsidRPr="00535625">
        <w:t xml:space="preserve"> </w:t>
      </w:r>
    </w:p>
    <w:p w:rsidR="000F3890" w:rsidRPr="00535625" w:rsidRDefault="000F3890" w:rsidP="000F3890">
      <w:pPr>
        <w:spacing w:line="480" w:lineRule="auto"/>
        <w:ind w:firstLine="720"/>
      </w:pPr>
      <w:r w:rsidRPr="00535625">
        <w:t>Hooper</w:t>
      </w:r>
      <w:r w:rsidR="000B6AB0" w:rsidRPr="00535625">
        <w:t xml:space="preserve"> DU</w:t>
      </w:r>
      <w:r w:rsidRPr="00535625">
        <w:t xml:space="preserve">, </w:t>
      </w:r>
      <w:proofErr w:type="spellStart"/>
      <w:r w:rsidRPr="00535625">
        <w:t>Lavorel</w:t>
      </w:r>
      <w:proofErr w:type="spellEnd"/>
      <w:r w:rsidR="000B6AB0" w:rsidRPr="00535625">
        <w:t xml:space="preserve"> S</w:t>
      </w:r>
      <w:r w:rsidRPr="00535625">
        <w:t>, Sala</w:t>
      </w:r>
      <w:r w:rsidR="000B6AB0" w:rsidRPr="00535625">
        <w:t xml:space="preserve"> OE</w:t>
      </w:r>
      <w:r w:rsidRPr="00535625">
        <w:t xml:space="preserve">, </w:t>
      </w:r>
      <w:proofErr w:type="spellStart"/>
      <w:r w:rsidRPr="00535625">
        <w:t>Hobbie</w:t>
      </w:r>
      <w:proofErr w:type="spellEnd"/>
      <w:r w:rsidR="000B6AB0" w:rsidRPr="00535625">
        <w:t xml:space="preserve"> SE</w:t>
      </w:r>
      <w:r w:rsidRPr="00535625">
        <w:t>, Mack</w:t>
      </w:r>
      <w:r w:rsidR="000B6AB0" w:rsidRPr="00535625">
        <w:t xml:space="preserve"> MC</w:t>
      </w:r>
      <w:r w:rsidRPr="00535625">
        <w:t>,</w:t>
      </w:r>
      <w:r w:rsidR="000B6AB0" w:rsidRPr="00535625">
        <w:t xml:space="preserve"> and </w:t>
      </w:r>
      <w:r w:rsidRPr="00535625">
        <w:t>Díaz</w:t>
      </w:r>
      <w:r w:rsidR="000B6AB0" w:rsidRPr="00535625">
        <w:t xml:space="preserve"> S</w:t>
      </w:r>
      <w:r w:rsidRPr="00535625">
        <w:t xml:space="preserve"> </w:t>
      </w:r>
      <w:r w:rsidR="000B6AB0" w:rsidRPr="00535625">
        <w:t>(2000)</w:t>
      </w:r>
      <w:r w:rsidRPr="00535625">
        <w:t xml:space="preserve"> </w:t>
      </w:r>
    </w:p>
    <w:p w:rsidR="000F3890" w:rsidRPr="00535625" w:rsidRDefault="000F3890" w:rsidP="000F3890">
      <w:pPr>
        <w:spacing w:line="480" w:lineRule="auto"/>
        <w:ind w:left="720"/>
      </w:pPr>
      <w:r w:rsidRPr="00535625">
        <w:t xml:space="preserve">Consequences of changing biodiversity. </w:t>
      </w:r>
      <w:r w:rsidR="000B6AB0" w:rsidRPr="00535625">
        <w:t>Nature 405:</w:t>
      </w:r>
      <w:r w:rsidRPr="00535625">
        <w:t>234-242</w:t>
      </w:r>
    </w:p>
    <w:p w:rsidR="000F3890" w:rsidRPr="002A5D24" w:rsidRDefault="000F3890" w:rsidP="00587EC0">
      <w:pPr>
        <w:spacing w:line="480" w:lineRule="auto"/>
        <w:rPr>
          <w:highlight w:val="yellow"/>
        </w:rPr>
      </w:pPr>
    </w:p>
    <w:p w:rsidR="000F3890" w:rsidRPr="00A607C4" w:rsidRDefault="000B6AB0" w:rsidP="000F3890">
      <w:pPr>
        <w:spacing w:line="480" w:lineRule="auto"/>
        <w:ind w:left="720" w:hanging="720"/>
      </w:pPr>
      <w:r w:rsidRPr="00A607C4">
        <w:t>Confer JL</w:t>
      </w:r>
      <w:r w:rsidR="000F3890" w:rsidRPr="00A607C4">
        <w:t xml:space="preserve"> </w:t>
      </w:r>
      <w:r w:rsidRPr="00A607C4">
        <w:t>(1992)</w:t>
      </w:r>
      <w:r w:rsidR="000F3890" w:rsidRPr="00A607C4">
        <w:t xml:space="preserve"> Golden-winged Warbler. No. 20 </w:t>
      </w:r>
      <w:r w:rsidR="000F3890" w:rsidRPr="00A607C4">
        <w:rPr>
          <w:i/>
          <w:iCs/>
        </w:rPr>
        <w:t>in</w:t>
      </w:r>
      <w:r w:rsidR="000F3890" w:rsidRPr="00A607C4">
        <w:t xml:space="preserve"> The Birds of </w:t>
      </w:r>
      <w:smartTag w:uri="urn:schemas-microsoft-com:office:smarttags" w:element="place">
        <w:r w:rsidR="000F3890" w:rsidRPr="00A607C4">
          <w:t>North America</w:t>
        </w:r>
      </w:smartTag>
      <w:r w:rsidR="000F3890" w:rsidRPr="00A607C4">
        <w:t xml:space="preserve">, (A. Poole, P. </w:t>
      </w:r>
      <w:proofErr w:type="spellStart"/>
      <w:r w:rsidR="000F3890" w:rsidRPr="00A607C4">
        <w:t>Stettenheim</w:t>
      </w:r>
      <w:proofErr w:type="spellEnd"/>
      <w:r w:rsidR="000F3890" w:rsidRPr="00A607C4">
        <w:t xml:space="preserve">, and F. Gill, Eds.). </w:t>
      </w:r>
      <w:r w:rsidR="00D15760" w:rsidRPr="00A607C4">
        <w:t xml:space="preserve">- </w:t>
      </w:r>
      <w:r w:rsidR="000F3890" w:rsidRPr="00A607C4">
        <w:t>Philadelphia: The Academy of Natural Sciences; Washington, DC: The</w:t>
      </w:r>
      <w:r w:rsidRPr="00A607C4">
        <w:t xml:space="preserve"> American Ornithologists’ Union</w:t>
      </w:r>
    </w:p>
    <w:p w:rsidR="000F3890" w:rsidRPr="002A5D24" w:rsidRDefault="000F3890" w:rsidP="000F3890">
      <w:pPr>
        <w:spacing w:line="480" w:lineRule="auto"/>
        <w:ind w:left="720" w:hanging="720"/>
        <w:rPr>
          <w:highlight w:val="yellow"/>
        </w:rPr>
      </w:pPr>
    </w:p>
    <w:p w:rsidR="000F3890" w:rsidRPr="00535625" w:rsidRDefault="000B6AB0" w:rsidP="000F3890">
      <w:pPr>
        <w:spacing w:line="480" w:lineRule="auto"/>
        <w:ind w:left="720" w:hanging="720"/>
      </w:pPr>
      <w:r w:rsidRPr="00535625">
        <w:rPr>
          <w:color w:val="222222"/>
          <w:shd w:val="clear" w:color="auto" w:fill="FFFFFF"/>
        </w:rPr>
        <w:t>Confer JL,</w:t>
      </w:r>
      <w:r w:rsidR="000F3890" w:rsidRPr="00535625">
        <w:rPr>
          <w:color w:val="222222"/>
          <w:shd w:val="clear" w:color="auto" w:fill="FFFFFF"/>
        </w:rPr>
        <w:t xml:space="preserve"> Larkin</w:t>
      </w:r>
      <w:r w:rsidRPr="00535625">
        <w:rPr>
          <w:color w:val="222222"/>
          <w:shd w:val="clear" w:color="auto" w:fill="FFFFFF"/>
        </w:rPr>
        <w:t xml:space="preserve"> JL</w:t>
      </w:r>
      <w:r w:rsidR="000F3890" w:rsidRPr="00535625">
        <w:rPr>
          <w:color w:val="222222"/>
          <w:shd w:val="clear" w:color="auto" w:fill="FFFFFF"/>
        </w:rPr>
        <w:t xml:space="preserve"> </w:t>
      </w:r>
      <w:r w:rsidRPr="00535625">
        <w:rPr>
          <w:color w:val="222222"/>
          <w:shd w:val="clear" w:color="auto" w:fill="FFFFFF"/>
        </w:rPr>
        <w:t>(</w:t>
      </w:r>
      <w:r w:rsidR="000F3890" w:rsidRPr="00535625">
        <w:rPr>
          <w:color w:val="222222"/>
          <w:shd w:val="clear" w:color="auto" w:fill="FFFFFF"/>
        </w:rPr>
        <w:t>1998</w:t>
      </w:r>
      <w:r w:rsidRPr="00535625">
        <w:rPr>
          <w:color w:val="222222"/>
          <w:shd w:val="clear" w:color="auto" w:fill="FFFFFF"/>
        </w:rPr>
        <w:t>)</w:t>
      </w:r>
      <w:r w:rsidR="000F3890" w:rsidRPr="00535625">
        <w:rPr>
          <w:color w:val="222222"/>
          <w:shd w:val="clear" w:color="auto" w:fill="FFFFFF"/>
        </w:rPr>
        <w:t xml:space="preserve"> Behavioral interactions between Golden-winged and Blue-winged warblers.</w:t>
      </w:r>
      <w:r w:rsidR="000F3890" w:rsidRPr="00535625">
        <w:rPr>
          <w:rStyle w:val="apple-converted-space"/>
          <w:color w:val="222222"/>
          <w:shd w:val="clear" w:color="auto" w:fill="FFFFFF"/>
        </w:rPr>
        <w:t> </w:t>
      </w:r>
      <w:r w:rsidR="000F3890" w:rsidRPr="00535625">
        <w:rPr>
          <w:iCs/>
          <w:color w:val="222222"/>
          <w:shd w:val="clear" w:color="auto" w:fill="FFFFFF"/>
        </w:rPr>
        <w:t>Auk 115:</w:t>
      </w:r>
      <w:r w:rsidRPr="00535625">
        <w:rPr>
          <w:color w:val="222222"/>
          <w:shd w:val="clear" w:color="auto" w:fill="FFFFFF"/>
        </w:rPr>
        <w:t>209-214</w:t>
      </w:r>
    </w:p>
    <w:p w:rsidR="000F3890" w:rsidRPr="002A5D24" w:rsidRDefault="000F3890" w:rsidP="000F3890">
      <w:pPr>
        <w:spacing w:line="480" w:lineRule="auto"/>
        <w:rPr>
          <w:highlight w:val="yellow"/>
        </w:rPr>
      </w:pPr>
    </w:p>
    <w:p w:rsidR="000F3890" w:rsidRPr="00535625" w:rsidRDefault="000B6AB0" w:rsidP="000F3890">
      <w:pPr>
        <w:spacing w:line="480" w:lineRule="auto"/>
        <w:ind w:left="720" w:hanging="720"/>
      </w:pPr>
      <w:r w:rsidRPr="00535625">
        <w:t xml:space="preserve">Confer JL, </w:t>
      </w:r>
      <w:r w:rsidR="000F3890" w:rsidRPr="00535625">
        <w:t>Larkin</w:t>
      </w:r>
      <w:r w:rsidRPr="00535625">
        <w:t xml:space="preserve"> JL, </w:t>
      </w:r>
      <w:r w:rsidR="000F3890" w:rsidRPr="00535625">
        <w:t>Allen</w:t>
      </w:r>
      <w:r w:rsidRPr="00535625">
        <w:t xml:space="preserve"> PE</w:t>
      </w:r>
      <w:r w:rsidR="000F3890" w:rsidRPr="00535625">
        <w:t xml:space="preserve"> </w:t>
      </w:r>
      <w:r w:rsidRPr="00535625">
        <w:t>(2003)</w:t>
      </w:r>
      <w:r w:rsidR="000F3890" w:rsidRPr="00535625">
        <w:t xml:space="preserve"> Effects of vegetation, interspecific competition, and brood parasitism on Golden-winged Warbler (</w:t>
      </w:r>
      <w:proofErr w:type="spellStart"/>
      <w:r w:rsidR="000F3890" w:rsidRPr="00535625">
        <w:rPr>
          <w:i/>
          <w:iCs/>
        </w:rPr>
        <w:t>Vermivora</w:t>
      </w:r>
      <w:proofErr w:type="spellEnd"/>
      <w:r w:rsidR="000F3890" w:rsidRPr="00535625">
        <w:rPr>
          <w:i/>
          <w:iCs/>
        </w:rPr>
        <w:t xml:space="preserve"> chrysoptera</w:t>
      </w:r>
      <w:r w:rsidR="000F3890" w:rsidRPr="00535625">
        <w:t xml:space="preserve">) nesting success. </w:t>
      </w:r>
      <w:r w:rsidRPr="00535625">
        <w:t>Auk 120:138-144</w:t>
      </w:r>
    </w:p>
    <w:p w:rsidR="000F3890" w:rsidRPr="002A5D24" w:rsidRDefault="000F3890" w:rsidP="000F3890">
      <w:pPr>
        <w:spacing w:line="480" w:lineRule="auto"/>
        <w:rPr>
          <w:highlight w:val="yellow"/>
        </w:rPr>
      </w:pPr>
    </w:p>
    <w:p w:rsidR="000F3890" w:rsidRDefault="000B6AB0" w:rsidP="001E6404">
      <w:pPr>
        <w:spacing w:line="480" w:lineRule="auto"/>
        <w:ind w:left="720" w:hanging="720"/>
      </w:pPr>
      <w:r w:rsidRPr="00B72D37">
        <w:t xml:space="preserve">Confer JL, </w:t>
      </w:r>
      <w:r w:rsidR="000F3890" w:rsidRPr="00B72D37">
        <w:t>Barnes</w:t>
      </w:r>
      <w:r w:rsidRPr="00B72D37">
        <w:t xml:space="preserve"> KW, </w:t>
      </w:r>
      <w:proofErr w:type="spellStart"/>
      <w:r w:rsidR="000F3890" w:rsidRPr="00B72D37">
        <w:t>Alvey</w:t>
      </w:r>
      <w:proofErr w:type="spellEnd"/>
      <w:r w:rsidRPr="00B72D37">
        <w:t xml:space="preserve"> EC</w:t>
      </w:r>
      <w:r w:rsidR="000F3890" w:rsidRPr="00B72D37">
        <w:t xml:space="preserve"> </w:t>
      </w:r>
      <w:r w:rsidRPr="00B72D37">
        <w:t>(2010)</w:t>
      </w:r>
      <w:r w:rsidR="000F3890" w:rsidRPr="00B72D37">
        <w:t xml:space="preserve"> Golden- and Blue-winged Warblers: distribution, nesting success, and genetic differences in two habitats. </w:t>
      </w:r>
      <w:r w:rsidR="00382530" w:rsidRPr="00B72D37">
        <w:t>Wilson J.</w:t>
      </w:r>
      <w:r w:rsidR="000F3890" w:rsidRPr="00B72D37">
        <w:t xml:space="preserve"> </w:t>
      </w:r>
      <w:proofErr w:type="spellStart"/>
      <w:r w:rsidR="000F3890" w:rsidRPr="00B72D37">
        <w:t>Ornith</w:t>
      </w:r>
      <w:r w:rsidR="00382530" w:rsidRPr="00B72D37">
        <w:t>ol</w:t>
      </w:r>
      <w:proofErr w:type="spellEnd"/>
      <w:r w:rsidR="00382530" w:rsidRPr="00B72D37">
        <w:t>.</w:t>
      </w:r>
      <w:r w:rsidRPr="00B72D37">
        <w:t xml:space="preserve"> 122:273-278</w:t>
      </w:r>
    </w:p>
    <w:p w:rsidR="001E6404" w:rsidRPr="00535625" w:rsidRDefault="001E6404" w:rsidP="001E6404">
      <w:pPr>
        <w:spacing w:line="480" w:lineRule="auto"/>
        <w:ind w:left="720" w:hanging="720"/>
      </w:pPr>
    </w:p>
    <w:p w:rsidR="000F3890" w:rsidRPr="00535625" w:rsidRDefault="00C13BC5" w:rsidP="000F3890">
      <w:pPr>
        <w:spacing w:line="480" w:lineRule="auto"/>
        <w:ind w:left="720" w:hanging="720"/>
      </w:pPr>
      <w:proofErr w:type="spellStart"/>
      <w:r w:rsidRPr="00535625">
        <w:t>Dabrowski</w:t>
      </w:r>
      <w:proofErr w:type="spellEnd"/>
      <w:r w:rsidRPr="00535625">
        <w:t xml:space="preserve"> A, </w:t>
      </w:r>
      <w:r w:rsidR="000F3890" w:rsidRPr="00535625">
        <w:t>Fraser</w:t>
      </w:r>
      <w:r w:rsidRPr="00535625">
        <w:t xml:space="preserve"> R, </w:t>
      </w:r>
      <w:r w:rsidR="000F3890" w:rsidRPr="00535625">
        <w:t>Confer</w:t>
      </w:r>
      <w:r w:rsidRPr="00535625">
        <w:t xml:space="preserve"> JL, </w:t>
      </w:r>
      <w:proofErr w:type="spellStart"/>
      <w:r w:rsidR="000F3890" w:rsidRPr="00535625">
        <w:t>Lovette</w:t>
      </w:r>
      <w:proofErr w:type="spellEnd"/>
      <w:r w:rsidRPr="00535625">
        <w:t xml:space="preserve"> IJ</w:t>
      </w:r>
      <w:r w:rsidR="000F3890" w:rsidRPr="00535625">
        <w:t xml:space="preserve"> </w:t>
      </w:r>
      <w:r w:rsidRPr="00535625">
        <w:t>(2005)</w:t>
      </w:r>
      <w:r w:rsidR="000F3890" w:rsidRPr="00535625">
        <w:t xml:space="preserve"> Geographic variability in mitochondrial introgression among hybridizing populations of Golden-winged (</w:t>
      </w:r>
      <w:proofErr w:type="spellStart"/>
      <w:r w:rsidR="000F3890" w:rsidRPr="00535625">
        <w:rPr>
          <w:i/>
          <w:iCs/>
        </w:rPr>
        <w:t>Vermivora</w:t>
      </w:r>
      <w:proofErr w:type="spellEnd"/>
      <w:r w:rsidR="000F3890" w:rsidRPr="00535625">
        <w:rPr>
          <w:i/>
          <w:iCs/>
        </w:rPr>
        <w:t xml:space="preserve"> chrysoptera</w:t>
      </w:r>
      <w:r w:rsidR="000F3890" w:rsidRPr="00535625">
        <w:t>) and Blue-winged (</w:t>
      </w:r>
      <w:r w:rsidR="000F3890" w:rsidRPr="00535625">
        <w:rPr>
          <w:i/>
          <w:iCs/>
        </w:rPr>
        <w:t xml:space="preserve">V. </w:t>
      </w:r>
      <w:proofErr w:type="spellStart"/>
      <w:r w:rsidR="000F3890" w:rsidRPr="00535625">
        <w:rPr>
          <w:i/>
          <w:iCs/>
        </w:rPr>
        <w:t>pinus</w:t>
      </w:r>
      <w:proofErr w:type="spellEnd"/>
      <w:r w:rsidR="000F3890" w:rsidRPr="00535625">
        <w:t>) warblers. Cons</w:t>
      </w:r>
      <w:r w:rsidR="00382530" w:rsidRPr="00535625">
        <w:t>.</w:t>
      </w:r>
      <w:r w:rsidR="000F3890" w:rsidRPr="00535625">
        <w:t xml:space="preserve"> Gen</w:t>
      </w:r>
      <w:r w:rsidR="00382530" w:rsidRPr="00535625">
        <w:t>.</w:t>
      </w:r>
      <w:r w:rsidR="000F3890" w:rsidRPr="00535625">
        <w:t xml:space="preserve"> 6:</w:t>
      </w:r>
      <w:r w:rsidRPr="00535625">
        <w:t>843–853</w:t>
      </w:r>
    </w:p>
    <w:p w:rsidR="000F3890" w:rsidRPr="002A5D24" w:rsidRDefault="000F3890" w:rsidP="00A607C4">
      <w:pPr>
        <w:spacing w:line="480" w:lineRule="auto"/>
        <w:rPr>
          <w:highlight w:val="yellow"/>
        </w:rPr>
      </w:pPr>
    </w:p>
    <w:p w:rsidR="000F3890" w:rsidRPr="00A607C4" w:rsidRDefault="000F3890" w:rsidP="000F3890">
      <w:pPr>
        <w:tabs>
          <w:tab w:val="left" w:pos="630"/>
        </w:tabs>
        <w:spacing w:line="480" w:lineRule="auto"/>
        <w:ind w:left="720" w:hanging="720"/>
      </w:pPr>
      <w:r w:rsidRPr="00A607C4">
        <w:t xml:space="preserve">ESRI ArcMap version 10.2 </w:t>
      </w:r>
      <w:r w:rsidR="00C13BC5" w:rsidRPr="00A607C4">
        <w:t>(</w:t>
      </w:r>
      <w:r w:rsidRPr="00A607C4">
        <w:t>2014</w:t>
      </w:r>
      <w:r w:rsidR="00C13BC5" w:rsidRPr="00A607C4">
        <w:t>)</w:t>
      </w:r>
      <w:r w:rsidRPr="00A607C4">
        <w:t xml:space="preserve"> Computer software. </w:t>
      </w:r>
      <w:r w:rsidR="00C13BC5" w:rsidRPr="00A607C4">
        <w:t>ESRI, Redlands, California</w:t>
      </w:r>
    </w:p>
    <w:p w:rsidR="000F3890" w:rsidRPr="002A5D24" w:rsidRDefault="000F3890" w:rsidP="000F3890">
      <w:pPr>
        <w:spacing w:line="480" w:lineRule="auto"/>
        <w:rPr>
          <w:highlight w:val="yellow"/>
        </w:rPr>
      </w:pPr>
    </w:p>
    <w:p w:rsidR="000F3890" w:rsidRPr="00535625" w:rsidRDefault="00C13BC5" w:rsidP="000F3890">
      <w:pPr>
        <w:spacing w:line="480" w:lineRule="auto"/>
        <w:ind w:left="720" w:hanging="720"/>
      </w:pPr>
      <w:r w:rsidRPr="00535625">
        <w:t>Gill FB</w:t>
      </w:r>
      <w:r w:rsidR="000F3890" w:rsidRPr="00535625">
        <w:t xml:space="preserve"> </w:t>
      </w:r>
      <w:r w:rsidRPr="00535625">
        <w:t>(1980)</w:t>
      </w:r>
      <w:r w:rsidR="000F3890" w:rsidRPr="00535625">
        <w:t xml:space="preserve"> Historical aspects of hybridization between Blue-winged and Golden-winged Warblers. </w:t>
      </w:r>
      <w:r w:rsidRPr="00535625">
        <w:t>Auk 97:1-18</w:t>
      </w:r>
    </w:p>
    <w:p w:rsidR="000F3890" w:rsidRPr="002A5D24" w:rsidRDefault="000F3890" w:rsidP="000F3890">
      <w:pPr>
        <w:spacing w:line="480" w:lineRule="auto"/>
        <w:ind w:left="720" w:hanging="720"/>
        <w:rPr>
          <w:highlight w:val="yellow"/>
        </w:rPr>
      </w:pPr>
    </w:p>
    <w:p w:rsidR="000F3890" w:rsidRPr="00B72D37" w:rsidRDefault="00C13BC5" w:rsidP="000F3890">
      <w:pPr>
        <w:spacing w:line="480" w:lineRule="auto"/>
        <w:ind w:left="720" w:hanging="720"/>
      </w:pPr>
      <w:r w:rsidRPr="00B72D37">
        <w:t>Gill FB</w:t>
      </w:r>
      <w:r w:rsidR="000F3890" w:rsidRPr="00B72D37">
        <w:t xml:space="preserve"> </w:t>
      </w:r>
      <w:r w:rsidRPr="00B72D37">
        <w:t>(1997)</w:t>
      </w:r>
      <w:r w:rsidR="000F3890" w:rsidRPr="00B72D37">
        <w:t xml:space="preserve"> Local cytonuclear extinction of the Golden-winged Warbler. </w:t>
      </w:r>
      <w:proofErr w:type="spellStart"/>
      <w:r w:rsidR="000F3890" w:rsidRPr="00B72D37">
        <w:t>Evol</w:t>
      </w:r>
      <w:proofErr w:type="spellEnd"/>
      <w:r w:rsidR="00382530" w:rsidRPr="00B72D37">
        <w:t>.</w:t>
      </w:r>
      <w:r w:rsidRPr="00B72D37">
        <w:t xml:space="preserve"> 51:519–525</w:t>
      </w:r>
    </w:p>
    <w:p w:rsidR="00A607C4" w:rsidRDefault="00A607C4" w:rsidP="007F171C">
      <w:pPr>
        <w:spacing w:line="480" w:lineRule="auto"/>
      </w:pPr>
    </w:p>
    <w:p w:rsidR="00A607C4" w:rsidRDefault="00A607C4" w:rsidP="00A607C4">
      <w:pPr>
        <w:spacing w:line="480" w:lineRule="auto"/>
        <w:ind w:left="720" w:hanging="720"/>
      </w:pPr>
      <w:r>
        <w:t xml:space="preserve">Greenwood PJ (1980) Mating systems, philopatry, and dispersal in birds and mammals. Anim. </w:t>
      </w:r>
      <w:proofErr w:type="spellStart"/>
      <w:r>
        <w:t>Behav</w:t>
      </w:r>
      <w:proofErr w:type="spellEnd"/>
      <w:r>
        <w:t xml:space="preserve">. 28:1140-1162 </w:t>
      </w:r>
    </w:p>
    <w:p w:rsidR="000F3890" w:rsidRPr="002A5D24" w:rsidRDefault="000F3890" w:rsidP="000E790E">
      <w:pPr>
        <w:spacing w:line="480" w:lineRule="auto"/>
        <w:rPr>
          <w:highlight w:val="yellow"/>
        </w:rPr>
      </w:pPr>
    </w:p>
    <w:p w:rsidR="000F3890" w:rsidRPr="00535625" w:rsidRDefault="000F3890" w:rsidP="000F3890">
      <w:pPr>
        <w:spacing w:line="480" w:lineRule="auto"/>
        <w:ind w:left="720" w:hanging="720"/>
      </w:pPr>
      <w:proofErr w:type="spellStart"/>
      <w:r w:rsidRPr="00535625">
        <w:t>Kruuk</w:t>
      </w:r>
      <w:proofErr w:type="spellEnd"/>
      <w:r w:rsidR="00C13BC5" w:rsidRPr="00535625">
        <w:t xml:space="preserve"> LEB, </w:t>
      </w:r>
      <w:r w:rsidRPr="00535625">
        <w:t>Baird</w:t>
      </w:r>
      <w:r w:rsidR="00C13BC5" w:rsidRPr="00535625">
        <w:t xml:space="preserve"> SJE, </w:t>
      </w:r>
      <w:r w:rsidRPr="00535625">
        <w:t>Gale</w:t>
      </w:r>
      <w:r w:rsidR="00C13BC5" w:rsidRPr="00535625">
        <w:t xml:space="preserve"> KS, </w:t>
      </w:r>
      <w:r w:rsidRPr="00535625">
        <w:t>Barton</w:t>
      </w:r>
      <w:r w:rsidR="00C13BC5" w:rsidRPr="00535625">
        <w:t xml:space="preserve"> NH</w:t>
      </w:r>
      <w:r w:rsidRPr="00535625">
        <w:t xml:space="preserve"> </w:t>
      </w:r>
      <w:r w:rsidR="00C13BC5" w:rsidRPr="00535625">
        <w:t>(1999)</w:t>
      </w:r>
      <w:r w:rsidRPr="00535625">
        <w:t xml:space="preserve"> A comparison of </w:t>
      </w:r>
      <w:proofErr w:type="spellStart"/>
      <w:r w:rsidRPr="00535625">
        <w:t>multilocus</w:t>
      </w:r>
      <w:proofErr w:type="spellEnd"/>
      <w:r w:rsidRPr="00535625">
        <w:t xml:space="preserve"> clines </w:t>
      </w:r>
      <w:r w:rsidRPr="00535625">
        <w:lastRenderedPageBreak/>
        <w:t xml:space="preserve">maintained by environmental adaptation or by selection against hybrids. </w:t>
      </w:r>
      <w:r w:rsidR="00C13BC5" w:rsidRPr="00535625">
        <w:t>Genetics 153:1959-1971</w:t>
      </w:r>
    </w:p>
    <w:p w:rsidR="00B72D37" w:rsidRPr="00B72D37" w:rsidRDefault="00B72D37" w:rsidP="00B72D37">
      <w:pPr>
        <w:spacing w:line="480" w:lineRule="auto"/>
        <w:ind w:left="720" w:hanging="720"/>
      </w:pPr>
    </w:p>
    <w:p w:rsidR="00B72D37" w:rsidRPr="00B72D37" w:rsidRDefault="00B72D37" w:rsidP="00B72D37">
      <w:pPr>
        <w:spacing w:line="480" w:lineRule="auto"/>
        <w:ind w:left="720" w:hanging="720"/>
      </w:pPr>
      <w:proofErr w:type="spellStart"/>
      <w:r w:rsidRPr="00B72D37">
        <w:t>Lewontin</w:t>
      </w:r>
      <w:proofErr w:type="spellEnd"/>
      <w:r w:rsidRPr="00B72D37">
        <w:t xml:space="preserve"> RC, and Birch LC (1966) Hybridization as a source of variation for adaptation to new environments. </w:t>
      </w:r>
      <w:proofErr w:type="spellStart"/>
      <w:r w:rsidRPr="00B72D37">
        <w:t>Evol</w:t>
      </w:r>
      <w:proofErr w:type="spellEnd"/>
      <w:r w:rsidRPr="00B72D37">
        <w:t>. 20:315-226</w:t>
      </w:r>
    </w:p>
    <w:p w:rsidR="00BB67D2" w:rsidRDefault="00BB67D2" w:rsidP="00BB67D2">
      <w:pPr>
        <w:spacing w:line="480" w:lineRule="auto"/>
        <w:ind w:left="720" w:hanging="720"/>
      </w:pPr>
    </w:p>
    <w:p w:rsidR="00BB67D2" w:rsidRDefault="00BB67D2" w:rsidP="00BB67D2">
      <w:pPr>
        <w:spacing w:line="480" w:lineRule="auto"/>
        <w:ind w:left="720" w:hanging="720"/>
      </w:pPr>
      <w:r>
        <w:t xml:space="preserve">Manitoba Land Initiative (MLI) (2002) Land use/Land Cover digital maps. Available at the following web site: </w:t>
      </w:r>
      <w:hyperlink r:id="rId6" w:history="1">
        <w:r w:rsidRPr="00CA3940">
          <w:rPr>
            <w:rStyle w:val="Hyperlink"/>
          </w:rPr>
          <w:t>http://mli2.gov.mb.ca/landuse/index.html</w:t>
        </w:r>
      </w:hyperlink>
      <w:r w:rsidRPr="00D70EDA">
        <w:t xml:space="preserve"> </w:t>
      </w:r>
    </w:p>
    <w:p w:rsidR="00BB67D2" w:rsidRDefault="00BB67D2" w:rsidP="000F3890">
      <w:pPr>
        <w:spacing w:line="480" w:lineRule="auto"/>
        <w:ind w:left="720" w:hanging="720"/>
        <w:rPr>
          <w:kern w:val="0"/>
        </w:rPr>
      </w:pPr>
    </w:p>
    <w:p w:rsidR="000F3890" w:rsidRPr="00BB67D2" w:rsidRDefault="00C13BC5" w:rsidP="000F3890">
      <w:pPr>
        <w:spacing w:line="480" w:lineRule="auto"/>
        <w:ind w:left="720" w:hanging="720"/>
        <w:rPr>
          <w:kern w:val="0"/>
        </w:rPr>
      </w:pPr>
      <w:proofErr w:type="spellStart"/>
      <w:r w:rsidRPr="00BB67D2">
        <w:rPr>
          <w:kern w:val="0"/>
        </w:rPr>
        <w:t>McCullagh</w:t>
      </w:r>
      <w:proofErr w:type="spellEnd"/>
      <w:r w:rsidRPr="00BB67D2">
        <w:rPr>
          <w:kern w:val="0"/>
        </w:rPr>
        <w:t xml:space="preserve"> P, </w:t>
      </w:r>
      <w:proofErr w:type="spellStart"/>
      <w:r w:rsidR="000F3890" w:rsidRPr="00BB67D2">
        <w:rPr>
          <w:kern w:val="0"/>
        </w:rPr>
        <w:t>Nelder</w:t>
      </w:r>
      <w:proofErr w:type="spellEnd"/>
      <w:r w:rsidRPr="00BB67D2">
        <w:rPr>
          <w:kern w:val="0"/>
        </w:rPr>
        <w:t xml:space="preserve"> JA</w:t>
      </w:r>
      <w:r w:rsidR="000F3890" w:rsidRPr="00BB67D2">
        <w:rPr>
          <w:kern w:val="0"/>
        </w:rPr>
        <w:t xml:space="preserve"> </w:t>
      </w:r>
      <w:r w:rsidRPr="00BB67D2">
        <w:rPr>
          <w:kern w:val="0"/>
        </w:rPr>
        <w:t>(1989)</w:t>
      </w:r>
      <w:r w:rsidR="000F3890" w:rsidRPr="00BB67D2">
        <w:rPr>
          <w:kern w:val="0"/>
        </w:rPr>
        <w:t xml:space="preserve"> Generalized Linear Models, 2</w:t>
      </w:r>
      <w:r w:rsidR="000F3890" w:rsidRPr="00BB67D2">
        <w:rPr>
          <w:kern w:val="0"/>
          <w:vertAlign w:val="superscript"/>
        </w:rPr>
        <w:t>nd</w:t>
      </w:r>
      <w:r w:rsidR="000F3890" w:rsidRPr="00BB67D2">
        <w:rPr>
          <w:kern w:val="0"/>
        </w:rPr>
        <w:t xml:space="preserve"> ed.  Chapman and Hall, New York</w:t>
      </w:r>
    </w:p>
    <w:p w:rsidR="000F3890" w:rsidRPr="002A5D24" w:rsidRDefault="000F3890" w:rsidP="000F3890">
      <w:pPr>
        <w:spacing w:line="480" w:lineRule="auto"/>
        <w:ind w:left="720" w:hanging="720"/>
        <w:rPr>
          <w:kern w:val="0"/>
          <w:highlight w:val="yellow"/>
        </w:rPr>
      </w:pPr>
    </w:p>
    <w:p w:rsidR="000F3890" w:rsidRPr="00BB67D2" w:rsidRDefault="000F3890" w:rsidP="00382530">
      <w:pPr>
        <w:spacing w:line="480" w:lineRule="auto"/>
      </w:pPr>
      <w:r w:rsidRPr="00BB67D2">
        <w:t>Myers</w:t>
      </w:r>
      <w:r w:rsidR="00C13BC5" w:rsidRPr="00BB67D2">
        <w:t xml:space="preserve"> N,</w:t>
      </w:r>
      <w:r w:rsidRPr="00BB67D2">
        <w:t xml:space="preserve"> Knoll</w:t>
      </w:r>
      <w:r w:rsidR="00C13BC5" w:rsidRPr="00BB67D2">
        <w:t xml:space="preserve"> AH</w:t>
      </w:r>
      <w:r w:rsidRPr="00BB67D2">
        <w:t xml:space="preserve"> </w:t>
      </w:r>
      <w:r w:rsidR="00C13BC5" w:rsidRPr="00BB67D2">
        <w:t>(2001)</w:t>
      </w:r>
      <w:r w:rsidRPr="00BB67D2">
        <w:t xml:space="preserve"> The biotic cris</w:t>
      </w:r>
      <w:r w:rsidR="00C13BC5" w:rsidRPr="00BB67D2">
        <w:t>is and the future of evolution.</w:t>
      </w:r>
      <w:r w:rsidR="00382530" w:rsidRPr="00BB67D2">
        <w:t xml:space="preserve"> PNAS </w:t>
      </w:r>
      <w:r w:rsidRPr="00BB67D2">
        <w:t>98:5389-5392</w:t>
      </w:r>
    </w:p>
    <w:p w:rsidR="000F3890" w:rsidRPr="00BB67D2" w:rsidRDefault="000F3890" w:rsidP="00535625">
      <w:pPr>
        <w:spacing w:line="480" w:lineRule="auto"/>
      </w:pPr>
    </w:p>
    <w:p w:rsidR="000F3890" w:rsidRPr="00BB67D2" w:rsidRDefault="00C13BC5" w:rsidP="000F3890">
      <w:pPr>
        <w:spacing w:line="480" w:lineRule="auto"/>
        <w:ind w:left="720" w:hanging="720"/>
      </w:pPr>
      <w:r w:rsidRPr="00BB67D2">
        <w:t xml:space="preserve">Neville KJ, </w:t>
      </w:r>
      <w:r w:rsidR="000F3890" w:rsidRPr="00BB67D2">
        <w:t>Vallender</w:t>
      </w:r>
      <w:r w:rsidRPr="00BB67D2">
        <w:t xml:space="preserve"> R,</w:t>
      </w:r>
      <w:r w:rsidR="000F3890" w:rsidRPr="00BB67D2">
        <w:t xml:space="preserve"> Robertson</w:t>
      </w:r>
      <w:r w:rsidRPr="00BB67D2">
        <w:t xml:space="preserve"> RJ</w:t>
      </w:r>
      <w:r w:rsidR="000F3890" w:rsidRPr="00BB67D2">
        <w:t xml:space="preserve"> </w:t>
      </w:r>
      <w:r w:rsidRPr="00BB67D2">
        <w:t>(2008)</w:t>
      </w:r>
      <w:r w:rsidR="000F3890" w:rsidRPr="00BB67D2">
        <w:t xml:space="preserve"> Nestling sex ratio of Golden-winged Warblers </w:t>
      </w:r>
      <w:proofErr w:type="spellStart"/>
      <w:r w:rsidR="000F3890" w:rsidRPr="00BB67D2">
        <w:rPr>
          <w:i/>
        </w:rPr>
        <w:t>Vermivora</w:t>
      </w:r>
      <w:proofErr w:type="spellEnd"/>
      <w:r w:rsidR="000F3890" w:rsidRPr="00BB67D2">
        <w:rPr>
          <w:i/>
        </w:rPr>
        <w:t xml:space="preserve"> chrysoptera</w:t>
      </w:r>
      <w:r w:rsidR="000F3890" w:rsidRPr="00BB67D2">
        <w:t xml:space="preserve"> in an </w:t>
      </w:r>
      <w:proofErr w:type="spellStart"/>
      <w:r w:rsidR="000F3890" w:rsidRPr="00BB67D2">
        <w:t>introgressed</w:t>
      </w:r>
      <w:proofErr w:type="spellEnd"/>
      <w:r w:rsidR="000F3890" w:rsidRPr="00BB67D2">
        <w:t xml:space="preserve"> population. J</w:t>
      </w:r>
      <w:r w:rsidR="00382530" w:rsidRPr="00BB67D2">
        <w:t>.</w:t>
      </w:r>
      <w:r w:rsidR="000F3890" w:rsidRPr="00BB67D2">
        <w:t xml:space="preserve"> Avian Biol</w:t>
      </w:r>
      <w:r w:rsidR="00382530" w:rsidRPr="00BB67D2">
        <w:t>.</w:t>
      </w:r>
      <w:r w:rsidRPr="00BB67D2">
        <w:t xml:space="preserve"> 39:599-604</w:t>
      </w:r>
    </w:p>
    <w:p w:rsidR="000F3890" w:rsidRPr="002A5D24" w:rsidRDefault="000F3890" w:rsidP="000F3890">
      <w:pPr>
        <w:spacing w:line="480" w:lineRule="auto"/>
        <w:ind w:left="720" w:hanging="720"/>
        <w:rPr>
          <w:highlight w:val="yellow"/>
        </w:rPr>
      </w:pPr>
    </w:p>
    <w:p w:rsidR="000F3890" w:rsidRPr="00535625" w:rsidRDefault="00C13BC5" w:rsidP="000F3890">
      <w:pPr>
        <w:spacing w:line="480" w:lineRule="auto"/>
        <w:ind w:left="720" w:hanging="720"/>
      </w:pPr>
      <w:r w:rsidRPr="00535625">
        <w:t xml:space="preserve">Patton LL, </w:t>
      </w:r>
      <w:proofErr w:type="spellStart"/>
      <w:r w:rsidR="000F3890" w:rsidRPr="00535625">
        <w:t>Maehr</w:t>
      </w:r>
      <w:proofErr w:type="spellEnd"/>
      <w:r w:rsidRPr="00535625">
        <w:t xml:space="preserve"> DS, </w:t>
      </w:r>
      <w:r w:rsidR="000F3890" w:rsidRPr="00535625">
        <w:t>Duchamp</w:t>
      </w:r>
      <w:r w:rsidRPr="00535625">
        <w:t xml:space="preserve"> JE, </w:t>
      </w:r>
      <w:proofErr w:type="spellStart"/>
      <w:r w:rsidR="000F3890" w:rsidRPr="00535625">
        <w:t>Fei</w:t>
      </w:r>
      <w:proofErr w:type="spellEnd"/>
      <w:r w:rsidRPr="00535625">
        <w:t xml:space="preserve"> S, </w:t>
      </w:r>
      <w:proofErr w:type="spellStart"/>
      <w:r w:rsidR="000F3890" w:rsidRPr="00535625">
        <w:t>Gassett</w:t>
      </w:r>
      <w:proofErr w:type="spellEnd"/>
      <w:r w:rsidRPr="00535625">
        <w:t xml:space="preserve"> SJW, </w:t>
      </w:r>
      <w:r w:rsidR="000F3890" w:rsidRPr="00535625">
        <w:t>Larkin</w:t>
      </w:r>
      <w:r w:rsidRPr="00535625">
        <w:t xml:space="preserve"> JL</w:t>
      </w:r>
      <w:r w:rsidR="000F3890" w:rsidRPr="00535625">
        <w:t xml:space="preserve"> </w:t>
      </w:r>
      <w:r w:rsidRPr="00535625">
        <w:t>(2010)</w:t>
      </w:r>
      <w:r w:rsidR="000F3890" w:rsidRPr="00535625">
        <w:t xml:space="preserve"> Do the Golden-winged Warbler and Blue-winged Warbler exhibit species-specific differences in their breeding habitat use? Avian Cons</w:t>
      </w:r>
      <w:r w:rsidR="00382530" w:rsidRPr="00535625">
        <w:t xml:space="preserve">. </w:t>
      </w:r>
      <w:r w:rsidR="000F3890" w:rsidRPr="00535625">
        <w:t>Ecol</w:t>
      </w:r>
      <w:r w:rsidR="00382530" w:rsidRPr="00535625">
        <w:t>.</w:t>
      </w:r>
      <w:r w:rsidRPr="00535625">
        <w:t xml:space="preserve"> 5:2</w:t>
      </w:r>
    </w:p>
    <w:p w:rsidR="000F3890" w:rsidRPr="002A5D24" w:rsidRDefault="000F3890" w:rsidP="000F3890">
      <w:pPr>
        <w:spacing w:line="480" w:lineRule="auto"/>
        <w:ind w:left="720" w:hanging="720"/>
        <w:rPr>
          <w:highlight w:val="yellow"/>
        </w:rPr>
      </w:pPr>
    </w:p>
    <w:p w:rsidR="000F3890" w:rsidRPr="00BB67D2" w:rsidRDefault="00C13BC5" w:rsidP="000F3890">
      <w:pPr>
        <w:spacing w:line="480" w:lineRule="auto"/>
        <w:ind w:left="720" w:hanging="720"/>
      </w:pPr>
      <w:r w:rsidRPr="00BB67D2">
        <w:t>Parkes KC</w:t>
      </w:r>
      <w:r w:rsidR="000F3890" w:rsidRPr="00BB67D2">
        <w:t xml:space="preserve"> </w:t>
      </w:r>
      <w:r w:rsidRPr="00BB67D2">
        <w:t>(1951)</w:t>
      </w:r>
      <w:r w:rsidR="000F3890" w:rsidRPr="00BB67D2">
        <w:t xml:space="preserve"> The genetics of the Golden-winged x </w:t>
      </w:r>
      <w:r w:rsidRPr="00BB67D2">
        <w:t>Blue-winged Warbler complex.</w:t>
      </w:r>
      <w:r w:rsidR="00382530" w:rsidRPr="00BB67D2">
        <w:t xml:space="preserve"> Wilson Bull.</w:t>
      </w:r>
      <w:r w:rsidRPr="00BB67D2">
        <w:t xml:space="preserve"> 62:5-15</w:t>
      </w:r>
    </w:p>
    <w:p w:rsidR="000F3890" w:rsidRPr="002A5D24" w:rsidRDefault="000F3890" w:rsidP="000F3890">
      <w:pPr>
        <w:spacing w:line="480" w:lineRule="auto"/>
        <w:ind w:left="720" w:hanging="720"/>
        <w:rPr>
          <w:highlight w:val="yellow"/>
        </w:rPr>
      </w:pPr>
    </w:p>
    <w:p w:rsidR="000F3890" w:rsidRPr="00BB67D2" w:rsidRDefault="00C13BC5" w:rsidP="000F3890">
      <w:pPr>
        <w:spacing w:line="480" w:lineRule="auto"/>
        <w:ind w:left="720" w:hanging="720"/>
      </w:pPr>
      <w:r w:rsidRPr="00BB67D2">
        <w:t>Reed LP,</w:t>
      </w:r>
      <w:r w:rsidR="000F3890" w:rsidRPr="00BB67D2">
        <w:t xml:space="preserve"> Vallender</w:t>
      </w:r>
      <w:r w:rsidRPr="00BB67D2">
        <w:t xml:space="preserve"> R,</w:t>
      </w:r>
      <w:r w:rsidR="000F3890" w:rsidRPr="00BB67D2">
        <w:t xml:space="preserve"> Robertson</w:t>
      </w:r>
      <w:r w:rsidRPr="00BB67D2">
        <w:t xml:space="preserve"> RJ</w:t>
      </w:r>
      <w:r w:rsidR="000F3890" w:rsidRPr="00BB67D2">
        <w:t xml:space="preserve">. </w:t>
      </w:r>
      <w:r w:rsidRPr="00BB67D2">
        <w:t>(2007)</w:t>
      </w:r>
      <w:r w:rsidR="000F3890" w:rsidRPr="00BB67D2">
        <w:t xml:space="preserve"> Provisioning r</w:t>
      </w:r>
      <w:r w:rsidRPr="00BB67D2">
        <w:t>ates by Golden-winged Warblers.</w:t>
      </w:r>
      <w:r w:rsidR="00D01DF2" w:rsidRPr="00BB67D2">
        <w:t xml:space="preserve"> </w:t>
      </w:r>
      <w:r w:rsidR="00382530" w:rsidRPr="00BB67D2">
        <w:t>Wilson J.</w:t>
      </w:r>
      <w:r w:rsidR="000F3890" w:rsidRPr="00BB67D2">
        <w:t xml:space="preserve"> </w:t>
      </w:r>
      <w:proofErr w:type="spellStart"/>
      <w:r w:rsidR="000F3890" w:rsidRPr="00BB67D2">
        <w:t>Ornithol</w:t>
      </w:r>
      <w:proofErr w:type="spellEnd"/>
      <w:r w:rsidR="00382530" w:rsidRPr="00BB67D2">
        <w:t>.</w:t>
      </w:r>
      <w:r w:rsidRPr="00BB67D2">
        <w:t xml:space="preserve"> 119:350-355</w:t>
      </w:r>
    </w:p>
    <w:p w:rsidR="000F3890" w:rsidRPr="002A5D24" w:rsidRDefault="000F3890" w:rsidP="000F3890">
      <w:pPr>
        <w:spacing w:line="480" w:lineRule="auto"/>
        <w:ind w:left="720" w:hanging="720"/>
        <w:rPr>
          <w:highlight w:val="yellow"/>
        </w:rPr>
      </w:pPr>
    </w:p>
    <w:p w:rsidR="000F3890" w:rsidRPr="00B72D37" w:rsidRDefault="000F3890" w:rsidP="000F3890">
      <w:pPr>
        <w:pStyle w:val="Default"/>
        <w:spacing w:line="480" w:lineRule="auto"/>
        <w:ind w:left="720" w:hanging="720"/>
      </w:pPr>
      <w:r w:rsidRPr="00B72D37">
        <w:t>Rhymer JM</w:t>
      </w:r>
      <w:r w:rsidR="00C13BC5" w:rsidRPr="00B72D37">
        <w:t xml:space="preserve">, </w:t>
      </w:r>
      <w:proofErr w:type="spellStart"/>
      <w:r w:rsidR="00C13BC5" w:rsidRPr="00B72D37">
        <w:t>Simberloff</w:t>
      </w:r>
      <w:proofErr w:type="spellEnd"/>
      <w:r w:rsidR="00C13BC5" w:rsidRPr="00B72D37">
        <w:t xml:space="preserve"> D</w:t>
      </w:r>
      <w:r w:rsidRPr="00B72D37">
        <w:t xml:space="preserve"> </w:t>
      </w:r>
      <w:r w:rsidR="00C13BC5" w:rsidRPr="00B72D37">
        <w:t>(1996)</w:t>
      </w:r>
      <w:r w:rsidRPr="00B72D37">
        <w:t xml:space="preserve"> Extinction by hybridization and introgression. </w:t>
      </w:r>
      <w:r w:rsidR="00D01DF2" w:rsidRPr="00B72D37">
        <w:t>A</w:t>
      </w:r>
      <w:r w:rsidRPr="00B72D37">
        <w:t>n</w:t>
      </w:r>
      <w:r w:rsidR="00D01DF2" w:rsidRPr="00B72D37">
        <w:t>.</w:t>
      </w:r>
      <w:r w:rsidRPr="00B72D37">
        <w:t xml:space="preserve"> Rev</w:t>
      </w:r>
      <w:r w:rsidR="00D01DF2" w:rsidRPr="00B72D37">
        <w:t>. Ecol.</w:t>
      </w:r>
      <w:r w:rsidRPr="00B72D37">
        <w:t xml:space="preserve"> Syst</w:t>
      </w:r>
      <w:r w:rsidR="00D01DF2" w:rsidRPr="00B72D37">
        <w:t>.</w:t>
      </w:r>
      <w:r w:rsidRPr="00B72D37">
        <w:t xml:space="preserve"> 27:</w:t>
      </w:r>
      <w:r w:rsidR="00C13BC5" w:rsidRPr="00B72D37">
        <w:t>83 – 109</w:t>
      </w:r>
    </w:p>
    <w:p w:rsidR="00E13CBC" w:rsidRPr="002A5D24" w:rsidRDefault="00E13CBC" w:rsidP="00FC72A1">
      <w:pPr>
        <w:pStyle w:val="Default"/>
        <w:spacing w:line="480" w:lineRule="auto"/>
        <w:ind w:left="720" w:hanging="720"/>
        <w:rPr>
          <w:highlight w:val="yellow"/>
        </w:rPr>
      </w:pPr>
    </w:p>
    <w:p w:rsidR="00FC72A1" w:rsidRPr="00B72D37" w:rsidRDefault="00FC72A1" w:rsidP="00FC72A1">
      <w:pPr>
        <w:pStyle w:val="Default"/>
        <w:spacing w:line="480" w:lineRule="auto"/>
        <w:ind w:left="720" w:hanging="720"/>
      </w:pPr>
      <w:proofErr w:type="spellStart"/>
      <w:r w:rsidRPr="00B72D37">
        <w:t>Rieseberg</w:t>
      </w:r>
      <w:proofErr w:type="spellEnd"/>
      <w:r w:rsidRPr="00B72D37">
        <w:t xml:space="preserve"> </w:t>
      </w:r>
      <w:proofErr w:type="gramStart"/>
      <w:r w:rsidRPr="00B72D37">
        <w:t>L,  Kim</w:t>
      </w:r>
      <w:proofErr w:type="gramEnd"/>
      <w:r w:rsidRPr="00B72D37">
        <w:t xml:space="preserve"> H,  Randell S-C, Whitney RA, Gross KD, </w:t>
      </w:r>
      <w:proofErr w:type="spellStart"/>
      <w:r w:rsidRPr="00B72D37">
        <w:t>Lexer</w:t>
      </w:r>
      <w:proofErr w:type="spellEnd"/>
      <w:r w:rsidRPr="00B72D37">
        <w:t xml:space="preserve"> BL, Clay</w:t>
      </w:r>
      <w:r w:rsidR="00B72D37">
        <w:t xml:space="preserve"> K</w:t>
      </w:r>
      <w:r w:rsidRPr="00B72D37">
        <w:t xml:space="preserve"> (2007) Hybridization and the colonization </w:t>
      </w:r>
      <w:r w:rsidR="00B72D37">
        <w:t>of</w:t>
      </w:r>
      <w:r w:rsidRPr="00B72D37">
        <w:t xml:space="preserve"> </w:t>
      </w:r>
      <w:r w:rsidR="00B72D37">
        <w:t>novel</w:t>
      </w:r>
      <w:r w:rsidRPr="00B72D37">
        <w:t xml:space="preserve"> </w:t>
      </w:r>
      <w:r w:rsidR="00B72D37">
        <w:t>habitats</w:t>
      </w:r>
      <w:r w:rsidRPr="00B72D37">
        <w:t xml:space="preserve"> </w:t>
      </w:r>
      <w:r w:rsidR="00B72D37">
        <w:t>by</w:t>
      </w:r>
      <w:r w:rsidRPr="00B72D37">
        <w:t xml:space="preserve"> </w:t>
      </w:r>
      <w:r w:rsidR="00B72D37">
        <w:t>annual</w:t>
      </w:r>
      <w:r w:rsidRPr="00B72D37">
        <w:t xml:space="preserve"> sunﬂowers. </w:t>
      </w:r>
      <w:proofErr w:type="spellStart"/>
      <w:r w:rsidR="00E13CBC" w:rsidRPr="00B72D37">
        <w:t>Genetica</w:t>
      </w:r>
      <w:proofErr w:type="spellEnd"/>
      <w:r w:rsidR="00E13CBC" w:rsidRPr="00B72D37">
        <w:t xml:space="preserve"> 129:</w:t>
      </w:r>
      <w:r w:rsidR="00B72D37">
        <w:t>149-</w:t>
      </w:r>
      <w:r w:rsidR="00E13CBC" w:rsidRPr="00B72D37">
        <w:t>165</w:t>
      </w:r>
    </w:p>
    <w:p w:rsidR="000F3890" w:rsidRPr="002A5D24" w:rsidRDefault="000F3890" w:rsidP="000F3890">
      <w:pPr>
        <w:pStyle w:val="Default"/>
        <w:spacing w:line="480" w:lineRule="auto"/>
        <w:ind w:left="720" w:hanging="720"/>
        <w:rPr>
          <w:highlight w:val="yellow"/>
        </w:rPr>
      </w:pPr>
    </w:p>
    <w:p w:rsidR="000F3890" w:rsidRPr="00BB67D2" w:rsidRDefault="000F3890" w:rsidP="000F3890">
      <w:pPr>
        <w:pStyle w:val="Default"/>
        <w:spacing w:line="480" w:lineRule="auto"/>
        <w:ind w:left="720" w:hanging="720"/>
      </w:pPr>
      <w:r w:rsidRPr="00BB67D2">
        <w:t>Rosenzweig</w:t>
      </w:r>
      <w:r w:rsidR="00C13BC5" w:rsidRPr="00BB67D2">
        <w:t xml:space="preserve"> </w:t>
      </w:r>
      <w:r w:rsidRPr="00BB67D2">
        <w:t>M</w:t>
      </w:r>
      <w:r w:rsidR="00C13BC5" w:rsidRPr="00BB67D2">
        <w:t>L</w:t>
      </w:r>
      <w:r w:rsidRPr="00BB67D2">
        <w:t xml:space="preserve"> </w:t>
      </w:r>
      <w:r w:rsidR="00C13BC5" w:rsidRPr="00BB67D2">
        <w:t>(2001)</w:t>
      </w:r>
      <w:r w:rsidRPr="00BB67D2">
        <w:t xml:space="preserve"> Loss of speciation rate will impoverish future diversity. </w:t>
      </w:r>
      <w:r w:rsidR="00D01DF2" w:rsidRPr="00BB67D2">
        <w:t>PNAS</w:t>
      </w:r>
      <w:r w:rsidR="00C13BC5" w:rsidRPr="00BB67D2">
        <w:t xml:space="preserve"> 98:5405-5410</w:t>
      </w:r>
    </w:p>
    <w:p w:rsidR="000F3890" w:rsidRPr="002A5D24" w:rsidRDefault="000F3890" w:rsidP="000F3890">
      <w:pPr>
        <w:pStyle w:val="Default"/>
        <w:spacing w:line="480" w:lineRule="auto"/>
        <w:ind w:left="720" w:hanging="720"/>
        <w:rPr>
          <w:highlight w:val="yellow"/>
        </w:rPr>
      </w:pPr>
    </w:p>
    <w:p w:rsidR="000F3890" w:rsidRPr="00535625" w:rsidRDefault="00C13BC5" w:rsidP="000F3890">
      <w:pPr>
        <w:pStyle w:val="Default"/>
        <w:spacing w:line="480" w:lineRule="auto"/>
        <w:ind w:left="720" w:hanging="720"/>
      </w:pPr>
      <w:r w:rsidRPr="00535625">
        <w:t>Roth AM</w:t>
      </w:r>
      <w:r w:rsidR="000F3890" w:rsidRPr="00535625">
        <w:t xml:space="preserve">, </w:t>
      </w:r>
      <w:proofErr w:type="spellStart"/>
      <w:r w:rsidR="000F3890" w:rsidRPr="00535625">
        <w:t>Rohrbaugh</w:t>
      </w:r>
      <w:proofErr w:type="spellEnd"/>
      <w:r w:rsidRPr="00535625">
        <w:t xml:space="preserve"> RW,</w:t>
      </w:r>
      <w:r w:rsidR="000F3890" w:rsidRPr="00535625">
        <w:t xml:space="preserve"> Will</w:t>
      </w:r>
      <w:r w:rsidRPr="00535625">
        <w:t xml:space="preserve"> T, </w:t>
      </w:r>
      <w:r w:rsidR="000F3890" w:rsidRPr="00535625">
        <w:t>Buehler</w:t>
      </w:r>
      <w:r w:rsidRPr="00535625">
        <w:t xml:space="preserve"> D</w:t>
      </w:r>
      <w:r w:rsidR="00D01DF2" w:rsidRPr="00535625">
        <w:t>A</w:t>
      </w:r>
      <w:r w:rsidR="000F3890" w:rsidRPr="00535625">
        <w:t xml:space="preserve"> </w:t>
      </w:r>
      <w:r w:rsidRPr="00535625">
        <w:t>(</w:t>
      </w:r>
      <w:r w:rsidR="000F3890" w:rsidRPr="00535625">
        <w:t>2012</w:t>
      </w:r>
      <w:r w:rsidRPr="00535625">
        <w:t>)</w:t>
      </w:r>
      <w:r w:rsidR="000F3890" w:rsidRPr="00535625">
        <w:t xml:space="preserve"> Golden-winged Warbler stat</w:t>
      </w:r>
      <w:r w:rsidR="00BA2962" w:rsidRPr="00535625">
        <w:t>us review and conservation plan</w:t>
      </w:r>
      <w:r w:rsidR="000F3890" w:rsidRPr="00535625">
        <w:t xml:space="preserve"> </w:t>
      </w:r>
    </w:p>
    <w:p w:rsidR="000F3890" w:rsidRPr="00BB67D2" w:rsidRDefault="000F3890" w:rsidP="000F3890">
      <w:pPr>
        <w:pStyle w:val="Default"/>
        <w:spacing w:line="480" w:lineRule="auto"/>
        <w:ind w:left="720" w:hanging="720"/>
      </w:pPr>
    </w:p>
    <w:p w:rsidR="000F3890" w:rsidRPr="00BB67D2" w:rsidRDefault="000F3890" w:rsidP="000F3890">
      <w:pPr>
        <w:spacing w:line="480" w:lineRule="auto"/>
        <w:ind w:left="720" w:hanging="720"/>
        <w:rPr>
          <w:kern w:val="0"/>
        </w:rPr>
      </w:pPr>
      <w:r w:rsidRPr="00BB67D2">
        <w:rPr>
          <w:kern w:val="0"/>
        </w:rPr>
        <w:t>SAS Institute</w:t>
      </w:r>
      <w:r w:rsidR="00BA2962" w:rsidRPr="00BB67D2">
        <w:rPr>
          <w:kern w:val="0"/>
        </w:rPr>
        <w:t xml:space="preserve"> Inc</w:t>
      </w:r>
      <w:r w:rsidRPr="00BB67D2">
        <w:rPr>
          <w:kern w:val="0"/>
        </w:rPr>
        <w:t xml:space="preserve"> </w:t>
      </w:r>
      <w:r w:rsidR="00BA2962" w:rsidRPr="00BB67D2">
        <w:rPr>
          <w:kern w:val="0"/>
        </w:rPr>
        <w:t>(</w:t>
      </w:r>
      <w:r w:rsidRPr="00BB67D2">
        <w:rPr>
          <w:kern w:val="0"/>
        </w:rPr>
        <w:t>2012</w:t>
      </w:r>
      <w:r w:rsidR="00BA2962" w:rsidRPr="00BB67D2">
        <w:rPr>
          <w:kern w:val="0"/>
        </w:rPr>
        <w:t>)</w:t>
      </w:r>
      <w:r w:rsidRPr="00BB67D2">
        <w:rPr>
          <w:kern w:val="0"/>
        </w:rPr>
        <w:t xml:space="preserve"> The SAS system for windows, version 9.3</w:t>
      </w:r>
      <w:r w:rsidR="00BA2962" w:rsidRPr="00BB67D2">
        <w:rPr>
          <w:kern w:val="0"/>
        </w:rPr>
        <w:t>. SAS Institute Inc., Cary, NC</w:t>
      </w:r>
      <w:r w:rsidRPr="00BB67D2">
        <w:t xml:space="preserve"> </w:t>
      </w:r>
    </w:p>
    <w:p w:rsidR="000F3890" w:rsidRPr="002A5D24" w:rsidRDefault="000F3890" w:rsidP="000F3890">
      <w:pPr>
        <w:spacing w:line="480" w:lineRule="auto"/>
        <w:rPr>
          <w:highlight w:val="yellow"/>
        </w:rPr>
      </w:pPr>
    </w:p>
    <w:p w:rsidR="000F3890" w:rsidRPr="00535625" w:rsidRDefault="00BA2962" w:rsidP="000F3890">
      <w:pPr>
        <w:spacing w:line="480" w:lineRule="auto"/>
        <w:ind w:left="720" w:hanging="720"/>
        <w:rPr>
          <w:rStyle w:val="Emphasis"/>
          <w:i w:val="0"/>
          <w:color w:val="000000"/>
          <w:shd w:val="clear" w:color="auto" w:fill="FFFFFF"/>
        </w:rPr>
      </w:pPr>
      <w:r w:rsidRPr="00535625">
        <w:rPr>
          <w:color w:val="000000"/>
          <w:shd w:val="clear" w:color="auto" w:fill="FFFFFF"/>
        </w:rPr>
        <w:t xml:space="preserve">Sauer JR, </w:t>
      </w:r>
      <w:r w:rsidR="000F3890" w:rsidRPr="00535625">
        <w:rPr>
          <w:color w:val="000000"/>
          <w:shd w:val="clear" w:color="auto" w:fill="FFFFFF"/>
        </w:rPr>
        <w:t>Hines</w:t>
      </w:r>
      <w:r w:rsidRPr="00535625">
        <w:rPr>
          <w:color w:val="000000"/>
          <w:shd w:val="clear" w:color="auto" w:fill="FFFFFF"/>
        </w:rPr>
        <w:t xml:space="preserve"> JE, </w:t>
      </w:r>
      <w:r w:rsidR="000F3890" w:rsidRPr="00535625">
        <w:rPr>
          <w:color w:val="000000"/>
          <w:shd w:val="clear" w:color="auto" w:fill="FFFFFF"/>
        </w:rPr>
        <w:t>Fallon</w:t>
      </w:r>
      <w:r w:rsidRPr="00535625">
        <w:rPr>
          <w:color w:val="000000"/>
          <w:shd w:val="clear" w:color="auto" w:fill="FFFFFF"/>
        </w:rPr>
        <w:t xml:space="preserve"> JE,</w:t>
      </w:r>
      <w:r w:rsidR="000F3890" w:rsidRPr="00535625">
        <w:rPr>
          <w:color w:val="000000"/>
          <w:shd w:val="clear" w:color="auto" w:fill="FFFFFF"/>
        </w:rPr>
        <w:t xml:space="preserve"> </w:t>
      </w:r>
      <w:proofErr w:type="spellStart"/>
      <w:r w:rsidR="000F3890" w:rsidRPr="00535625">
        <w:rPr>
          <w:color w:val="000000"/>
          <w:shd w:val="clear" w:color="auto" w:fill="FFFFFF"/>
        </w:rPr>
        <w:t>Pardieck</w:t>
      </w:r>
      <w:proofErr w:type="spellEnd"/>
      <w:r w:rsidRPr="00535625">
        <w:rPr>
          <w:color w:val="000000"/>
          <w:shd w:val="clear" w:color="auto" w:fill="FFFFFF"/>
        </w:rPr>
        <w:t xml:space="preserve"> KL, </w:t>
      </w:r>
      <w:proofErr w:type="spellStart"/>
      <w:r w:rsidR="000F3890" w:rsidRPr="00535625">
        <w:rPr>
          <w:color w:val="000000"/>
          <w:shd w:val="clear" w:color="auto" w:fill="FFFFFF"/>
        </w:rPr>
        <w:t>Ziol</w:t>
      </w:r>
      <w:r w:rsidRPr="00535625">
        <w:rPr>
          <w:color w:val="000000"/>
          <w:shd w:val="clear" w:color="auto" w:fill="FFFFFF"/>
        </w:rPr>
        <w:t>kowski</w:t>
      </w:r>
      <w:proofErr w:type="spellEnd"/>
      <w:r w:rsidRPr="00535625">
        <w:rPr>
          <w:color w:val="000000"/>
          <w:shd w:val="clear" w:color="auto" w:fill="FFFFFF"/>
        </w:rPr>
        <w:t>, Jr DJ,</w:t>
      </w:r>
      <w:r w:rsidR="000F3890" w:rsidRPr="00535625">
        <w:rPr>
          <w:color w:val="000000"/>
          <w:shd w:val="clear" w:color="auto" w:fill="FFFFFF"/>
        </w:rPr>
        <w:t xml:space="preserve"> Link</w:t>
      </w:r>
      <w:r w:rsidRPr="00535625">
        <w:rPr>
          <w:color w:val="000000"/>
          <w:shd w:val="clear" w:color="auto" w:fill="FFFFFF"/>
        </w:rPr>
        <w:t xml:space="preserve"> WA</w:t>
      </w:r>
      <w:r w:rsidR="000F3890" w:rsidRPr="00535625">
        <w:rPr>
          <w:color w:val="000000"/>
          <w:shd w:val="clear" w:color="auto" w:fill="FFFFFF"/>
        </w:rPr>
        <w:t xml:space="preserve"> </w:t>
      </w:r>
      <w:r w:rsidRPr="00535625">
        <w:rPr>
          <w:color w:val="000000"/>
          <w:shd w:val="clear" w:color="auto" w:fill="FFFFFF"/>
        </w:rPr>
        <w:t>(2014)</w:t>
      </w:r>
      <w:r w:rsidR="000F3890" w:rsidRPr="00535625">
        <w:rPr>
          <w:rStyle w:val="apple-converted-space"/>
          <w:color w:val="000000"/>
          <w:shd w:val="clear" w:color="auto" w:fill="FFFFFF"/>
        </w:rPr>
        <w:t> </w:t>
      </w:r>
      <w:r w:rsidR="000F3890" w:rsidRPr="00535625">
        <w:rPr>
          <w:rStyle w:val="Emphasis"/>
          <w:i w:val="0"/>
          <w:color w:val="000000"/>
          <w:shd w:val="clear" w:color="auto" w:fill="FFFFFF"/>
        </w:rPr>
        <w:t>The North American Breeding Bird Survey, Results and Analysis 1966 - 2013. Version 01.30.2015</w:t>
      </w:r>
      <w:r w:rsidR="000F3890" w:rsidRPr="00535625">
        <w:rPr>
          <w:rStyle w:val="apple-converted-space"/>
          <w:i/>
          <w:iCs/>
          <w:color w:val="000000"/>
          <w:shd w:val="clear" w:color="auto" w:fill="FFFFFF"/>
        </w:rPr>
        <w:t> </w:t>
      </w:r>
      <w:hyperlink r:id="rId7" w:history="1">
        <w:r w:rsidR="000F3890" w:rsidRPr="00535625">
          <w:rPr>
            <w:rStyle w:val="Hyperlink"/>
            <w:i/>
            <w:iCs/>
            <w:shd w:val="clear" w:color="auto" w:fill="FFFFFF"/>
          </w:rPr>
          <w:t>USGS Patuxent Wildlife Research Center</w:t>
        </w:r>
      </w:hyperlink>
      <w:r w:rsidR="000F3890" w:rsidRPr="00535625">
        <w:rPr>
          <w:rStyle w:val="Emphasis"/>
          <w:i w:val="0"/>
          <w:color w:val="000000"/>
          <w:shd w:val="clear" w:color="auto" w:fill="FFFFFF"/>
        </w:rPr>
        <w:t>, Laurel, MD</w:t>
      </w:r>
    </w:p>
    <w:p w:rsidR="000F3890" w:rsidRPr="002A5D24" w:rsidRDefault="000F3890" w:rsidP="000F3890">
      <w:pPr>
        <w:spacing w:line="480" w:lineRule="auto"/>
        <w:ind w:left="720" w:hanging="720"/>
        <w:rPr>
          <w:highlight w:val="yellow"/>
        </w:rPr>
      </w:pPr>
    </w:p>
    <w:p w:rsidR="007F171C" w:rsidRDefault="007F171C" w:rsidP="000F3890">
      <w:pPr>
        <w:spacing w:line="480" w:lineRule="auto"/>
        <w:ind w:left="720" w:hanging="720"/>
      </w:pPr>
      <w:r>
        <w:lastRenderedPageBreak/>
        <w:t>Seehausen O</w:t>
      </w:r>
      <w:r w:rsidRPr="007F171C">
        <w:t xml:space="preserve"> </w:t>
      </w:r>
      <w:r>
        <w:t>(2004)</w:t>
      </w:r>
      <w:r w:rsidRPr="007F171C">
        <w:t xml:space="preserve"> Hybridization and adaptive radiation.</w:t>
      </w:r>
      <w:r>
        <w:t xml:space="preserve"> Trends Ecol. </w:t>
      </w:r>
      <w:proofErr w:type="spellStart"/>
      <w:r>
        <w:t>Evol</w:t>
      </w:r>
      <w:proofErr w:type="spellEnd"/>
      <w:r>
        <w:t>. 19:198-207</w:t>
      </w:r>
      <w:r w:rsidRPr="007F171C">
        <w:t> </w:t>
      </w:r>
    </w:p>
    <w:p w:rsidR="007F171C" w:rsidRDefault="007F171C" w:rsidP="000F3890">
      <w:pPr>
        <w:spacing w:line="480" w:lineRule="auto"/>
        <w:ind w:left="720" w:hanging="720"/>
      </w:pPr>
    </w:p>
    <w:p w:rsidR="000F3890" w:rsidRDefault="00BA2962" w:rsidP="007F171C">
      <w:pPr>
        <w:spacing w:line="480" w:lineRule="auto"/>
        <w:ind w:left="720" w:hanging="720"/>
      </w:pPr>
      <w:r w:rsidRPr="00BB67D2">
        <w:t>Seehausen O</w:t>
      </w:r>
      <w:r w:rsidR="000F3890" w:rsidRPr="00BB67D2">
        <w:t xml:space="preserve"> </w:t>
      </w:r>
      <w:r w:rsidRPr="00BB67D2">
        <w:t>(2006)</w:t>
      </w:r>
      <w:r w:rsidR="000F3890" w:rsidRPr="00BB67D2">
        <w:t xml:space="preserve"> Conservation: Losing biodiversity by reverse speciation. </w:t>
      </w:r>
      <w:proofErr w:type="spellStart"/>
      <w:r w:rsidR="000F3890" w:rsidRPr="00BB67D2">
        <w:t>Cur</w:t>
      </w:r>
      <w:r w:rsidR="00D01DF2" w:rsidRPr="00BB67D2">
        <w:t>r</w:t>
      </w:r>
      <w:proofErr w:type="spellEnd"/>
      <w:r w:rsidR="00D01DF2" w:rsidRPr="00BB67D2">
        <w:t>.</w:t>
      </w:r>
      <w:r w:rsidR="000F3890" w:rsidRPr="00BB67D2">
        <w:t xml:space="preserve"> Bio</w:t>
      </w:r>
      <w:r w:rsidR="00D01DF2" w:rsidRPr="00BB67D2">
        <w:t>.</w:t>
      </w:r>
      <w:r w:rsidRPr="00BB67D2">
        <w:t xml:space="preserve"> 16:334-337</w:t>
      </w:r>
    </w:p>
    <w:p w:rsidR="000F3890" w:rsidRPr="002A5D24" w:rsidRDefault="000F3890" w:rsidP="001E6404">
      <w:pPr>
        <w:spacing w:line="480" w:lineRule="auto"/>
        <w:rPr>
          <w:highlight w:val="yellow"/>
        </w:rPr>
      </w:pPr>
    </w:p>
    <w:p w:rsidR="00BA2962" w:rsidRPr="00BB67D2" w:rsidRDefault="00BA2962" w:rsidP="00BA2962">
      <w:pPr>
        <w:spacing w:line="480" w:lineRule="auto"/>
        <w:rPr>
          <w:b/>
          <w:bCs/>
        </w:rPr>
      </w:pPr>
      <w:proofErr w:type="spellStart"/>
      <w:r w:rsidRPr="00BB67D2">
        <w:rPr>
          <w:bCs/>
        </w:rPr>
        <w:t>Stapley</w:t>
      </w:r>
      <w:proofErr w:type="spellEnd"/>
      <w:r w:rsidRPr="00BB67D2">
        <w:rPr>
          <w:bCs/>
        </w:rPr>
        <w:t xml:space="preserve"> J,</w:t>
      </w:r>
      <w:r w:rsidR="000F3890" w:rsidRPr="00BB67D2">
        <w:rPr>
          <w:bCs/>
        </w:rPr>
        <w:t xml:space="preserve"> </w:t>
      </w:r>
      <w:proofErr w:type="spellStart"/>
      <w:r w:rsidR="000F3890" w:rsidRPr="00BB67D2">
        <w:rPr>
          <w:bCs/>
        </w:rPr>
        <w:t>Birkhead</w:t>
      </w:r>
      <w:proofErr w:type="spellEnd"/>
      <w:r w:rsidRPr="00BB67D2">
        <w:rPr>
          <w:bCs/>
        </w:rPr>
        <w:t xml:space="preserve"> TR, </w:t>
      </w:r>
      <w:r w:rsidR="000F3890" w:rsidRPr="00BB67D2">
        <w:rPr>
          <w:bCs/>
        </w:rPr>
        <w:t>Burke</w:t>
      </w:r>
      <w:r w:rsidRPr="00BB67D2">
        <w:rPr>
          <w:bCs/>
        </w:rPr>
        <w:t xml:space="preserve"> T, </w:t>
      </w:r>
      <w:r w:rsidR="000F3890" w:rsidRPr="00BB67D2">
        <w:rPr>
          <w:bCs/>
        </w:rPr>
        <w:t>Slate</w:t>
      </w:r>
      <w:r w:rsidRPr="00BB67D2">
        <w:rPr>
          <w:bCs/>
        </w:rPr>
        <w:t xml:space="preserve"> J</w:t>
      </w:r>
      <w:r w:rsidR="000F3890" w:rsidRPr="00BB67D2">
        <w:rPr>
          <w:b/>
          <w:bCs/>
        </w:rPr>
        <w:t xml:space="preserve"> </w:t>
      </w:r>
      <w:r w:rsidRPr="00BB67D2">
        <w:rPr>
          <w:b/>
          <w:bCs/>
        </w:rPr>
        <w:t>(</w:t>
      </w:r>
      <w:r w:rsidRPr="00BB67D2">
        <w:t>2008)</w:t>
      </w:r>
      <w:r w:rsidR="000F3890" w:rsidRPr="00BB67D2">
        <w:t xml:space="preserve"> A linkage map of the Zebra Finch </w:t>
      </w:r>
      <w:proofErr w:type="spellStart"/>
      <w:r w:rsidR="000F3890" w:rsidRPr="00BB67D2">
        <w:rPr>
          <w:i/>
          <w:iCs/>
        </w:rPr>
        <w:t>Taeniopygia</w:t>
      </w:r>
      <w:proofErr w:type="spellEnd"/>
      <w:r w:rsidR="000F3890" w:rsidRPr="00BB67D2">
        <w:rPr>
          <w:b/>
          <w:bCs/>
        </w:rPr>
        <w:t xml:space="preserve"> </w:t>
      </w:r>
      <w:r w:rsidRPr="00BB67D2">
        <w:rPr>
          <w:b/>
          <w:bCs/>
        </w:rPr>
        <w:t xml:space="preserve">  </w:t>
      </w:r>
    </w:p>
    <w:p w:rsidR="000F3890" w:rsidRPr="00BB67D2" w:rsidRDefault="000F3890" w:rsidP="00BA2962">
      <w:pPr>
        <w:spacing w:line="480" w:lineRule="auto"/>
        <w:ind w:firstLine="720"/>
        <w:rPr>
          <w:b/>
          <w:bCs/>
        </w:rPr>
      </w:pPr>
      <w:proofErr w:type="spellStart"/>
      <w:r w:rsidRPr="00BB67D2">
        <w:rPr>
          <w:i/>
          <w:iCs/>
        </w:rPr>
        <w:t>guttata</w:t>
      </w:r>
      <w:proofErr w:type="spellEnd"/>
      <w:r w:rsidRPr="00BB67D2">
        <w:rPr>
          <w:i/>
          <w:iCs/>
        </w:rPr>
        <w:t xml:space="preserve"> </w:t>
      </w:r>
      <w:r w:rsidRPr="00BB67D2">
        <w:t>provides new insights into avian genome</w:t>
      </w:r>
      <w:r w:rsidRPr="00BB67D2">
        <w:rPr>
          <w:b/>
          <w:bCs/>
        </w:rPr>
        <w:t xml:space="preserve"> </w:t>
      </w:r>
      <w:r w:rsidRPr="00BB67D2">
        <w:t xml:space="preserve">evolution. </w:t>
      </w:r>
      <w:r w:rsidRPr="00BB67D2">
        <w:rPr>
          <w:iCs/>
        </w:rPr>
        <w:t xml:space="preserve">Genetics </w:t>
      </w:r>
      <w:r w:rsidRPr="00BB67D2">
        <w:rPr>
          <w:bCs/>
        </w:rPr>
        <w:t>179</w:t>
      </w:r>
      <w:r w:rsidRPr="00BB67D2">
        <w:t>:</w:t>
      </w:r>
      <w:r w:rsidR="00BA2962" w:rsidRPr="00BB67D2">
        <w:t>651-667</w:t>
      </w:r>
    </w:p>
    <w:p w:rsidR="00B72D37" w:rsidRPr="00B72D37" w:rsidRDefault="00B72D37" w:rsidP="00B72D37">
      <w:pPr>
        <w:spacing w:line="480" w:lineRule="auto"/>
        <w:ind w:left="720" w:hanging="720"/>
      </w:pPr>
    </w:p>
    <w:p w:rsidR="00B72D37" w:rsidRPr="00B72D37" w:rsidRDefault="00B72D37" w:rsidP="00B72D37">
      <w:pPr>
        <w:spacing w:line="480" w:lineRule="auto"/>
        <w:ind w:left="720" w:hanging="720"/>
      </w:pPr>
      <w:r w:rsidRPr="00B72D37">
        <w:t xml:space="preserve">Taylor SA, White TA, </w:t>
      </w:r>
      <w:proofErr w:type="spellStart"/>
      <w:r w:rsidRPr="00B72D37">
        <w:t>Hochachka</w:t>
      </w:r>
      <w:proofErr w:type="spellEnd"/>
      <w:r w:rsidRPr="00B72D37">
        <w:t xml:space="preserve"> WM, Ferretti V, Curry RL and </w:t>
      </w:r>
      <w:proofErr w:type="spellStart"/>
      <w:r w:rsidRPr="00B72D37">
        <w:t>Lovette</w:t>
      </w:r>
      <w:proofErr w:type="spellEnd"/>
      <w:r w:rsidRPr="00B72D37">
        <w:t xml:space="preserve">, I (2014) Climate-mediated movement of an avian hybrid zone. </w:t>
      </w:r>
      <w:proofErr w:type="spellStart"/>
      <w:r w:rsidRPr="00B72D37">
        <w:t>Curr</w:t>
      </w:r>
      <w:proofErr w:type="spellEnd"/>
      <w:r w:rsidRPr="00B72D37">
        <w:t>. Biol. 24:671–676</w:t>
      </w:r>
    </w:p>
    <w:p w:rsidR="000F3890" w:rsidRPr="002A5D24" w:rsidRDefault="000F3890" w:rsidP="000F3890">
      <w:pPr>
        <w:spacing w:line="480" w:lineRule="auto"/>
        <w:ind w:left="720" w:hanging="720"/>
        <w:rPr>
          <w:highlight w:val="yellow"/>
        </w:rPr>
      </w:pPr>
    </w:p>
    <w:p w:rsidR="000F3890" w:rsidRPr="00535625" w:rsidRDefault="00BA2962" w:rsidP="000F3890">
      <w:pPr>
        <w:spacing w:line="480" w:lineRule="auto"/>
        <w:ind w:left="720" w:hanging="720"/>
        <w:rPr>
          <w:kern w:val="0"/>
        </w:rPr>
      </w:pPr>
      <w:proofErr w:type="spellStart"/>
      <w:r w:rsidRPr="00535625">
        <w:rPr>
          <w:kern w:val="0"/>
        </w:rPr>
        <w:t>Thogmartin</w:t>
      </w:r>
      <w:proofErr w:type="spellEnd"/>
      <w:r w:rsidRPr="00535625">
        <w:rPr>
          <w:kern w:val="0"/>
        </w:rPr>
        <w:t xml:space="preserve"> WE</w:t>
      </w:r>
      <w:r w:rsidR="000F3890" w:rsidRPr="00535625">
        <w:rPr>
          <w:kern w:val="0"/>
        </w:rPr>
        <w:t xml:space="preserve"> </w:t>
      </w:r>
      <w:r w:rsidRPr="00535625">
        <w:rPr>
          <w:kern w:val="0"/>
        </w:rPr>
        <w:t>(2010)</w:t>
      </w:r>
      <w:r w:rsidR="000F3890" w:rsidRPr="00535625">
        <w:rPr>
          <w:kern w:val="0"/>
        </w:rPr>
        <w:t xml:space="preserve"> Modelling and mapping Golden-winged Warbler abundance to improve regional conservation strategies. Avian Cons</w:t>
      </w:r>
      <w:r w:rsidR="00D01DF2" w:rsidRPr="00535625">
        <w:rPr>
          <w:kern w:val="0"/>
        </w:rPr>
        <w:t>.</w:t>
      </w:r>
      <w:r w:rsidR="000F3890" w:rsidRPr="00535625">
        <w:rPr>
          <w:kern w:val="0"/>
        </w:rPr>
        <w:t xml:space="preserve"> Eco</w:t>
      </w:r>
      <w:r w:rsidR="00D01DF2" w:rsidRPr="00535625">
        <w:rPr>
          <w:kern w:val="0"/>
        </w:rPr>
        <w:t>l.</w:t>
      </w:r>
      <w:r w:rsidRPr="00535625">
        <w:rPr>
          <w:kern w:val="0"/>
        </w:rPr>
        <w:t xml:space="preserve"> 5:12</w:t>
      </w:r>
    </w:p>
    <w:p w:rsidR="00535625" w:rsidRDefault="00535625" w:rsidP="00BB67D2">
      <w:pPr>
        <w:spacing w:line="480" w:lineRule="auto"/>
        <w:rPr>
          <w:highlight w:val="yellow"/>
        </w:rPr>
      </w:pPr>
    </w:p>
    <w:p w:rsidR="00535625" w:rsidRPr="00535625" w:rsidRDefault="00535625" w:rsidP="000F3890">
      <w:pPr>
        <w:spacing w:line="480" w:lineRule="auto"/>
        <w:ind w:left="720" w:hanging="720"/>
      </w:pPr>
      <w:r w:rsidRPr="00535625">
        <w:t xml:space="preserve">Toews DP, Taylor SA, Vallender R, Brelsford A, Butcher B, Messer PW, and </w:t>
      </w:r>
      <w:proofErr w:type="spellStart"/>
      <w:r w:rsidRPr="00535625">
        <w:t>Lovette</w:t>
      </w:r>
      <w:proofErr w:type="spellEnd"/>
      <w:r w:rsidRPr="00535625">
        <w:t xml:space="preserve"> IJ (2016) Plumage genes and little else distinguish the genomes of hybridizing warblers. </w:t>
      </w:r>
      <w:proofErr w:type="spellStart"/>
      <w:r w:rsidRPr="00535625">
        <w:rPr>
          <w:iCs/>
        </w:rPr>
        <w:t>Curr</w:t>
      </w:r>
      <w:proofErr w:type="spellEnd"/>
      <w:r w:rsidRPr="00535625">
        <w:rPr>
          <w:iCs/>
        </w:rPr>
        <w:t>. Bio. 26</w:t>
      </w:r>
      <w:r w:rsidRPr="00535625">
        <w:t>:2313-2318</w:t>
      </w:r>
    </w:p>
    <w:p w:rsidR="00535625" w:rsidRDefault="00535625" w:rsidP="000F3890">
      <w:pPr>
        <w:spacing w:line="480" w:lineRule="auto"/>
        <w:ind w:left="720" w:hanging="720"/>
        <w:rPr>
          <w:highlight w:val="yellow"/>
        </w:rPr>
      </w:pPr>
    </w:p>
    <w:p w:rsidR="000F3890" w:rsidRPr="00BB67D2" w:rsidRDefault="00BA2962" w:rsidP="000F3890">
      <w:pPr>
        <w:spacing w:line="480" w:lineRule="auto"/>
        <w:ind w:left="720" w:hanging="720"/>
      </w:pPr>
      <w:r w:rsidRPr="00BB67D2">
        <w:t xml:space="preserve">Vallender R, </w:t>
      </w:r>
      <w:r w:rsidR="000F3890" w:rsidRPr="00BB67D2">
        <w:t>Robertson</w:t>
      </w:r>
      <w:r w:rsidRPr="00BB67D2">
        <w:t xml:space="preserve"> RJ, </w:t>
      </w:r>
      <w:r w:rsidR="000F3890" w:rsidRPr="00BB67D2">
        <w:t>Friesen</w:t>
      </w:r>
      <w:r w:rsidRPr="00BB67D2">
        <w:t xml:space="preserve"> VL, </w:t>
      </w:r>
      <w:proofErr w:type="spellStart"/>
      <w:r w:rsidR="000F3890" w:rsidRPr="00BB67D2">
        <w:t>Lovette</w:t>
      </w:r>
      <w:proofErr w:type="spellEnd"/>
      <w:r w:rsidRPr="00BB67D2">
        <w:t xml:space="preserve"> IJ</w:t>
      </w:r>
      <w:r w:rsidR="000F3890" w:rsidRPr="00BB67D2">
        <w:t xml:space="preserve"> </w:t>
      </w:r>
      <w:r w:rsidRPr="00BB67D2">
        <w:t>(</w:t>
      </w:r>
      <w:r w:rsidR="000F3890" w:rsidRPr="00BB67D2">
        <w:t>2007</w:t>
      </w:r>
      <w:r w:rsidRPr="00BB67D2">
        <w:t>a)</w:t>
      </w:r>
      <w:r w:rsidR="000F3890" w:rsidRPr="00BB67D2">
        <w:t xml:space="preserve"> Complex hybridization dynamics between Golden-winged and Blue-winged warblers (</w:t>
      </w:r>
      <w:proofErr w:type="spellStart"/>
      <w:r w:rsidR="000F3890" w:rsidRPr="00BB67D2">
        <w:rPr>
          <w:i/>
          <w:iCs/>
        </w:rPr>
        <w:t>Vermivora</w:t>
      </w:r>
      <w:proofErr w:type="spellEnd"/>
      <w:r w:rsidR="000F3890" w:rsidRPr="00BB67D2">
        <w:rPr>
          <w:i/>
          <w:iCs/>
        </w:rPr>
        <w:t xml:space="preserve"> chrysoptera </w:t>
      </w:r>
      <w:r w:rsidR="000F3890" w:rsidRPr="00BB67D2">
        <w:t xml:space="preserve">and </w:t>
      </w:r>
      <w:proofErr w:type="spellStart"/>
      <w:r w:rsidR="000F3890" w:rsidRPr="00BB67D2">
        <w:rPr>
          <w:i/>
          <w:iCs/>
        </w:rPr>
        <w:t>Vermivora</w:t>
      </w:r>
      <w:proofErr w:type="spellEnd"/>
      <w:r w:rsidR="000F3890" w:rsidRPr="00BB67D2">
        <w:rPr>
          <w:i/>
          <w:iCs/>
        </w:rPr>
        <w:t xml:space="preserve"> </w:t>
      </w:r>
      <w:proofErr w:type="spellStart"/>
      <w:r w:rsidR="000F3890" w:rsidRPr="00BB67D2">
        <w:rPr>
          <w:i/>
          <w:iCs/>
        </w:rPr>
        <w:t>pinus</w:t>
      </w:r>
      <w:proofErr w:type="spellEnd"/>
      <w:r w:rsidR="000F3890" w:rsidRPr="00BB67D2">
        <w:t xml:space="preserve">) revealed by AFLP, microsatellite, intron and </w:t>
      </w:r>
      <w:proofErr w:type="spellStart"/>
      <w:r w:rsidR="000F3890" w:rsidRPr="00BB67D2">
        <w:t>mtDNA</w:t>
      </w:r>
      <w:proofErr w:type="spellEnd"/>
      <w:r w:rsidR="000F3890" w:rsidRPr="00BB67D2">
        <w:t xml:space="preserve"> markers. Mol</w:t>
      </w:r>
      <w:r w:rsidR="00D01DF2" w:rsidRPr="00BB67D2">
        <w:t>.</w:t>
      </w:r>
      <w:r w:rsidR="000F3890" w:rsidRPr="00BB67D2">
        <w:t xml:space="preserve"> Eco</w:t>
      </w:r>
      <w:r w:rsidR="00D01DF2" w:rsidRPr="00BB67D2">
        <w:t>l.</w:t>
      </w:r>
      <w:r w:rsidR="000F3890" w:rsidRPr="00BB67D2">
        <w:t xml:space="preserve"> 16:</w:t>
      </w:r>
      <w:r w:rsidRPr="00BB67D2">
        <w:t>2017–2029</w:t>
      </w:r>
    </w:p>
    <w:p w:rsidR="000F3890" w:rsidRPr="00BB67D2" w:rsidRDefault="000F3890" w:rsidP="000F3890">
      <w:pPr>
        <w:spacing w:line="480" w:lineRule="auto"/>
        <w:ind w:left="720" w:hanging="720"/>
      </w:pPr>
    </w:p>
    <w:p w:rsidR="000F3890" w:rsidRPr="00BB67D2" w:rsidRDefault="00BA2962" w:rsidP="000F3890">
      <w:pPr>
        <w:spacing w:line="480" w:lineRule="auto"/>
        <w:ind w:left="720" w:hanging="720"/>
      </w:pPr>
      <w:r w:rsidRPr="00BB67D2">
        <w:lastRenderedPageBreak/>
        <w:t xml:space="preserve">Vallender R, </w:t>
      </w:r>
      <w:r w:rsidR="000F3890" w:rsidRPr="00BB67D2">
        <w:t>Friesen</w:t>
      </w:r>
      <w:r w:rsidRPr="00BB67D2">
        <w:t xml:space="preserve"> VL, </w:t>
      </w:r>
      <w:r w:rsidR="000F3890" w:rsidRPr="00BB67D2">
        <w:t>Robertson</w:t>
      </w:r>
      <w:r w:rsidRPr="00BB67D2">
        <w:t xml:space="preserve"> RJ</w:t>
      </w:r>
      <w:r w:rsidR="000F3890" w:rsidRPr="00BB67D2">
        <w:t xml:space="preserve"> </w:t>
      </w:r>
      <w:r w:rsidRPr="00BB67D2">
        <w:t>(2007b)</w:t>
      </w:r>
      <w:r w:rsidR="000F3890" w:rsidRPr="00BB67D2">
        <w:t xml:space="preserve"> Paternity and performance of Golden-winged Warblers (</w:t>
      </w:r>
      <w:proofErr w:type="spellStart"/>
      <w:r w:rsidR="000F3890" w:rsidRPr="00BB67D2">
        <w:rPr>
          <w:i/>
          <w:iCs/>
        </w:rPr>
        <w:t>Vermivora</w:t>
      </w:r>
      <w:proofErr w:type="spellEnd"/>
      <w:r w:rsidR="000F3890" w:rsidRPr="00BB67D2">
        <w:rPr>
          <w:i/>
          <w:iCs/>
        </w:rPr>
        <w:t xml:space="preserve"> chrysoptera</w:t>
      </w:r>
      <w:r w:rsidR="000F3890" w:rsidRPr="00BB67D2">
        <w:t>) and Golden-winged x Blu-winged (</w:t>
      </w:r>
      <w:r w:rsidR="000F3890" w:rsidRPr="00BB67D2">
        <w:rPr>
          <w:i/>
          <w:iCs/>
        </w:rPr>
        <w:t xml:space="preserve">V. </w:t>
      </w:r>
      <w:proofErr w:type="spellStart"/>
      <w:r w:rsidR="000F3890" w:rsidRPr="00BB67D2">
        <w:rPr>
          <w:i/>
          <w:iCs/>
        </w:rPr>
        <w:t>pinus</w:t>
      </w:r>
      <w:proofErr w:type="spellEnd"/>
      <w:r w:rsidR="000F3890" w:rsidRPr="00BB67D2">
        <w:t xml:space="preserve">) hybrids at the leading edge of a hybrid zone. </w:t>
      </w:r>
      <w:proofErr w:type="spellStart"/>
      <w:r w:rsidR="000F3890" w:rsidRPr="00BB67D2">
        <w:t>Beh</w:t>
      </w:r>
      <w:proofErr w:type="spellEnd"/>
      <w:r w:rsidR="00D01DF2" w:rsidRPr="00BB67D2">
        <w:t>.</w:t>
      </w:r>
      <w:r w:rsidR="000F3890" w:rsidRPr="00BB67D2">
        <w:t xml:space="preserve"> Eco</w:t>
      </w:r>
      <w:r w:rsidR="00D01DF2" w:rsidRPr="00BB67D2">
        <w:t>l.</w:t>
      </w:r>
      <w:r w:rsidR="000F3890" w:rsidRPr="00BB67D2">
        <w:t xml:space="preserve"> </w:t>
      </w:r>
      <w:proofErr w:type="spellStart"/>
      <w:r w:rsidR="000F3890" w:rsidRPr="00BB67D2">
        <w:t>Socio</w:t>
      </w:r>
      <w:r w:rsidR="00BD5E09" w:rsidRPr="00BB67D2">
        <w:t>biol</w:t>
      </w:r>
      <w:proofErr w:type="spellEnd"/>
      <w:r w:rsidR="00D01DF2" w:rsidRPr="00BB67D2">
        <w:t>.</w:t>
      </w:r>
      <w:r w:rsidRPr="00BB67D2">
        <w:t xml:space="preserve"> 61:1797-1807</w:t>
      </w:r>
      <w:r w:rsidR="000F3890" w:rsidRPr="00BB67D2">
        <w:t xml:space="preserve"> </w:t>
      </w:r>
    </w:p>
    <w:p w:rsidR="000F3890" w:rsidRPr="00BB67D2" w:rsidRDefault="000F3890" w:rsidP="000F3890">
      <w:pPr>
        <w:spacing w:line="480" w:lineRule="auto"/>
        <w:ind w:left="720" w:hanging="720"/>
      </w:pPr>
    </w:p>
    <w:p w:rsidR="000F3890" w:rsidRPr="00BB67D2" w:rsidRDefault="00BA2962" w:rsidP="000F3890">
      <w:pPr>
        <w:spacing w:line="480" w:lineRule="auto"/>
        <w:ind w:left="720" w:hanging="720"/>
      </w:pPr>
      <w:proofErr w:type="spellStart"/>
      <w:r w:rsidRPr="00BB67D2">
        <w:t>Vallender</w:t>
      </w:r>
      <w:proofErr w:type="spellEnd"/>
      <w:r w:rsidRPr="00BB67D2">
        <w:t xml:space="preserve"> R,</w:t>
      </w:r>
      <w:r w:rsidR="000F3890" w:rsidRPr="00BB67D2">
        <w:t xml:space="preserve"> Van </w:t>
      </w:r>
      <w:proofErr w:type="spellStart"/>
      <w:r w:rsidR="000F3890" w:rsidRPr="00BB67D2">
        <w:t>Wilgenburg</w:t>
      </w:r>
      <w:proofErr w:type="spellEnd"/>
      <w:r w:rsidRPr="00BB67D2">
        <w:t xml:space="preserve"> SL, </w:t>
      </w:r>
      <w:proofErr w:type="spellStart"/>
      <w:r w:rsidR="000F3890" w:rsidRPr="00BB67D2">
        <w:t>Bulluck</w:t>
      </w:r>
      <w:proofErr w:type="spellEnd"/>
      <w:r w:rsidRPr="00BB67D2">
        <w:t xml:space="preserve"> LP, </w:t>
      </w:r>
      <w:r w:rsidR="000F3890" w:rsidRPr="00BB67D2">
        <w:t>Roth</w:t>
      </w:r>
      <w:r w:rsidRPr="00BB67D2">
        <w:t xml:space="preserve"> A, </w:t>
      </w:r>
      <w:r w:rsidR="000F3890" w:rsidRPr="00BB67D2">
        <w:t>Canterbury</w:t>
      </w:r>
      <w:r w:rsidRPr="00BB67D2">
        <w:t xml:space="preserve"> AP, </w:t>
      </w:r>
      <w:r w:rsidR="000F3890" w:rsidRPr="00BB67D2">
        <w:t>Larkin</w:t>
      </w:r>
      <w:r w:rsidRPr="00BB67D2">
        <w:t xml:space="preserve"> J, </w:t>
      </w:r>
      <w:r w:rsidR="000F3890" w:rsidRPr="00BB67D2">
        <w:t>Fowler</w:t>
      </w:r>
      <w:r w:rsidRPr="00BB67D2">
        <w:t xml:space="preserve"> RM, </w:t>
      </w:r>
      <w:proofErr w:type="spellStart"/>
      <w:r w:rsidR="000F3890" w:rsidRPr="00BB67D2">
        <w:t>Lovette</w:t>
      </w:r>
      <w:proofErr w:type="spellEnd"/>
      <w:r w:rsidRPr="00BB67D2">
        <w:t xml:space="preserve"> IJ</w:t>
      </w:r>
      <w:r w:rsidR="000F3890" w:rsidRPr="00BB67D2">
        <w:t xml:space="preserve"> </w:t>
      </w:r>
      <w:r w:rsidRPr="00BB67D2">
        <w:t>(2009)</w:t>
      </w:r>
      <w:r w:rsidR="000F3890" w:rsidRPr="00BB67D2">
        <w:t xml:space="preserve"> Extensive </w:t>
      </w:r>
      <w:proofErr w:type="spellStart"/>
      <w:r w:rsidR="000F3890" w:rsidRPr="00BB67D2">
        <w:t>rangewide</w:t>
      </w:r>
      <w:proofErr w:type="spellEnd"/>
      <w:r w:rsidR="000F3890" w:rsidRPr="00BB67D2">
        <w:t xml:space="preserve"> mitochondrial introgression indicates substantial cryptic hybridization in the Golden-winged Warbler (</w:t>
      </w:r>
      <w:proofErr w:type="spellStart"/>
      <w:r w:rsidR="000F3890" w:rsidRPr="00BB67D2">
        <w:rPr>
          <w:i/>
          <w:iCs/>
        </w:rPr>
        <w:t>Vermivora</w:t>
      </w:r>
      <w:proofErr w:type="spellEnd"/>
      <w:r w:rsidR="000F3890" w:rsidRPr="00BB67D2">
        <w:rPr>
          <w:i/>
          <w:iCs/>
        </w:rPr>
        <w:t xml:space="preserve"> chrysoptera</w:t>
      </w:r>
      <w:r w:rsidR="000F3890" w:rsidRPr="00BB67D2">
        <w:t>). Avian Cons</w:t>
      </w:r>
      <w:r w:rsidR="00D01DF2" w:rsidRPr="00BB67D2">
        <w:t>. Ecol.</w:t>
      </w:r>
      <w:r w:rsidRPr="00BB67D2">
        <w:t xml:space="preserve"> 4:4</w:t>
      </w:r>
    </w:p>
    <w:p w:rsidR="000F3890" w:rsidRPr="00BB67D2" w:rsidRDefault="000F3890" w:rsidP="000F3890">
      <w:pPr>
        <w:spacing w:line="480" w:lineRule="auto"/>
        <w:ind w:left="720" w:hanging="720"/>
      </w:pPr>
    </w:p>
    <w:p w:rsidR="000F3890" w:rsidRPr="00BB67D2" w:rsidRDefault="00BA2962" w:rsidP="000F3890">
      <w:pPr>
        <w:spacing w:line="480" w:lineRule="auto"/>
        <w:ind w:left="720" w:hanging="720"/>
      </w:pPr>
      <w:r w:rsidRPr="00BB67D2">
        <w:t xml:space="preserve">Vallender R, </w:t>
      </w:r>
      <w:r w:rsidR="000F3890" w:rsidRPr="00BB67D2">
        <w:t>Bull</w:t>
      </w:r>
      <w:r w:rsidRPr="00BB67D2">
        <w:t xml:space="preserve"> RD, </w:t>
      </w:r>
      <w:r w:rsidR="000F3890" w:rsidRPr="00BB67D2">
        <w:t>Moulton</w:t>
      </w:r>
      <w:r w:rsidRPr="00BB67D2">
        <w:t xml:space="preserve"> LL, </w:t>
      </w:r>
      <w:r w:rsidR="000F3890" w:rsidRPr="00BB67D2">
        <w:t>Robertson</w:t>
      </w:r>
      <w:r w:rsidRPr="00BB67D2">
        <w:t xml:space="preserve"> RJ (2012)</w:t>
      </w:r>
      <w:r w:rsidR="000F3890" w:rsidRPr="00BB67D2">
        <w:t xml:space="preserve"> Blood parasite infection and heterozygosity in pure and genetic-hybrid Golden-winged Warblers (</w:t>
      </w:r>
      <w:proofErr w:type="spellStart"/>
      <w:r w:rsidR="000F3890" w:rsidRPr="00BB67D2">
        <w:t>Vermivora</w:t>
      </w:r>
      <w:proofErr w:type="spellEnd"/>
      <w:r w:rsidR="000F3890" w:rsidRPr="00BB67D2">
        <w:t xml:space="preserve"> chrysoptera) across Canada. </w:t>
      </w:r>
      <w:r w:rsidRPr="00BB67D2">
        <w:t>Auk 129:716-724</w:t>
      </w:r>
      <w:r w:rsidR="000F3890" w:rsidRPr="00BB67D2">
        <w:t xml:space="preserve"> </w:t>
      </w:r>
    </w:p>
    <w:p w:rsidR="00A80F5A" w:rsidRPr="00A607C4" w:rsidRDefault="00A80F5A" w:rsidP="000F3890">
      <w:pPr>
        <w:spacing w:line="480" w:lineRule="auto"/>
        <w:ind w:left="720" w:hanging="720"/>
      </w:pPr>
    </w:p>
    <w:p w:rsidR="000F3890" w:rsidRDefault="00A80F5A" w:rsidP="000F3890">
      <w:pPr>
        <w:spacing w:line="480" w:lineRule="auto"/>
        <w:ind w:left="720" w:hanging="720"/>
      </w:pPr>
      <w:r w:rsidRPr="00A607C4">
        <w:t xml:space="preserve">Wood EM, Barker </w:t>
      </w:r>
      <w:proofErr w:type="spellStart"/>
      <w:r w:rsidRPr="00A607C4">
        <w:t>Swarthout</w:t>
      </w:r>
      <w:proofErr w:type="spellEnd"/>
      <w:r w:rsidRPr="00A607C4">
        <w:t xml:space="preserve"> SE, </w:t>
      </w:r>
      <w:proofErr w:type="spellStart"/>
      <w:r w:rsidRPr="00A607C4">
        <w:t>Hochachka</w:t>
      </w:r>
      <w:proofErr w:type="spellEnd"/>
      <w:r w:rsidRPr="00A607C4">
        <w:t xml:space="preserve"> WM, Larkin JL, </w:t>
      </w:r>
      <w:proofErr w:type="spellStart"/>
      <w:r w:rsidRPr="00A607C4">
        <w:t>Rohrbaugh</w:t>
      </w:r>
      <w:proofErr w:type="spellEnd"/>
      <w:r w:rsidRPr="00A607C4">
        <w:t xml:space="preserve"> RW, Rosenberg KV, and Rodewald AD (2016) Intermediate habitat associations by hybrids may facilitate genetic introgression in a songbird. </w:t>
      </w:r>
      <w:r w:rsidRPr="00A607C4">
        <w:rPr>
          <w:iCs/>
        </w:rPr>
        <w:t>Jour. of Avian Biol</w:t>
      </w:r>
      <w:r w:rsidRPr="00A607C4">
        <w:t>.</w:t>
      </w: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Default="00CB6535" w:rsidP="000F3890">
      <w:pPr>
        <w:spacing w:line="480" w:lineRule="auto"/>
        <w:ind w:left="720" w:hanging="720"/>
      </w:pPr>
    </w:p>
    <w:p w:rsidR="00CB6535" w:rsidRPr="00A35898" w:rsidRDefault="00CB6535" w:rsidP="00CB6535">
      <w:pPr>
        <w:widowControl/>
        <w:overflowPunct/>
        <w:autoSpaceDE w:val="0"/>
        <w:autoSpaceDN w:val="0"/>
        <w:spacing w:line="480" w:lineRule="auto"/>
        <w:rPr>
          <w:rFonts w:eastAsiaTheme="minorHAnsi"/>
          <w:b/>
          <w:kern w:val="0"/>
        </w:rPr>
      </w:pPr>
      <w:r>
        <w:rPr>
          <w:rFonts w:eastAsiaTheme="minorHAnsi"/>
          <w:kern w:val="0"/>
        </w:rPr>
        <w:lastRenderedPageBreak/>
        <w:t xml:space="preserve">Table 1. Results of Golden-winged Warbler </w:t>
      </w:r>
      <w:proofErr w:type="spellStart"/>
      <w:r>
        <w:rPr>
          <w:rFonts w:eastAsiaTheme="minorHAnsi"/>
          <w:kern w:val="0"/>
        </w:rPr>
        <w:t>mtDNA</w:t>
      </w:r>
      <w:proofErr w:type="spellEnd"/>
      <w:r>
        <w:rPr>
          <w:rFonts w:eastAsiaTheme="minorHAnsi"/>
          <w:kern w:val="0"/>
        </w:rPr>
        <w:t xml:space="preserve"> screening from 2011-2014 in South-east Manitoba. GWWA = Golden-winged Warbler, BRWA = Brewster’s Warbler; ABW = ancestral Golden-winged Warbler; ABW = ancestral Blue-winged Warbler.</w:t>
      </w:r>
    </w:p>
    <w:tbl>
      <w:tblPr>
        <w:tblW w:w="5100" w:type="dxa"/>
        <w:tblLook w:val="04A0" w:firstRow="1" w:lastRow="0" w:firstColumn="1" w:lastColumn="0" w:noHBand="0" w:noVBand="1"/>
      </w:tblPr>
      <w:tblGrid>
        <w:gridCol w:w="1260"/>
        <w:gridCol w:w="960"/>
        <w:gridCol w:w="960"/>
        <w:gridCol w:w="960"/>
        <w:gridCol w:w="960"/>
      </w:tblGrid>
      <w:tr w:rsidR="00CB6535" w:rsidRPr="002A0BB7" w:rsidTr="00F166D9">
        <w:trPr>
          <w:trHeight w:val="270"/>
        </w:trPr>
        <w:tc>
          <w:tcPr>
            <w:tcW w:w="126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rFonts w:ascii="Arial" w:hAnsi="Arial" w:cs="Arial"/>
                <w:color w:val="000000"/>
                <w:kern w:val="0"/>
                <w:sz w:val="20"/>
                <w:szCs w:val="20"/>
              </w:rPr>
            </w:pPr>
            <w:r w:rsidRPr="002A0BB7">
              <w:rPr>
                <w:rFonts w:ascii="Arial" w:hAnsi="Arial" w:cs="Arial"/>
                <w:color w:val="000000"/>
                <w:kern w:val="0"/>
                <w:sz w:val="20"/>
                <w:szCs w:val="20"/>
              </w:rPr>
              <w:t> </w:t>
            </w:r>
          </w:p>
        </w:tc>
        <w:tc>
          <w:tcPr>
            <w:tcW w:w="96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rFonts w:ascii="Arial" w:hAnsi="Arial" w:cs="Arial"/>
                <w:color w:val="000000"/>
                <w:kern w:val="0"/>
                <w:sz w:val="20"/>
                <w:szCs w:val="20"/>
              </w:rPr>
            </w:pPr>
            <w:r w:rsidRPr="002A0BB7">
              <w:rPr>
                <w:rFonts w:ascii="Arial" w:hAnsi="Arial" w:cs="Arial"/>
                <w:color w:val="000000"/>
                <w:kern w:val="0"/>
                <w:sz w:val="20"/>
                <w:szCs w:val="20"/>
              </w:rPr>
              <w:t> </w:t>
            </w:r>
          </w:p>
        </w:tc>
        <w:tc>
          <w:tcPr>
            <w:tcW w:w="96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rFonts w:ascii="Arial" w:hAnsi="Arial" w:cs="Arial"/>
                <w:color w:val="000000"/>
                <w:kern w:val="0"/>
                <w:sz w:val="20"/>
                <w:szCs w:val="20"/>
              </w:rPr>
            </w:pPr>
            <w:r w:rsidRPr="002A0BB7">
              <w:rPr>
                <w:rFonts w:ascii="Arial" w:hAnsi="Arial" w:cs="Arial"/>
                <w:color w:val="000000"/>
                <w:kern w:val="0"/>
                <w:sz w:val="20"/>
                <w:szCs w:val="20"/>
              </w:rPr>
              <w:t> </w:t>
            </w:r>
          </w:p>
        </w:tc>
        <w:tc>
          <w:tcPr>
            <w:tcW w:w="96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rFonts w:ascii="Arial" w:hAnsi="Arial" w:cs="Arial"/>
                <w:color w:val="000000"/>
                <w:kern w:val="0"/>
                <w:sz w:val="20"/>
                <w:szCs w:val="20"/>
              </w:rPr>
            </w:pPr>
            <w:r w:rsidRPr="002A0BB7">
              <w:rPr>
                <w:rFonts w:ascii="Arial" w:hAnsi="Arial" w:cs="Arial"/>
                <w:color w:val="000000"/>
                <w:kern w:val="0"/>
                <w:sz w:val="20"/>
                <w:szCs w:val="20"/>
              </w:rPr>
              <w:t> </w:t>
            </w:r>
          </w:p>
        </w:tc>
        <w:tc>
          <w:tcPr>
            <w:tcW w:w="96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rFonts w:ascii="Arial" w:hAnsi="Arial" w:cs="Arial"/>
                <w:color w:val="000000"/>
                <w:kern w:val="0"/>
                <w:sz w:val="20"/>
                <w:szCs w:val="20"/>
              </w:rPr>
            </w:pPr>
            <w:r w:rsidRPr="002A0BB7">
              <w:rPr>
                <w:rFonts w:ascii="Arial" w:hAnsi="Arial" w:cs="Arial"/>
                <w:color w:val="000000"/>
                <w:kern w:val="0"/>
                <w:sz w:val="20"/>
                <w:szCs w:val="20"/>
              </w:rPr>
              <w:t> </w:t>
            </w:r>
          </w:p>
        </w:tc>
      </w:tr>
      <w:tr w:rsidR="00CB6535" w:rsidRPr="002A0BB7" w:rsidTr="00F166D9">
        <w:trPr>
          <w:trHeight w:val="330"/>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Year</w:t>
            </w:r>
          </w:p>
        </w:tc>
        <w:tc>
          <w:tcPr>
            <w:tcW w:w="1920" w:type="dxa"/>
            <w:gridSpan w:val="2"/>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u w:val="single"/>
              </w:rPr>
            </w:pPr>
            <w:r w:rsidRPr="002A0BB7">
              <w:rPr>
                <w:color w:val="000000"/>
                <w:kern w:val="0"/>
                <w:sz w:val="22"/>
                <w:szCs w:val="22"/>
                <w:u w:val="single"/>
              </w:rPr>
              <w:t>GWWA</w:t>
            </w:r>
          </w:p>
        </w:tc>
        <w:tc>
          <w:tcPr>
            <w:tcW w:w="1920" w:type="dxa"/>
            <w:gridSpan w:val="2"/>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u w:val="single"/>
              </w:rPr>
            </w:pPr>
            <w:r w:rsidRPr="002A0BB7">
              <w:rPr>
                <w:color w:val="000000"/>
                <w:kern w:val="0"/>
                <w:sz w:val="22"/>
                <w:szCs w:val="22"/>
                <w:u w:val="single"/>
              </w:rPr>
              <w:t>BRWA</w:t>
            </w:r>
          </w:p>
        </w:tc>
      </w:tr>
      <w:tr w:rsidR="00CB6535" w:rsidRPr="002A0BB7" w:rsidTr="00F166D9">
        <w:trPr>
          <w:trHeight w:val="315"/>
        </w:trPr>
        <w:tc>
          <w:tcPr>
            <w:tcW w:w="126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w:t>
            </w:r>
          </w:p>
        </w:tc>
        <w:tc>
          <w:tcPr>
            <w:tcW w:w="96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AGW</w:t>
            </w:r>
          </w:p>
        </w:tc>
        <w:tc>
          <w:tcPr>
            <w:tcW w:w="96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ABW</w:t>
            </w:r>
          </w:p>
        </w:tc>
        <w:tc>
          <w:tcPr>
            <w:tcW w:w="96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AGW</w:t>
            </w:r>
          </w:p>
        </w:tc>
        <w:tc>
          <w:tcPr>
            <w:tcW w:w="96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ABW</w:t>
            </w:r>
          </w:p>
        </w:tc>
      </w:tr>
      <w:tr w:rsidR="00CB6535" w:rsidRPr="002A0BB7" w:rsidTr="00F166D9">
        <w:trPr>
          <w:trHeight w:val="315"/>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2011</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27</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315"/>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2012</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57</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8</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315"/>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2013</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66</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330"/>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2014</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45</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330"/>
        </w:trPr>
        <w:tc>
          <w:tcPr>
            <w:tcW w:w="1260" w:type="dxa"/>
            <w:tcBorders>
              <w:top w:val="single" w:sz="8" w:space="0" w:color="auto"/>
              <w:left w:val="single" w:sz="8" w:space="0" w:color="auto"/>
              <w:bottom w:val="single" w:sz="8"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Total</w:t>
            </w:r>
          </w:p>
        </w:tc>
        <w:tc>
          <w:tcPr>
            <w:tcW w:w="960" w:type="dxa"/>
            <w:tcBorders>
              <w:top w:val="single" w:sz="8" w:space="0" w:color="auto"/>
              <w:left w:val="nil"/>
              <w:bottom w:val="single" w:sz="8"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195</w:t>
            </w:r>
          </w:p>
        </w:tc>
        <w:tc>
          <w:tcPr>
            <w:tcW w:w="960" w:type="dxa"/>
            <w:tcBorders>
              <w:top w:val="single" w:sz="8" w:space="0" w:color="auto"/>
              <w:left w:val="nil"/>
              <w:bottom w:val="single" w:sz="8" w:space="0" w:color="auto"/>
              <w:right w:val="nil"/>
            </w:tcBorders>
            <w:shd w:val="clear" w:color="auto" w:fill="auto"/>
            <w:noWrap/>
            <w:vAlign w:val="bottom"/>
            <w:hideMark/>
          </w:tcPr>
          <w:p w:rsidR="00CB6535" w:rsidRPr="002A0BB7" w:rsidRDefault="00CB6535" w:rsidP="00F166D9">
            <w:pPr>
              <w:widowControl/>
              <w:overflowPunct/>
              <w:adjustRightInd/>
              <w:jc w:val="center"/>
              <w:rPr>
                <w:b/>
                <w:bCs/>
                <w:color w:val="000000"/>
                <w:kern w:val="0"/>
                <w:sz w:val="22"/>
                <w:szCs w:val="22"/>
              </w:rPr>
            </w:pPr>
            <w:r w:rsidRPr="002A0BB7">
              <w:rPr>
                <w:b/>
                <w:bCs/>
                <w:color w:val="000000"/>
                <w:kern w:val="0"/>
                <w:sz w:val="22"/>
                <w:szCs w:val="22"/>
              </w:rPr>
              <w:t>8</w:t>
            </w:r>
          </w:p>
        </w:tc>
        <w:tc>
          <w:tcPr>
            <w:tcW w:w="960" w:type="dxa"/>
            <w:tcBorders>
              <w:top w:val="single" w:sz="8" w:space="0" w:color="auto"/>
              <w:left w:val="nil"/>
              <w:bottom w:val="single" w:sz="8" w:space="0" w:color="auto"/>
              <w:right w:val="nil"/>
            </w:tcBorders>
            <w:shd w:val="clear" w:color="auto" w:fill="auto"/>
            <w:noWrap/>
            <w:vAlign w:val="bottom"/>
            <w:hideMark/>
          </w:tcPr>
          <w:p w:rsidR="00CB6535" w:rsidRPr="002A0BB7" w:rsidRDefault="00CB6535" w:rsidP="00F166D9">
            <w:pPr>
              <w:widowControl/>
              <w:overflowPunct/>
              <w:adjustRightInd/>
              <w:jc w:val="center"/>
              <w:rPr>
                <w:b/>
                <w:bCs/>
                <w:color w:val="000000"/>
                <w:kern w:val="0"/>
                <w:sz w:val="22"/>
                <w:szCs w:val="22"/>
              </w:rPr>
            </w:pPr>
            <w:r w:rsidRPr="002A0BB7">
              <w:rPr>
                <w:b/>
                <w:bCs/>
                <w:color w:val="000000"/>
                <w:kern w:val="0"/>
                <w:sz w:val="22"/>
                <w:szCs w:val="22"/>
              </w:rPr>
              <w:t>2</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255"/>
        </w:trPr>
        <w:tc>
          <w:tcPr>
            <w:tcW w:w="12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96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r>
    </w:tbl>
    <w:p w:rsidR="00CB6535" w:rsidRDefault="00CB6535" w:rsidP="00CB6535">
      <w:pPr>
        <w:widowControl/>
        <w:overflowPunct/>
        <w:adjustRightInd/>
        <w:spacing w:after="160" w:line="259" w:lineRule="auto"/>
        <w:rPr>
          <w:rFonts w:eastAsiaTheme="minorHAnsi"/>
          <w:kern w:val="0"/>
        </w:rPr>
      </w:pPr>
    </w:p>
    <w:p w:rsidR="00CB6535" w:rsidRDefault="00CB6535" w:rsidP="00CB6535">
      <w:pPr>
        <w:widowControl/>
        <w:overflowPunct/>
        <w:adjustRightInd/>
        <w:spacing w:after="160" w:line="480" w:lineRule="auto"/>
        <w:rPr>
          <w:rFonts w:eastAsiaTheme="minorHAnsi"/>
          <w:kern w:val="0"/>
        </w:rPr>
      </w:pPr>
      <w:r>
        <w:rPr>
          <w:rFonts w:eastAsiaTheme="minorHAnsi"/>
          <w:kern w:val="0"/>
        </w:rPr>
        <w:br w:type="page"/>
      </w:r>
      <w:r>
        <w:rPr>
          <w:rFonts w:eastAsiaTheme="minorHAnsi"/>
          <w:kern w:val="0"/>
        </w:rPr>
        <w:lastRenderedPageBreak/>
        <w:t>Table 2. Demographics of Golden-winged x Blue-winged Warblers found in South-east Manitoba in 2011- 2014.</w:t>
      </w:r>
    </w:p>
    <w:tbl>
      <w:tblPr>
        <w:tblW w:w="5670" w:type="dxa"/>
        <w:tblLook w:val="04A0" w:firstRow="1" w:lastRow="0" w:firstColumn="1" w:lastColumn="0" w:noHBand="0" w:noVBand="1"/>
      </w:tblPr>
      <w:tblGrid>
        <w:gridCol w:w="1530"/>
        <w:gridCol w:w="690"/>
        <w:gridCol w:w="960"/>
        <w:gridCol w:w="2490"/>
      </w:tblGrid>
      <w:tr w:rsidR="00CB6535" w:rsidRPr="00A35898" w:rsidTr="00F166D9">
        <w:trPr>
          <w:trHeight w:val="270"/>
        </w:trPr>
        <w:tc>
          <w:tcPr>
            <w:tcW w:w="1530" w:type="dxa"/>
            <w:tcBorders>
              <w:top w:val="nil"/>
              <w:left w:val="nil"/>
              <w:bottom w:val="double" w:sz="6" w:space="0" w:color="auto"/>
              <w:right w:val="nil"/>
            </w:tcBorders>
            <w:shd w:val="clear" w:color="auto" w:fill="auto"/>
            <w:noWrap/>
            <w:vAlign w:val="bottom"/>
            <w:hideMark/>
          </w:tcPr>
          <w:p w:rsidR="00CB6535" w:rsidRPr="00A35898" w:rsidRDefault="00CB6535" w:rsidP="00F166D9">
            <w:pPr>
              <w:widowControl/>
              <w:overflowPunct/>
              <w:adjustRightInd/>
              <w:rPr>
                <w:rFonts w:ascii="Arial" w:hAnsi="Arial" w:cs="Arial"/>
                <w:color w:val="000000"/>
                <w:kern w:val="0"/>
                <w:sz w:val="20"/>
                <w:szCs w:val="20"/>
              </w:rPr>
            </w:pPr>
            <w:r w:rsidRPr="00A35898">
              <w:rPr>
                <w:rFonts w:ascii="Arial" w:hAnsi="Arial" w:cs="Arial"/>
                <w:color w:val="000000"/>
                <w:kern w:val="0"/>
                <w:sz w:val="20"/>
                <w:szCs w:val="20"/>
              </w:rPr>
              <w:t> </w:t>
            </w:r>
          </w:p>
        </w:tc>
        <w:tc>
          <w:tcPr>
            <w:tcW w:w="690" w:type="dxa"/>
            <w:tcBorders>
              <w:top w:val="nil"/>
              <w:left w:val="nil"/>
              <w:bottom w:val="double" w:sz="6" w:space="0" w:color="auto"/>
              <w:right w:val="nil"/>
            </w:tcBorders>
            <w:shd w:val="clear" w:color="auto" w:fill="auto"/>
            <w:noWrap/>
            <w:vAlign w:val="bottom"/>
            <w:hideMark/>
          </w:tcPr>
          <w:p w:rsidR="00CB6535" w:rsidRPr="00A35898" w:rsidRDefault="00CB6535" w:rsidP="00F166D9">
            <w:pPr>
              <w:widowControl/>
              <w:overflowPunct/>
              <w:adjustRightInd/>
              <w:rPr>
                <w:rFonts w:ascii="Arial" w:hAnsi="Arial" w:cs="Arial"/>
                <w:color w:val="000000"/>
                <w:kern w:val="0"/>
                <w:sz w:val="20"/>
                <w:szCs w:val="20"/>
              </w:rPr>
            </w:pPr>
            <w:r w:rsidRPr="00A35898">
              <w:rPr>
                <w:rFonts w:ascii="Arial" w:hAnsi="Arial" w:cs="Arial"/>
                <w:color w:val="000000"/>
                <w:kern w:val="0"/>
                <w:sz w:val="20"/>
                <w:szCs w:val="20"/>
              </w:rPr>
              <w:t> </w:t>
            </w:r>
          </w:p>
        </w:tc>
        <w:tc>
          <w:tcPr>
            <w:tcW w:w="960" w:type="dxa"/>
            <w:tcBorders>
              <w:top w:val="nil"/>
              <w:left w:val="nil"/>
              <w:bottom w:val="double" w:sz="6" w:space="0" w:color="auto"/>
              <w:right w:val="nil"/>
            </w:tcBorders>
            <w:shd w:val="clear" w:color="auto" w:fill="auto"/>
            <w:noWrap/>
            <w:vAlign w:val="bottom"/>
            <w:hideMark/>
          </w:tcPr>
          <w:p w:rsidR="00CB6535" w:rsidRPr="00A35898" w:rsidRDefault="00CB6535" w:rsidP="00F166D9">
            <w:pPr>
              <w:widowControl/>
              <w:overflowPunct/>
              <w:adjustRightInd/>
              <w:rPr>
                <w:rFonts w:ascii="Arial" w:hAnsi="Arial" w:cs="Arial"/>
                <w:color w:val="000000"/>
                <w:kern w:val="0"/>
                <w:sz w:val="20"/>
                <w:szCs w:val="20"/>
              </w:rPr>
            </w:pPr>
            <w:r w:rsidRPr="00A35898">
              <w:rPr>
                <w:rFonts w:ascii="Arial" w:hAnsi="Arial" w:cs="Arial"/>
                <w:color w:val="000000"/>
                <w:kern w:val="0"/>
                <w:sz w:val="20"/>
                <w:szCs w:val="20"/>
              </w:rPr>
              <w:t> </w:t>
            </w:r>
          </w:p>
        </w:tc>
        <w:tc>
          <w:tcPr>
            <w:tcW w:w="2490" w:type="dxa"/>
            <w:tcBorders>
              <w:top w:val="nil"/>
              <w:left w:val="nil"/>
              <w:bottom w:val="double" w:sz="6" w:space="0" w:color="auto"/>
              <w:right w:val="nil"/>
            </w:tcBorders>
            <w:shd w:val="clear" w:color="auto" w:fill="auto"/>
            <w:noWrap/>
            <w:vAlign w:val="bottom"/>
            <w:hideMark/>
          </w:tcPr>
          <w:p w:rsidR="00CB6535" w:rsidRPr="00A35898" w:rsidRDefault="00CB6535" w:rsidP="00F166D9">
            <w:pPr>
              <w:widowControl/>
              <w:overflowPunct/>
              <w:adjustRightInd/>
              <w:rPr>
                <w:rFonts w:ascii="Arial" w:hAnsi="Arial" w:cs="Arial"/>
                <w:color w:val="000000"/>
                <w:kern w:val="0"/>
                <w:sz w:val="20"/>
                <w:szCs w:val="20"/>
              </w:rPr>
            </w:pPr>
            <w:r w:rsidRPr="00A35898">
              <w:rPr>
                <w:rFonts w:ascii="Arial" w:hAnsi="Arial" w:cs="Arial"/>
                <w:color w:val="000000"/>
                <w:kern w:val="0"/>
                <w:sz w:val="20"/>
                <w:szCs w:val="20"/>
              </w:rPr>
              <w:t> </w:t>
            </w:r>
          </w:p>
        </w:tc>
      </w:tr>
      <w:tr w:rsidR="00CB6535" w:rsidRPr="00A35898" w:rsidTr="00F166D9">
        <w:trPr>
          <w:trHeight w:val="315"/>
        </w:trPr>
        <w:tc>
          <w:tcPr>
            <w:tcW w:w="153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ID</w:t>
            </w:r>
          </w:p>
        </w:tc>
        <w:tc>
          <w:tcPr>
            <w:tcW w:w="69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Sex</w:t>
            </w:r>
          </w:p>
        </w:tc>
        <w:tc>
          <w:tcPr>
            <w:tcW w:w="96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Age</w:t>
            </w:r>
          </w:p>
        </w:tc>
        <w:tc>
          <w:tcPr>
            <w:tcW w:w="249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Year(s) present</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2690-29039</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2011, 2012, 2013, 2014</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2690-29055</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2690-29079</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2012, 2013, 2014</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2690-29101</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2690-29119</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F</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2690-29138</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ASY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2012, 2013</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2690-29163</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2690-29173</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w:t>
            </w:r>
          </w:p>
        </w:tc>
      </w:tr>
      <w:tr w:rsidR="00CB6535" w:rsidRPr="00A35898" w:rsidTr="00F166D9">
        <w:trPr>
          <w:trHeight w:val="300"/>
        </w:trPr>
        <w:tc>
          <w:tcPr>
            <w:tcW w:w="153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2690-29188</w:t>
            </w:r>
          </w:p>
        </w:tc>
        <w:tc>
          <w:tcPr>
            <w:tcW w:w="6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SY</w:t>
            </w:r>
          </w:p>
        </w:tc>
        <w:tc>
          <w:tcPr>
            <w:tcW w:w="2490" w:type="dxa"/>
            <w:tcBorders>
              <w:top w:val="nil"/>
              <w:left w:val="nil"/>
              <w:bottom w:val="nil"/>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2012, 2013</w:t>
            </w:r>
          </w:p>
        </w:tc>
      </w:tr>
      <w:tr w:rsidR="00CB6535" w:rsidRPr="00A35898" w:rsidTr="00F166D9">
        <w:trPr>
          <w:trHeight w:val="300"/>
        </w:trPr>
        <w:tc>
          <w:tcPr>
            <w:tcW w:w="153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2690-29339</w:t>
            </w:r>
          </w:p>
        </w:tc>
        <w:tc>
          <w:tcPr>
            <w:tcW w:w="69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M</w:t>
            </w:r>
          </w:p>
        </w:tc>
        <w:tc>
          <w:tcPr>
            <w:tcW w:w="96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center"/>
              <w:rPr>
                <w:color w:val="000000"/>
                <w:kern w:val="0"/>
                <w:sz w:val="22"/>
                <w:szCs w:val="22"/>
              </w:rPr>
            </w:pPr>
            <w:r w:rsidRPr="00A35898">
              <w:rPr>
                <w:color w:val="000000"/>
                <w:kern w:val="0"/>
                <w:sz w:val="22"/>
                <w:szCs w:val="22"/>
              </w:rPr>
              <w:t>ASY</w:t>
            </w:r>
          </w:p>
        </w:tc>
        <w:tc>
          <w:tcPr>
            <w:tcW w:w="2490" w:type="dxa"/>
            <w:tcBorders>
              <w:top w:val="nil"/>
              <w:left w:val="nil"/>
              <w:bottom w:val="single" w:sz="4" w:space="0" w:color="auto"/>
              <w:right w:val="nil"/>
            </w:tcBorders>
            <w:shd w:val="clear" w:color="auto" w:fill="auto"/>
            <w:noWrap/>
            <w:vAlign w:val="bottom"/>
            <w:hideMark/>
          </w:tcPr>
          <w:p w:rsidR="00CB6535" w:rsidRPr="00A35898" w:rsidRDefault="00CB6535" w:rsidP="00F166D9">
            <w:pPr>
              <w:widowControl/>
              <w:overflowPunct/>
              <w:adjustRightInd/>
              <w:jc w:val="right"/>
              <w:rPr>
                <w:color w:val="000000"/>
                <w:kern w:val="0"/>
                <w:sz w:val="22"/>
                <w:szCs w:val="22"/>
              </w:rPr>
            </w:pPr>
            <w:r w:rsidRPr="00A35898">
              <w:rPr>
                <w:color w:val="000000"/>
                <w:kern w:val="0"/>
                <w:sz w:val="22"/>
                <w:szCs w:val="22"/>
              </w:rPr>
              <w:t>2012, 2013</w:t>
            </w:r>
          </w:p>
        </w:tc>
      </w:tr>
    </w:tbl>
    <w:p w:rsidR="00CB6535" w:rsidRDefault="00CB6535" w:rsidP="00CB6535">
      <w:pPr>
        <w:widowControl/>
        <w:overflowPunct/>
        <w:adjustRightInd/>
        <w:spacing w:after="160" w:line="259" w:lineRule="auto"/>
        <w:rPr>
          <w:rFonts w:eastAsiaTheme="minorHAnsi"/>
          <w:kern w:val="0"/>
        </w:rPr>
      </w:pPr>
    </w:p>
    <w:p w:rsidR="00CB6535" w:rsidRPr="00B61317" w:rsidRDefault="00CB6535" w:rsidP="00CB6535">
      <w:pPr>
        <w:widowControl/>
        <w:overflowPunct/>
        <w:adjustRightInd/>
        <w:spacing w:after="160" w:line="480" w:lineRule="auto"/>
        <w:rPr>
          <w:rFonts w:eastAsiaTheme="minorHAnsi"/>
          <w:kern w:val="0"/>
        </w:rPr>
      </w:pPr>
      <w:r>
        <w:rPr>
          <w:rFonts w:eastAsiaTheme="minorHAnsi"/>
          <w:kern w:val="0"/>
        </w:rPr>
        <w:br w:type="page"/>
      </w:r>
      <w:r w:rsidRPr="00B61317">
        <w:rPr>
          <w:rFonts w:eastAsiaTheme="minorHAnsi"/>
          <w:kern w:val="0"/>
        </w:rPr>
        <w:lastRenderedPageBreak/>
        <w:t xml:space="preserve">Table </w:t>
      </w:r>
      <w:r>
        <w:rPr>
          <w:rFonts w:eastAsiaTheme="minorHAnsi"/>
          <w:kern w:val="0"/>
        </w:rPr>
        <w:t>3</w:t>
      </w:r>
      <w:r w:rsidRPr="00B61317">
        <w:rPr>
          <w:rFonts w:eastAsiaTheme="minorHAnsi"/>
          <w:kern w:val="0"/>
        </w:rPr>
        <w:t xml:space="preserve">. </w:t>
      </w:r>
      <w:r>
        <w:rPr>
          <w:rFonts w:eastAsiaTheme="minorHAnsi"/>
          <w:kern w:val="0"/>
        </w:rPr>
        <w:t xml:space="preserve">Territory- and landscape-level habitat use of pure and hybrid Golden-winged Warblers in South-east Manitoba in 2012. </w:t>
      </w:r>
    </w:p>
    <w:tbl>
      <w:tblPr>
        <w:tblW w:w="9500" w:type="dxa"/>
        <w:tblLook w:val="04A0" w:firstRow="1" w:lastRow="0" w:firstColumn="1" w:lastColumn="0" w:noHBand="0" w:noVBand="1"/>
      </w:tblPr>
      <w:tblGrid>
        <w:gridCol w:w="3500"/>
        <w:gridCol w:w="1540"/>
        <w:gridCol w:w="1300"/>
        <w:gridCol w:w="1580"/>
        <w:gridCol w:w="1580"/>
      </w:tblGrid>
      <w:tr w:rsidR="00CB6535" w:rsidRPr="002A0BB7" w:rsidTr="00F166D9">
        <w:trPr>
          <w:trHeight w:val="315"/>
        </w:trPr>
        <w:tc>
          <w:tcPr>
            <w:tcW w:w="350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t>
            </w:r>
          </w:p>
        </w:tc>
        <w:tc>
          <w:tcPr>
            <w:tcW w:w="154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t>
            </w:r>
          </w:p>
        </w:tc>
        <w:tc>
          <w:tcPr>
            <w:tcW w:w="130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t>
            </w:r>
          </w:p>
        </w:tc>
        <w:tc>
          <w:tcPr>
            <w:tcW w:w="158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t>
            </w:r>
          </w:p>
        </w:tc>
        <w:tc>
          <w:tcPr>
            <w:tcW w:w="1580" w:type="dxa"/>
            <w:tcBorders>
              <w:top w:val="nil"/>
              <w:left w:val="nil"/>
              <w:bottom w:val="double" w:sz="6"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t>
            </w:r>
          </w:p>
        </w:tc>
      </w:tr>
      <w:tr w:rsidR="00CB6535" w:rsidRPr="002A0BB7" w:rsidTr="00F166D9">
        <w:trPr>
          <w:trHeight w:val="330"/>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p>
        </w:tc>
        <w:tc>
          <w:tcPr>
            <w:tcW w:w="2840" w:type="dxa"/>
            <w:gridSpan w:val="2"/>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u w:val="single"/>
              </w:rPr>
            </w:pPr>
            <w:r w:rsidRPr="002A0BB7">
              <w:rPr>
                <w:color w:val="000000"/>
                <w:kern w:val="0"/>
                <w:sz w:val="22"/>
                <w:szCs w:val="22"/>
                <w:u w:val="single"/>
              </w:rPr>
              <w:t>GWWA (n=40)</w:t>
            </w:r>
          </w:p>
        </w:tc>
        <w:tc>
          <w:tcPr>
            <w:tcW w:w="3160" w:type="dxa"/>
            <w:gridSpan w:val="2"/>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u w:val="single"/>
              </w:rPr>
            </w:pPr>
            <w:r w:rsidRPr="002A0BB7">
              <w:rPr>
                <w:color w:val="000000"/>
                <w:kern w:val="0"/>
                <w:sz w:val="22"/>
                <w:szCs w:val="22"/>
                <w:u w:val="single"/>
              </w:rPr>
              <w:t>GWWA x BWWA hybrid (n=8)</w:t>
            </w:r>
          </w:p>
        </w:tc>
      </w:tr>
      <w:tr w:rsidR="00CB6535" w:rsidRPr="002A0BB7" w:rsidTr="00F166D9">
        <w:trPr>
          <w:trHeight w:val="315"/>
        </w:trPr>
        <w:tc>
          <w:tcPr>
            <w:tcW w:w="350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Variable</w:t>
            </w:r>
          </w:p>
        </w:tc>
        <w:tc>
          <w:tcPr>
            <w:tcW w:w="154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Mean (SE)</w:t>
            </w:r>
          </w:p>
        </w:tc>
        <w:tc>
          <w:tcPr>
            <w:tcW w:w="130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Range</w:t>
            </w:r>
          </w:p>
        </w:tc>
        <w:tc>
          <w:tcPr>
            <w:tcW w:w="158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Mean (SE)</w:t>
            </w:r>
          </w:p>
        </w:tc>
        <w:tc>
          <w:tcPr>
            <w:tcW w:w="158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Range</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b/>
                <w:bCs/>
                <w:color w:val="000000"/>
                <w:kern w:val="0"/>
                <w:sz w:val="22"/>
                <w:szCs w:val="22"/>
              </w:rPr>
            </w:pPr>
            <w:r w:rsidRPr="002A0BB7">
              <w:rPr>
                <w:b/>
                <w:bCs/>
                <w:color w:val="000000"/>
                <w:kern w:val="0"/>
                <w:sz w:val="22"/>
                <w:szCs w:val="22"/>
              </w:rPr>
              <w:t>Territory-level</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b/>
                <w:bCs/>
                <w:color w:val="000000"/>
                <w:kern w:val="0"/>
                <w:sz w:val="22"/>
                <w:szCs w:val="22"/>
              </w:rPr>
            </w:pP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canopy cover</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24.39 (2.31)</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6 - 57</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31.25 (4.61)</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14 - 43</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shrub</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34.70 (1.82)</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10 - 65</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37.87 (6.88)</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15 - 80</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herbaceous</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29.85 (1.79)</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10 - 63</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29.50 (5.22)</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5 - 45</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woody</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30.50 (2.42)</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10 - 67</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39.12 (6.62)</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20 - 80</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Distance to forest edge (m)</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25.08 (4.04)</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0 - 108</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28.00 (7.98)</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0 -55</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Distance to anthropogenic edge (m)</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861.01 (142.8)</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9 - 3500</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751.69 (404.0)</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18 - 3500</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coniferous forest</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1.9 (0.82)</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0 - 25</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 (0)</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b/>
                <w:bCs/>
                <w:color w:val="000000"/>
                <w:kern w:val="0"/>
                <w:sz w:val="22"/>
                <w:szCs w:val="22"/>
              </w:rPr>
            </w:pPr>
            <w:r w:rsidRPr="002A0BB7">
              <w:rPr>
                <w:b/>
                <w:bCs/>
                <w:color w:val="000000"/>
                <w:kern w:val="0"/>
                <w:sz w:val="22"/>
                <w:szCs w:val="22"/>
              </w:rPr>
              <w:t>Landscape-level</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b/>
                <w:bCs/>
                <w:color w:val="000000"/>
                <w:kern w:val="0"/>
                <w:sz w:val="22"/>
                <w:szCs w:val="22"/>
              </w:rPr>
            </w:pP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kern w:val="0"/>
                <w:sz w:val="22"/>
                <w:szCs w:val="22"/>
              </w:rPr>
            </w:pP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kern w:val="0"/>
                <w:sz w:val="22"/>
                <w:szCs w:val="22"/>
              </w:rPr>
            </w:pP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Forest edge density (m/ha)</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312.9 (37.04)</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126 - 645</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267.7 (95.21)</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0 - 645</w:t>
            </w:r>
          </w:p>
        </w:tc>
      </w:tr>
      <w:tr w:rsidR="00CB6535" w:rsidRPr="002A0BB7" w:rsidTr="00F166D9">
        <w:trPr>
          <w:trHeight w:val="315"/>
        </w:trPr>
        <w:tc>
          <w:tcPr>
            <w:tcW w:w="35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Anthropogenic edge density (m/ha)</w:t>
            </w:r>
          </w:p>
        </w:tc>
        <w:tc>
          <w:tcPr>
            <w:tcW w:w="154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556.1 (116.5)</w:t>
            </w:r>
          </w:p>
        </w:tc>
        <w:tc>
          <w:tcPr>
            <w:tcW w:w="130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0 - 1876</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696.13 (278.3)</w:t>
            </w:r>
          </w:p>
        </w:tc>
        <w:tc>
          <w:tcPr>
            <w:tcW w:w="1580" w:type="dxa"/>
            <w:tcBorders>
              <w:top w:val="nil"/>
              <w:left w:val="nil"/>
              <w:bottom w:val="nil"/>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65 - 1876</w:t>
            </w:r>
          </w:p>
        </w:tc>
      </w:tr>
      <w:tr w:rsidR="00CB6535" w:rsidRPr="002A0BB7" w:rsidTr="00F166D9">
        <w:trPr>
          <w:trHeight w:val="315"/>
        </w:trPr>
        <w:tc>
          <w:tcPr>
            <w:tcW w:w="350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rPr>
                <w:color w:val="000000"/>
                <w:kern w:val="0"/>
                <w:sz w:val="22"/>
                <w:szCs w:val="22"/>
              </w:rPr>
            </w:pPr>
            <w:r w:rsidRPr="002A0BB7">
              <w:rPr>
                <w:color w:val="000000"/>
                <w:kern w:val="0"/>
                <w:sz w:val="22"/>
                <w:szCs w:val="22"/>
              </w:rPr>
              <w:t>% anthropogenic</w:t>
            </w:r>
          </w:p>
        </w:tc>
        <w:tc>
          <w:tcPr>
            <w:tcW w:w="154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21.25 (2.28)</w:t>
            </w:r>
          </w:p>
        </w:tc>
        <w:tc>
          <w:tcPr>
            <w:tcW w:w="130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2 - 44</w:t>
            </w:r>
          </w:p>
        </w:tc>
        <w:tc>
          <w:tcPr>
            <w:tcW w:w="158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25.37 (5.08)</w:t>
            </w:r>
          </w:p>
        </w:tc>
        <w:tc>
          <w:tcPr>
            <w:tcW w:w="1580" w:type="dxa"/>
            <w:tcBorders>
              <w:top w:val="nil"/>
              <w:left w:val="nil"/>
              <w:bottom w:val="single" w:sz="4" w:space="0" w:color="auto"/>
              <w:right w:val="nil"/>
            </w:tcBorders>
            <w:shd w:val="clear" w:color="auto" w:fill="auto"/>
            <w:noWrap/>
            <w:vAlign w:val="bottom"/>
            <w:hideMark/>
          </w:tcPr>
          <w:p w:rsidR="00CB6535" w:rsidRPr="002A0BB7" w:rsidRDefault="00CB6535" w:rsidP="00F166D9">
            <w:pPr>
              <w:widowControl/>
              <w:overflowPunct/>
              <w:adjustRightInd/>
              <w:jc w:val="center"/>
              <w:rPr>
                <w:color w:val="000000"/>
                <w:kern w:val="0"/>
                <w:sz w:val="22"/>
                <w:szCs w:val="22"/>
              </w:rPr>
            </w:pPr>
            <w:r w:rsidRPr="002A0BB7">
              <w:rPr>
                <w:color w:val="000000"/>
                <w:kern w:val="0"/>
                <w:sz w:val="22"/>
                <w:szCs w:val="22"/>
              </w:rPr>
              <w:t xml:space="preserve"> 2 - 44</w:t>
            </w:r>
          </w:p>
        </w:tc>
      </w:tr>
    </w:tbl>
    <w:p w:rsidR="00CB6535" w:rsidRDefault="00CB6535" w:rsidP="00CB6535">
      <w:pPr>
        <w:widowControl/>
        <w:overflowPunct/>
        <w:adjustRightInd/>
        <w:spacing w:after="160" w:line="259" w:lineRule="auto"/>
      </w:pPr>
      <w:r>
        <w:br w:type="page"/>
      </w:r>
    </w:p>
    <w:p w:rsidR="00CB6535" w:rsidRDefault="00CB6535" w:rsidP="00CB6535">
      <w:pPr>
        <w:widowControl/>
        <w:overflowPunct/>
        <w:adjustRightInd/>
        <w:spacing w:after="160" w:line="480" w:lineRule="auto"/>
      </w:pPr>
      <w:r>
        <w:lastRenderedPageBreak/>
        <w:t xml:space="preserve">Table 4. Results of model selection regarding the differences in habitat selection between pure and hybrid GWWA in South-east Manitoba in 2012. </w:t>
      </w:r>
    </w:p>
    <w:tbl>
      <w:tblPr>
        <w:tblW w:w="9450" w:type="dxa"/>
        <w:tblLook w:val="04A0" w:firstRow="1" w:lastRow="0" w:firstColumn="1" w:lastColumn="0" w:noHBand="0" w:noVBand="1"/>
      </w:tblPr>
      <w:tblGrid>
        <w:gridCol w:w="7470"/>
        <w:gridCol w:w="450"/>
        <w:gridCol w:w="900"/>
        <w:gridCol w:w="630"/>
      </w:tblGrid>
      <w:tr w:rsidR="00CB6535" w:rsidRPr="00B53402" w:rsidTr="00F166D9">
        <w:trPr>
          <w:trHeight w:val="315"/>
        </w:trPr>
        <w:tc>
          <w:tcPr>
            <w:tcW w:w="7470" w:type="dxa"/>
            <w:tcBorders>
              <w:top w:val="nil"/>
              <w:left w:val="nil"/>
              <w:bottom w:val="double" w:sz="6" w:space="0" w:color="auto"/>
              <w:right w:val="nil"/>
            </w:tcBorders>
            <w:shd w:val="clear" w:color="auto" w:fill="auto"/>
            <w:noWrap/>
            <w:vAlign w:val="bottom"/>
            <w:hideMark/>
          </w:tcPr>
          <w:p w:rsidR="00CB6535" w:rsidRPr="00B53402" w:rsidRDefault="00CB6535" w:rsidP="00F166D9">
            <w:pPr>
              <w:widowControl/>
              <w:overflowPunct/>
              <w:adjustRightInd/>
              <w:rPr>
                <w:rFonts w:ascii="Calibri" w:hAnsi="Calibri"/>
                <w:color w:val="000000"/>
                <w:kern w:val="0"/>
                <w:sz w:val="22"/>
                <w:szCs w:val="22"/>
              </w:rPr>
            </w:pPr>
            <w:r w:rsidRPr="00B53402">
              <w:rPr>
                <w:rFonts w:ascii="Calibri" w:hAnsi="Calibri"/>
                <w:color w:val="000000"/>
                <w:kern w:val="0"/>
                <w:sz w:val="22"/>
                <w:szCs w:val="22"/>
              </w:rPr>
              <w:t> </w:t>
            </w:r>
          </w:p>
        </w:tc>
        <w:tc>
          <w:tcPr>
            <w:tcW w:w="450" w:type="dxa"/>
            <w:tcBorders>
              <w:top w:val="nil"/>
              <w:left w:val="nil"/>
              <w:bottom w:val="double" w:sz="6" w:space="0" w:color="auto"/>
              <w:right w:val="nil"/>
            </w:tcBorders>
            <w:shd w:val="clear" w:color="auto" w:fill="auto"/>
            <w:noWrap/>
            <w:vAlign w:val="bottom"/>
            <w:hideMark/>
          </w:tcPr>
          <w:p w:rsidR="00CB6535" w:rsidRPr="00B53402" w:rsidRDefault="00CB6535" w:rsidP="00F166D9">
            <w:pPr>
              <w:widowControl/>
              <w:overflowPunct/>
              <w:adjustRightInd/>
              <w:rPr>
                <w:rFonts w:ascii="Calibri" w:hAnsi="Calibri"/>
                <w:color w:val="000000"/>
                <w:kern w:val="0"/>
                <w:sz w:val="22"/>
                <w:szCs w:val="22"/>
              </w:rPr>
            </w:pPr>
            <w:r w:rsidRPr="00B53402">
              <w:rPr>
                <w:rFonts w:ascii="Calibri" w:hAnsi="Calibri"/>
                <w:color w:val="000000"/>
                <w:kern w:val="0"/>
                <w:sz w:val="22"/>
                <w:szCs w:val="22"/>
              </w:rPr>
              <w:t> </w:t>
            </w:r>
          </w:p>
        </w:tc>
        <w:tc>
          <w:tcPr>
            <w:tcW w:w="900" w:type="dxa"/>
            <w:tcBorders>
              <w:top w:val="nil"/>
              <w:left w:val="nil"/>
              <w:bottom w:val="double" w:sz="6" w:space="0" w:color="auto"/>
              <w:right w:val="nil"/>
            </w:tcBorders>
            <w:shd w:val="clear" w:color="auto" w:fill="auto"/>
            <w:noWrap/>
            <w:vAlign w:val="bottom"/>
            <w:hideMark/>
          </w:tcPr>
          <w:p w:rsidR="00CB6535" w:rsidRPr="00B53402" w:rsidRDefault="00CB6535" w:rsidP="00F166D9">
            <w:pPr>
              <w:widowControl/>
              <w:overflowPunct/>
              <w:adjustRightInd/>
              <w:rPr>
                <w:rFonts w:ascii="Calibri" w:hAnsi="Calibri"/>
                <w:color w:val="000000"/>
                <w:kern w:val="0"/>
                <w:sz w:val="22"/>
                <w:szCs w:val="22"/>
              </w:rPr>
            </w:pPr>
            <w:r w:rsidRPr="00B53402">
              <w:rPr>
                <w:rFonts w:ascii="Calibri" w:hAnsi="Calibri"/>
                <w:color w:val="000000"/>
                <w:kern w:val="0"/>
                <w:sz w:val="22"/>
                <w:szCs w:val="22"/>
              </w:rPr>
              <w:t> </w:t>
            </w:r>
          </w:p>
        </w:tc>
        <w:tc>
          <w:tcPr>
            <w:tcW w:w="630" w:type="dxa"/>
            <w:tcBorders>
              <w:top w:val="nil"/>
              <w:left w:val="nil"/>
              <w:bottom w:val="double" w:sz="6" w:space="0" w:color="auto"/>
              <w:right w:val="nil"/>
            </w:tcBorders>
            <w:shd w:val="clear" w:color="auto" w:fill="auto"/>
            <w:noWrap/>
            <w:vAlign w:val="bottom"/>
            <w:hideMark/>
          </w:tcPr>
          <w:p w:rsidR="00CB6535" w:rsidRPr="00B53402" w:rsidRDefault="00CB6535" w:rsidP="00F166D9">
            <w:pPr>
              <w:widowControl/>
              <w:overflowPunct/>
              <w:adjustRightInd/>
              <w:rPr>
                <w:rFonts w:ascii="Calibri" w:hAnsi="Calibri"/>
                <w:color w:val="000000"/>
                <w:kern w:val="0"/>
                <w:sz w:val="22"/>
                <w:szCs w:val="22"/>
              </w:rPr>
            </w:pPr>
            <w:r w:rsidRPr="00B53402">
              <w:rPr>
                <w:rFonts w:ascii="Calibri" w:hAnsi="Calibri"/>
                <w:color w:val="000000"/>
                <w:kern w:val="0"/>
                <w:sz w:val="22"/>
                <w:szCs w:val="22"/>
              </w:rPr>
              <w:t> </w:t>
            </w:r>
          </w:p>
        </w:tc>
      </w:tr>
      <w:tr w:rsidR="00CB6535" w:rsidRPr="00B53402" w:rsidTr="00F166D9">
        <w:trPr>
          <w:trHeight w:val="375"/>
        </w:trPr>
        <w:tc>
          <w:tcPr>
            <w:tcW w:w="747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rPr>
                <w:color w:val="000000"/>
                <w:kern w:val="0"/>
                <w:sz w:val="22"/>
                <w:szCs w:val="22"/>
              </w:rPr>
            </w:pPr>
            <w:r w:rsidRPr="00B53402">
              <w:rPr>
                <w:color w:val="000000"/>
                <w:kern w:val="0"/>
                <w:sz w:val="22"/>
                <w:szCs w:val="22"/>
              </w:rPr>
              <w:t>Model</w:t>
            </w:r>
          </w:p>
        </w:tc>
        <w:tc>
          <w:tcPr>
            <w:tcW w:w="45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K</w:t>
            </w:r>
          </w:p>
        </w:tc>
        <w:tc>
          <w:tcPr>
            <w:tcW w:w="90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w:t>
            </w:r>
            <w:proofErr w:type="spellStart"/>
            <w:r w:rsidRPr="00B53402">
              <w:rPr>
                <w:color w:val="000000"/>
                <w:kern w:val="0"/>
                <w:sz w:val="22"/>
                <w:szCs w:val="22"/>
              </w:rPr>
              <w:t>AIC</w:t>
            </w:r>
            <w:r w:rsidRPr="00B53402">
              <w:rPr>
                <w:color w:val="000000"/>
                <w:kern w:val="0"/>
                <w:sz w:val="22"/>
                <w:szCs w:val="22"/>
                <w:vertAlign w:val="subscript"/>
              </w:rPr>
              <w:t>c</w:t>
            </w:r>
            <w:proofErr w:type="spellEnd"/>
          </w:p>
        </w:tc>
        <w:tc>
          <w:tcPr>
            <w:tcW w:w="63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proofErr w:type="spellStart"/>
            <w:r w:rsidRPr="00B53402">
              <w:rPr>
                <w:color w:val="000000"/>
                <w:kern w:val="0"/>
                <w:sz w:val="22"/>
                <w:szCs w:val="22"/>
              </w:rPr>
              <w:t>ω</w:t>
            </w:r>
            <w:r w:rsidRPr="00B53402">
              <w:rPr>
                <w:color w:val="000000"/>
                <w:kern w:val="0"/>
                <w:sz w:val="22"/>
                <w:szCs w:val="22"/>
                <w:vertAlign w:val="subscript"/>
              </w:rPr>
              <w:t>i</w:t>
            </w:r>
            <w:proofErr w:type="spellEnd"/>
          </w:p>
        </w:tc>
      </w:tr>
      <w:tr w:rsidR="00CB6535" w:rsidRPr="00B53402" w:rsidTr="00F166D9">
        <w:trPr>
          <w:trHeight w:val="300"/>
        </w:trPr>
        <w:tc>
          <w:tcPr>
            <w:tcW w:w="7470" w:type="dxa"/>
            <w:tcBorders>
              <w:top w:val="single" w:sz="4" w:space="0" w:color="auto"/>
              <w:left w:val="nil"/>
              <w:bottom w:val="nil"/>
              <w:right w:val="nil"/>
            </w:tcBorders>
            <w:shd w:val="clear" w:color="auto" w:fill="auto"/>
            <w:noWrap/>
            <w:vAlign w:val="bottom"/>
            <w:hideMark/>
          </w:tcPr>
          <w:p w:rsidR="00CB6535" w:rsidRPr="00B53402" w:rsidRDefault="00CB6535" w:rsidP="00F166D9">
            <w:pPr>
              <w:widowControl/>
              <w:overflowPunct/>
              <w:adjustRightInd/>
              <w:rPr>
                <w:color w:val="000000"/>
                <w:kern w:val="0"/>
                <w:sz w:val="22"/>
                <w:szCs w:val="22"/>
              </w:rPr>
            </w:pPr>
            <w:r w:rsidRPr="00B53402">
              <w:rPr>
                <w:color w:val="000000"/>
                <w:kern w:val="0"/>
                <w:sz w:val="22"/>
                <w:szCs w:val="22"/>
              </w:rPr>
              <w:t>Null</w:t>
            </w:r>
          </w:p>
        </w:tc>
        <w:tc>
          <w:tcPr>
            <w:tcW w:w="450" w:type="dxa"/>
            <w:tcBorders>
              <w:top w:val="single" w:sz="4" w:space="0" w:color="auto"/>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1</w:t>
            </w:r>
          </w:p>
        </w:tc>
        <w:tc>
          <w:tcPr>
            <w:tcW w:w="900" w:type="dxa"/>
            <w:tcBorders>
              <w:top w:val="single" w:sz="4" w:space="0" w:color="auto"/>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45.34</w:t>
            </w:r>
          </w:p>
        </w:tc>
        <w:tc>
          <w:tcPr>
            <w:tcW w:w="630" w:type="dxa"/>
            <w:tcBorders>
              <w:top w:val="single" w:sz="4" w:space="0" w:color="auto"/>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0.91</w:t>
            </w:r>
          </w:p>
        </w:tc>
      </w:tr>
      <w:tr w:rsidR="00CB6535" w:rsidRPr="00B53402" w:rsidTr="00F166D9">
        <w:trPr>
          <w:trHeight w:val="300"/>
        </w:trPr>
        <w:tc>
          <w:tcPr>
            <w:tcW w:w="747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rPr>
                <w:color w:val="000000"/>
                <w:kern w:val="0"/>
                <w:sz w:val="22"/>
                <w:szCs w:val="22"/>
              </w:rPr>
            </w:pPr>
            <w:r w:rsidRPr="00B53402">
              <w:rPr>
                <w:color w:val="000000"/>
                <w:kern w:val="0"/>
                <w:sz w:val="22"/>
                <w:szCs w:val="22"/>
              </w:rPr>
              <w:t>Landscape (% anthropogenic + forest edge density + anthropogenic  edge density)</w:t>
            </w:r>
          </w:p>
        </w:tc>
        <w:tc>
          <w:tcPr>
            <w:tcW w:w="45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4</w:t>
            </w:r>
          </w:p>
        </w:tc>
        <w:tc>
          <w:tcPr>
            <w:tcW w:w="90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51.17</w:t>
            </w:r>
          </w:p>
        </w:tc>
        <w:tc>
          <w:tcPr>
            <w:tcW w:w="63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0.05</w:t>
            </w:r>
          </w:p>
        </w:tc>
      </w:tr>
      <w:tr w:rsidR="00CB6535" w:rsidRPr="00B53402" w:rsidTr="00F166D9">
        <w:trPr>
          <w:trHeight w:val="300"/>
        </w:trPr>
        <w:tc>
          <w:tcPr>
            <w:tcW w:w="747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rPr>
                <w:color w:val="000000"/>
                <w:kern w:val="0"/>
                <w:sz w:val="22"/>
                <w:szCs w:val="22"/>
              </w:rPr>
            </w:pPr>
            <w:r w:rsidRPr="00B53402">
              <w:rPr>
                <w:color w:val="000000"/>
                <w:kern w:val="0"/>
                <w:sz w:val="22"/>
                <w:szCs w:val="22"/>
              </w:rPr>
              <w:t>Territory (% shrub + % herb + % woody + DTE + canopy cover + % coniferous)</w:t>
            </w:r>
          </w:p>
        </w:tc>
        <w:tc>
          <w:tcPr>
            <w:tcW w:w="45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7</w:t>
            </w:r>
          </w:p>
        </w:tc>
        <w:tc>
          <w:tcPr>
            <w:tcW w:w="90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51.59</w:t>
            </w:r>
          </w:p>
        </w:tc>
        <w:tc>
          <w:tcPr>
            <w:tcW w:w="630" w:type="dxa"/>
            <w:tcBorders>
              <w:top w:val="nil"/>
              <w:left w:val="nil"/>
              <w:bottom w:val="nil"/>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0.04</w:t>
            </w:r>
          </w:p>
        </w:tc>
      </w:tr>
      <w:tr w:rsidR="00CB6535" w:rsidRPr="00B53402" w:rsidTr="00F166D9">
        <w:trPr>
          <w:trHeight w:val="300"/>
        </w:trPr>
        <w:tc>
          <w:tcPr>
            <w:tcW w:w="7470" w:type="dxa"/>
            <w:tcBorders>
              <w:top w:val="nil"/>
              <w:left w:val="nil"/>
              <w:bottom w:val="single" w:sz="4" w:space="0" w:color="auto"/>
              <w:right w:val="nil"/>
            </w:tcBorders>
            <w:shd w:val="clear" w:color="auto" w:fill="auto"/>
            <w:noWrap/>
            <w:vAlign w:val="bottom"/>
            <w:hideMark/>
          </w:tcPr>
          <w:p w:rsidR="00CB6535" w:rsidRPr="00B53402" w:rsidRDefault="00CB6535" w:rsidP="00F166D9">
            <w:pPr>
              <w:widowControl/>
              <w:overflowPunct/>
              <w:adjustRightInd/>
              <w:rPr>
                <w:color w:val="000000"/>
                <w:kern w:val="0"/>
                <w:sz w:val="22"/>
                <w:szCs w:val="22"/>
              </w:rPr>
            </w:pPr>
            <w:r w:rsidRPr="00B53402">
              <w:rPr>
                <w:color w:val="000000"/>
                <w:kern w:val="0"/>
                <w:sz w:val="22"/>
                <w:szCs w:val="22"/>
              </w:rPr>
              <w:t>Global (Territory + Landscape)</w:t>
            </w:r>
          </w:p>
        </w:tc>
        <w:tc>
          <w:tcPr>
            <w:tcW w:w="450" w:type="dxa"/>
            <w:tcBorders>
              <w:top w:val="nil"/>
              <w:left w:val="nil"/>
              <w:bottom w:val="single" w:sz="4" w:space="0" w:color="auto"/>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10</w:t>
            </w:r>
          </w:p>
        </w:tc>
        <w:tc>
          <w:tcPr>
            <w:tcW w:w="900" w:type="dxa"/>
            <w:tcBorders>
              <w:top w:val="nil"/>
              <w:left w:val="nil"/>
              <w:bottom w:val="single" w:sz="4" w:space="0" w:color="auto"/>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57.84</w:t>
            </w:r>
          </w:p>
        </w:tc>
        <w:tc>
          <w:tcPr>
            <w:tcW w:w="630" w:type="dxa"/>
            <w:tcBorders>
              <w:top w:val="nil"/>
              <w:left w:val="nil"/>
              <w:bottom w:val="single" w:sz="4" w:space="0" w:color="auto"/>
              <w:right w:val="nil"/>
            </w:tcBorders>
            <w:shd w:val="clear" w:color="auto" w:fill="auto"/>
            <w:noWrap/>
            <w:vAlign w:val="bottom"/>
            <w:hideMark/>
          </w:tcPr>
          <w:p w:rsidR="00CB6535" w:rsidRPr="00B53402" w:rsidRDefault="00CB6535" w:rsidP="00F166D9">
            <w:pPr>
              <w:widowControl/>
              <w:overflowPunct/>
              <w:adjustRightInd/>
              <w:jc w:val="center"/>
              <w:rPr>
                <w:color w:val="000000"/>
                <w:kern w:val="0"/>
                <w:sz w:val="22"/>
                <w:szCs w:val="22"/>
              </w:rPr>
            </w:pPr>
            <w:r w:rsidRPr="00B53402">
              <w:rPr>
                <w:color w:val="000000"/>
                <w:kern w:val="0"/>
                <w:sz w:val="22"/>
                <w:szCs w:val="22"/>
              </w:rPr>
              <w:t>0</w:t>
            </w:r>
          </w:p>
        </w:tc>
      </w:tr>
    </w:tbl>
    <w:p w:rsidR="00CB6535" w:rsidRDefault="00CB6535"/>
    <w:p w:rsidR="00CB6535" w:rsidRDefault="00CB6535">
      <w:pPr>
        <w:widowControl/>
        <w:overflowPunct/>
        <w:adjustRightInd/>
        <w:spacing w:after="160" w:line="259" w:lineRule="auto"/>
      </w:pPr>
      <w:r>
        <w:br w:type="page"/>
      </w:r>
    </w:p>
    <w:p w:rsidR="00CB6535" w:rsidRDefault="00CB6535" w:rsidP="00CB6535">
      <w:pPr>
        <w:widowControl/>
        <w:overflowPunct/>
        <w:adjustRightInd/>
        <w:spacing w:after="160" w:line="259" w:lineRule="auto"/>
      </w:pPr>
      <w:r>
        <w:lastRenderedPageBreak/>
        <w:t>Figure 1. Golden-winged Warbler study sites in south-east Manitoba, 2011-2014.</w:t>
      </w:r>
    </w:p>
    <w:p w:rsidR="007C290D" w:rsidRDefault="00CB6535" w:rsidP="00CB6535">
      <w:pPr>
        <w:widowControl/>
        <w:overflowPunct/>
        <w:adjustRightInd/>
        <w:spacing w:after="160" w:line="259" w:lineRule="auto"/>
      </w:pPr>
      <w:r>
        <w:rPr>
          <w:noProof/>
          <w:lang w:val="en-CA" w:eastAsia="en-CA"/>
        </w:rPr>
        <mc:AlternateContent>
          <mc:Choice Requires="wps">
            <w:drawing>
              <wp:anchor distT="0" distB="0" distL="114300" distR="114300" simplePos="0" relativeHeight="251659264" behindDoc="0" locked="0" layoutInCell="1" allowOverlap="1" wp14:anchorId="456D0CE9" wp14:editId="03952FC6">
                <wp:simplePos x="0" y="0"/>
                <wp:positionH relativeFrom="column">
                  <wp:posOffset>1133475</wp:posOffset>
                </wp:positionH>
                <wp:positionV relativeFrom="paragraph">
                  <wp:posOffset>71119</wp:posOffset>
                </wp:positionV>
                <wp:extent cx="876300" cy="2200275"/>
                <wp:effectExtent l="0" t="0" r="19050" b="28575"/>
                <wp:wrapNone/>
                <wp:docPr id="2" name="Straight Connector 2"/>
                <wp:cNvGraphicFramePr/>
                <a:graphic xmlns:a="http://schemas.openxmlformats.org/drawingml/2006/main">
                  <a:graphicData uri="http://schemas.microsoft.com/office/word/2010/wordprocessingShape">
                    <wps:wsp>
                      <wps:cNvCnPr/>
                      <wps:spPr>
                        <a:xfrm flipV="1">
                          <a:off x="0" y="0"/>
                          <a:ext cx="876300" cy="2200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6B498F6"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25pt,5.6pt" to="158.25pt,17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favwgEAAMYDAAAOAAAAZHJzL2Uyb0RvYy54bWysU02P0zAQvSPxHyzfadIgdldR0z10BRcE&#10;FQvcvc64sfCXxqZJ/z1jJw2IDwkhLlZsv/dm3vNkdz9Zw86AUXvX8e2m5gyc9L12p45/+vj6xR1n&#10;MQnXC+MddPwCkd/vnz/bjaGFxg/e9ICMRFxsx9DxIaXQVlWUA1gRNz6Ao0vl0YpEWzxVPYqR1K2p&#10;mrq+qUaPfUAvIUY6fZgv+b7oKwUyvVcqQmKm49RbKiuW9Smv1X4n2hOKMGi5tCH+oQsrtKOiq9SD&#10;SIJ9Rf2LlNUSffQqbaS3lVdKSygeyM22/snN4yACFC8UTgxrTPH/ycp35yMy3Xe84cwJS0/0mFDo&#10;05DYwTtHAXpkTc5pDLEl+MEdcdnFcMRselJomTI6fKYRKDGQMTaVlC9ryjAlJunw7vbmZU1vIemq&#10;oTdsbl9l+WrWyXoBY3oD3rL80XGjXU5BtOL8NqYZeoUQL/c1d1K+0sVABhv3ARQ5o4pzT2Wm4GCQ&#10;nQVNQ/9lu5QtyExR2piVVJeSfyQt2EyDMmd/S1zRpaJ3aSVa7Tz+rmqarq2qGX91PXvNtp98fynv&#10;UuKgYSmBLoOdp/HHfaF///323wAAAP//AwBQSwMEFAAGAAgAAAAhAAaihTncAAAACgEAAA8AAABk&#10;cnMvZG93bnJldi54bWxMj0FPwzAMhe9I/IfISNxY0qG2U2k6bZPQzmxcdksb01Y0TtdkW/n3Mye4&#10;vWc/PX8u17MbxBWn0HvSkCwUCKTG255aDZ/H95cViBANWTN4Qg0/GGBdPT6UprD+Rh94PcRWcAmF&#10;wmjoYhwLKUPToTNh4Uck3n35yZnIdmqlncyNy90gl0pl0pme+EJnRtx12HwfLk7Dce/UXMd+h3TO&#10;1ea0TTM6pVo/P82bNxAR5/gXhl98RoeKmWp/IRvEwD5fpRxlkSxBcOA1yXhQs0jzHGRVyv8vVHcA&#10;AAD//wMAUEsBAi0AFAAGAAgAAAAhALaDOJL+AAAA4QEAABMAAAAAAAAAAAAAAAAAAAAAAFtDb250&#10;ZW50X1R5cGVzXS54bWxQSwECLQAUAAYACAAAACEAOP0h/9YAAACUAQAACwAAAAAAAAAAAAAAAAAv&#10;AQAAX3JlbHMvLnJlbHNQSwECLQAUAAYACAAAACEAXPX2r8IBAADGAwAADgAAAAAAAAAAAAAAAAAu&#10;AgAAZHJzL2Uyb0RvYy54bWxQSwECLQAUAAYACAAAACEABqKFOdwAAAAKAQAADwAAAAAAAAAAAAAA&#10;AAAcBAAAZHJzL2Rvd25yZXYueG1sUEsFBgAAAAAEAAQA8wAAACUFAAAAAA==&#10;" strokecolor="black [3200]" strokeweight=".5pt">
                <v:stroke joinstyle="miter"/>
              </v:line>
            </w:pict>
          </mc:Fallback>
        </mc:AlternateContent>
      </w:r>
      <w:r>
        <w:rPr>
          <w:noProof/>
          <w:lang w:val="en-CA" w:eastAsia="en-CA"/>
        </w:rPr>
        <mc:AlternateContent>
          <mc:Choice Requires="wps">
            <w:drawing>
              <wp:anchor distT="0" distB="0" distL="114300" distR="114300" simplePos="0" relativeHeight="251660288" behindDoc="0" locked="0" layoutInCell="1" allowOverlap="1" wp14:anchorId="0D566C57" wp14:editId="4786FBEE">
                <wp:simplePos x="0" y="0"/>
                <wp:positionH relativeFrom="column">
                  <wp:posOffset>1143000</wp:posOffset>
                </wp:positionH>
                <wp:positionV relativeFrom="paragraph">
                  <wp:posOffset>2347594</wp:posOffset>
                </wp:positionV>
                <wp:extent cx="885825" cy="2085975"/>
                <wp:effectExtent l="0" t="0" r="28575" b="28575"/>
                <wp:wrapNone/>
                <wp:docPr id="3" name="Straight Connector 3"/>
                <wp:cNvGraphicFramePr/>
                <a:graphic xmlns:a="http://schemas.openxmlformats.org/drawingml/2006/main">
                  <a:graphicData uri="http://schemas.microsoft.com/office/word/2010/wordprocessingShape">
                    <wps:wsp>
                      <wps:cNvCnPr/>
                      <wps:spPr>
                        <a:xfrm>
                          <a:off x="0" y="0"/>
                          <a:ext cx="885825" cy="2085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CCD1C7"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84.85pt" to="159.75pt,3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w44uwEAALwDAAAOAAAAZHJzL2Uyb0RvYy54bWysU02P0zAQvSPxHyzfadKuCiVquoeu4IKg&#10;Ypcf4HXGjYW/NDZN+u8ZO20WAUKrFRfHY783M+95sr0drWEnwKi9a/lyUXMGTvpOu2PLvz18eLPh&#10;LCbhOmG8g5afIfLb3etX2yE0sPK9Nx0goyQuNkNoeZ9SaKoqyh6siAsfwNGl8mhFohCPVYdioOzW&#10;VKu6flsNHruAXkKMdHo3XfJdya8UyPRFqQiJmZZTb6msWNbHvFa7rWiOKEKv5aUN8YIurNCOis6p&#10;7kQS7AfqP1JZLdFHr9JCelt5pbSEooHULOvf1Nz3IkDRQubEMNsU/19a+fl0QKa7lt9w5oSlJ7pP&#10;KPSxT2zvnSMDPbKb7NMQYkPwvTvgJYrhgFn0qNDmL8lhY/H2PHsLY2KSDjeb9Wa15kzS1arerN+/&#10;W+ek1RM7YEwfwVuWNy032mXtohGnTzFN0CuEeLmbqX7ZpbOBDDbuKyjSQxWXhV0mCfYG2UnQDHTf&#10;l5eyBZkpShszk+p/ky7YTIMyXc8lzuhS0bs0E612Hv9WNY3XVtWEv6qetGbZj747l9codtCIFEMv&#10;45xn8Ne40J9+ut1PAAAA//8DAFBLAwQUAAYACAAAACEAN3wDruAAAAALAQAADwAAAGRycy9kb3du&#10;cmV2LnhtbEyPwU7DMBBE70j8g7VI3KjTVIQkxKmqSghxQTSFuxu7TiBeR7aThr9nOcFxNKOZN9V2&#10;sQObtQ+9QwHrVQJMY+tUj0bA+/HpLgcWokQlB4dawLcOsK2vrypZKnfBg56baBiVYCilgC7GseQ8&#10;tJ22MqzcqJG8s/NWRpLecOXlhcrtwNMkybiVPdJCJ0e973T71UxWwPDi5w+zN7swPR+y5vPtnL4e&#10;ZyFub5bdI7Col/gXhl98QoeamE5uQhXYQDpP6EsUsMmKB2CU2KyLe2AnAVmRp8Driv//UP8AAAD/&#10;/wMAUEsBAi0AFAAGAAgAAAAhALaDOJL+AAAA4QEAABMAAAAAAAAAAAAAAAAAAAAAAFtDb250ZW50&#10;X1R5cGVzXS54bWxQSwECLQAUAAYACAAAACEAOP0h/9YAAACUAQAACwAAAAAAAAAAAAAAAAAvAQAA&#10;X3JlbHMvLnJlbHNQSwECLQAUAAYACAAAACEAYt8OOLsBAAC8AwAADgAAAAAAAAAAAAAAAAAuAgAA&#10;ZHJzL2Uyb0RvYy54bWxQSwECLQAUAAYACAAAACEAN3wDruAAAAALAQAADwAAAAAAAAAAAAAAAAAV&#10;BAAAZHJzL2Rvd25yZXYueG1sUEsFBgAAAAAEAAQA8wAAACIFAAAAAA==&#10;" strokecolor="black [3200]" strokeweight=".5pt">
                <v:stroke joinstyle="miter"/>
              </v:line>
            </w:pict>
          </mc:Fallback>
        </mc:AlternateContent>
      </w:r>
      <w:r>
        <w:rPr>
          <w:noProof/>
          <w:lang w:val="en-CA" w:eastAsia="en-CA"/>
        </w:rPr>
        <w:drawing>
          <wp:inline distT="0" distB="0" distL="0" distR="0" wp14:anchorId="207BA763" wp14:editId="42D15735">
            <wp:extent cx="5943600" cy="4592782"/>
            <wp:effectExtent l="0" t="0" r="0" b="0"/>
            <wp:docPr id="1" name="Picture 1" descr="C:\Users\llmoulton\AppData\Local\Microsoft\Windows\INetCache\Content.Word\GWWAter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lmoulton\AppData\Local\Microsoft\Windows\INetCache\Content.Word\GWWAterr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592782"/>
                    </a:xfrm>
                    <a:prstGeom prst="rect">
                      <a:avLst/>
                    </a:prstGeom>
                    <a:noFill/>
                    <a:ln>
                      <a:noFill/>
                    </a:ln>
                  </pic:spPr>
                </pic:pic>
              </a:graphicData>
            </a:graphic>
          </wp:inline>
        </w:drawing>
      </w:r>
    </w:p>
    <w:sectPr w:rsidR="007C290D" w:rsidSect="00711F9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287B" w:rsidRDefault="00EB287B" w:rsidP="00711F9D">
      <w:r>
        <w:separator/>
      </w:r>
    </w:p>
  </w:endnote>
  <w:endnote w:type="continuationSeparator" w:id="0">
    <w:p w:rsidR="00EB287B" w:rsidRDefault="00EB287B" w:rsidP="00711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BC5" w:rsidRDefault="00C13BC5">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9425634"/>
      <w:docPartObj>
        <w:docPartGallery w:val="Page Numbers (Bottom of Page)"/>
        <w:docPartUnique/>
      </w:docPartObj>
    </w:sdtPr>
    <w:sdtEndPr>
      <w:rPr>
        <w:noProof/>
      </w:rPr>
    </w:sdtEndPr>
    <w:sdtContent>
      <w:p w:rsidR="00C13BC5" w:rsidRDefault="00C13BC5">
        <w:pPr>
          <w:pStyle w:val="Footer"/>
          <w:jc w:val="right"/>
        </w:pPr>
        <w:r>
          <w:fldChar w:fldCharType="begin"/>
        </w:r>
        <w:r>
          <w:instrText xml:space="preserve"> PAGE   \* MERGEFORMAT </w:instrText>
        </w:r>
        <w:r>
          <w:fldChar w:fldCharType="separate"/>
        </w:r>
        <w:r w:rsidR="001E1283">
          <w:rPr>
            <w:noProof/>
          </w:rPr>
          <w:t>2</w:t>
        </w:r>
        <w:r>
          <w:rPr>
            <w:noProof/>
          </w:rPr>
          <w:fldChar w:fldCharType="end"/>
        </w:r>
      </w:p>
    </w:sdtContent>
  </w:sdt>
  <w:p w:rsidR="00C13BC5" w:rsidRDefault="00C13BC5">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BC5" w:rsidRDefault="00C13BC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287B" w:rsidRDefault="00EB287B" w:rsidP="00711F9D">
      <w:r>
        <w:separator/>
      </w:r>
    </w:p>
  </w:footnote>
  <w:footnote w:type="continuationSeparator" w:id="0">
    <w:p w:rsidR="00EB287B" w:rsidRDefault="00EB287B" w:rsidP="00711F9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BC5" w:rsidRDefault="00C13BC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BC5" w:rsidRDefault="00C13BC5">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BC5" w:rsidRDefault="00C13BC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3890"/>
    <w:rsid w:val="0002225F"/>
    <w:rsid w:val="000A649A"/>
    <w:rsid w:val="000B239C"/>
    <w:rsid w:val="000B6AB0"/>
    <w:rsid w:val="000E790E"/>
    <w:rsid w:val="000F273A"/>
    <w:rsid w:val="000F3890"/>
    <w:rsid w:val="0010539D"/>
    <w:rsid w:val="0011653A"/>
    <w:rsid w:val="00121BC1"/>
    <w:rsid w:val="00121E45"/>
    <w:rsid w:val="001327DD"/>
    <w:rsid w:val="00141C42"/>
    <w:rsid w:val="00160288"/>
    <w:rsid w:val="00160D3D"/>
    <w:rsid w:val="001646CA"/>
    <w:rsid w:val="001701CD"/>
    <w:rsid w:val="00175B33"/>
    <w:rsid w:val="001913D9"/>
    <w:rsid w:val="00196CFF"/>
    <w:rsid w:val="001B4FC9"/>
    <w:rsid w:val="001E1283"/>
    <w:rsid w:val="001E6404"/>
    <w:rsid w:val="002055ED"/>
    <w:rsid w:val="0021119E"/>
    <w:rsid w:val="002366D7"/>
    <w:rsid w:val="002556F4"/>
    <w:rsid w:val="00255E01"/>
    <w:rsid w:val="002841B4"/>
    <w:rsid w:val="00284D58"/>
    <w:rsid w:val="002A5D24"/>
    <w:rsid w:val="002B4A0F"/>
    <w:rsid w:val="003279B2"/>
    <w:rsid w:val="0033391F"/>
    <w:rsid w:val="0034277A"/>
    <w:rsid w:val="00356470"/>
    <w:rsid w:val="00367CCE"/>
    <w:rsid w:val="0037062D"/>
    <w:rsid w:val="00373534"/>
    <w:rsid w:val="00375615"/>
    <w:rsid w:val="00382530"/>
    <w:rsid w:val="0039106D"/>
    <w:rsid w:val="003C0EDB"/>
    <w:rsid w:val="003C2D91"/>
    <w:rsid w:val="003D2189"/>
    <w:rsid w:val="003E5CF5"/>
    <w:rsid w:val="004036F0"/>
    <w:rsid w:val="004100CD"/>
    <w:rsid w:val="0044760D"/>
    <w:rsid w:val="004504D6"/>
    <w:rsid w:val="0046340F"/>
    <w:rsid w:val="00464898"/>
    <w:rsid w:val="00472520"/>
    <w:rsid w:val="004819A8"/>
    <w:rsid w:val="004A0156"/>
    <w:rsid w:val="004A3606"/>
    <w:rsid w:val="004F4FDE"/>
    <w:rsid w:val="00501037"/>
    <w:rsid w:val="0052686F"/>
    <w:rsid w:val="00535625"/>
    <w:rsid w:val="00542740"/>
    <w:rsid w:val="0057169A"/>
    <w:rsid w:val="00586EE6"/>
    <w:rsid w:val="00587EC0"/>
    <w:rsid w:val="005C0DC2"/>
    <w:rsid w:val="005D2D00"/>
    <w:rsid w:val="005D781B"/>
    <w:rsid w:val="005F19D2"/>
    <w:rsid w:val="005F2301"/>
    <w:rsid w:val="006120C5"/>
    <w:rsid w:val="00614895"/>
    <w:rsid w:val="00621825"/>
    <w:rsid w:val="00625A30"/>
    <w:rsid w:val="006418DC"/>
    <w:rsid w:val="00645C75"/>
    <w:rsid w:val="00651F67"/>
    <w:rsid w:val="0065392D"/>
    <w:rsid w:val="006809A8"/>
    <w:rsid w:val="00687F40"/>
    <w:rsid w:val="00691D0D"/>
    <w:rsid w:val="006D392C"/>
    <w:rsid w:val="006E466F"/>
    <w:rsid w:val="00711F9D"/>
    <w:rsid w:val="00725A09"/>
    <w:rsid w:val="0073501D"/>
    <w:rsid w:val="007425B2"/>
    <w:rsid w:val="007431FF"/>
    <w:rsid w:val="00752007"/>
    <w:rsid w:val="0077407C"/>
    <w:rsid w:val="007B5016"/>
    <w:rsid w:val="007B7C76"/>
    <w:rsid w:val="007C290D"/>
    <w:rsid w:val="007C2C4A"/>
    <w:rsid w:val="007C71C2"/>
    <w:rsid w:val="007D03E1"/>
    <w:rsid w:val="007F171C"/>
    <w:rsid w:val="007F5936"/>
    <w:rsid w:val="007F5EC9"/>
    <w:rsid w:val="00800135"/>
    <w:rsid w:val="00825746"/>
    <w:rsid w:val="008C3977"/>
    <w:rsid w:val="008C5BA0"/>
    <w:rsid w:val="008D0318"/>
    <w:rsid w:val="00927B2C"/>
    <w:rsid w:val="00954AB7"/>
    <w:rsid w:val="00966BDE"/>
    <w:rsid w:val="00970BDC"/>
    <w:rsid w:val="00994F84"/>
    <w:rsid w:val="009B08D0"/>
    <w:rsid w:val="009C6459"/>
    <w:rsid w:val="009F2DB6"/>
    <w:rsid w:val="00A238C7"/>
    <w:rsid w:val="00A37E81"/>
    <w:rsid w:val="00A426FA"/>
    <w:rsid w:val="00A56631"/>
    <w:rsid w:val="00A607C4"/>
    <w:rsid w:val="00A80F5A"/>
    <w:rsid w:val="00A96905"/>
    <w:rsid w:val="00AA0697"/>
    <w:rsid w:val="00AA24D1"/>
    <w:rsid w:val="00AB39AA"/>
    <w:rsid w:val="00AC3241"/>
    <w:rsid w:val="00AF5E18"/>
    <w:rsid w:val="00B05360"/>
    <w:rsid w:val="00B27B0B"/>
    <w:rsid w:val="00B36BAC"/>
    <w:rsid w:val="00B405A0"/>
    <w:rsid w:val="00B508A7"/>
    <w:rsid w:val="00B51CFF"/>
    <w:rsid w:val="00B71882"/>
    <w:rsid w:val="00B72D37"/>
    <w:rsid w:val="00B83BA3"/>
    <w:rsid w:val="00B92C34"/>
    <w:rsid w:val="00B9720C"/>
    <w:rsid w:val="00B97F02"/>
    <w:rsid w:val="00BA2962"/>
    <w:rsid w:val="00BB67D2"/>
    <w:rsid w:val="00BD5E09"/>
    <w:rsid w:val="00C01CF9"/>
    <w:rsid w:val="00C13BC5"/>
    <w:rsid w:val="00C20AF0"/>
    <w:rsid w:val="00C31918"/>
    <w:rsid w:val="00C54CC6"/>
    <w:rsid w:val="00C63698"/>
    <w:rsid w:val="00C655E1"/>
    <w:rsid w:val="00CB6535"/>
    <w:rsid w:val="00CD4A93"/>
    <w:rsid w:val="00CE77A1"/>
    <w:rsid w:val="00D01DF2"/>
    <w:rsid w:val="00D15760"/>
    <w:rsid w:val="00D22644"/>
    <w:rsid w:val="00D22675"/>
    <w:rsid w:val="00D73920"/>
    <w:rsid w:val="00D914D7"/>
    <w:rsid w:val="00DA5A7B"/>
    <w:rsid w:val="00DA79CC"/>
    <w:rsid w:val="00DC56A6"/>
    <w:rsid w:val="00DE59B8"/>
    <w:rsid w:val="00E07FA6"/>
    <w:rsid w:val="00E13CBC"/>
    <w:rsid w:val="00E31AA5"/>
    <w:rsid w:val="00E46219"/>
    <w:rsid w:val="00E763EA"/>
    <w:rsid w:val="00E859D7"/>
    <w:rsid w:val="00E87663"/>
    <w:rsid w:val="00E94E09"/>
    <w:rsid w:val="00EA22CE"/>
    <w:rsid w:val="00EB287B"/>
    <w:rsid w:val="00EC0F82"/>
    <w:rsid w:val="00EE0A51"/>
    <w:rsid w:val="00F002A9"/>
    <w:rsid w:val="00F15D27"/>
    <w:rsid w:val="00F23073"/>
    <w:rsid w:val="00F2698E"/>
    <w:rsid w:val="00F42B86"/>
    <w:rsid w:val="00F5340F"/>
    <w:rsid w:val="00F53C55"/>
    <w:rsid w:val="00FB6E6B"/>
    <w:rsid w:val="00FC1368"/>
    <w:rsid w:val="00FC72A1"/>
    <w:rsid w:val="00FD70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49"/>
    <o:shapelayout v:ext="edit">
      <o:idmap v:ext="edit" data="1"/>
    </o:shapelayout>
  </w:shapeDefaults>
  <w:decimalSymbol w:val="."/>
  <w:listSeparator w:val=","/>
  <w14:docId w14:val="66AC5ACE"/>
  <w15:chartTrackingRefBased/>
  <w15:docId w15:val="{1FFB3785-2A03-449D-8E82-43A02A37D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3890"/>
    <w:pPr>
      <w:widowControl w:val="0"/>
      <w:overflowPunct w:val="0"/>
      <w:adjustRightInd w:val="0"/>
      <w:spacing w:after="0" w:line="240" w:lineRule="auto"/>
    </w:pPr>
    <w:rPr>
      <w:rFonts w:ascii="Times New Roman" w:eastAsia="Times New Roman" w:hAnsi="Times New Roman" w:cs="Times New Roman"/>
      <w:kern w:val="28"/>
      <w:sz w:val="24"/>
      <w:szCs w:val="24"/>
    </w:rPr>
  </w:style>
  <w:style w:type="paragraph" w:styleId="Heading1">
    <w:name w:val="heading 1"/>
    <w:basedOn w:val="Normal"/>
    <w:link w:val="Heading1Char"/>
    <w:uiPriority w:val="9"/>
    <w:qFormat/>
    <w:rsid w:val="000F3890"/>
    <w:pPr>
      <w:widowControl/>
      <w:overflowPunct/>
      <w:adjustRightInd/>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3890"/>
    <w:rPr>
      <w:rFonts w:ascii="Times New Roman" w:eastAsia="Times New Roman" w:hAnsi="Times New Roman" w:cs="Times New Roman"/>
      <w:b/>
      <w:bCs/>
      <w:kern w:val="36"/>
      <w:sz w:val="48"/>
      <w:szCs w:val="48"/>
    </w:rPr>
  </w:style>
  <w:style w:type="character" w:customStyle="1" w:styleId="cite">
    <w:name w:val="cite"/>
    <w:uiPriority w:val="99"/>
    <w:rsid w:val="000F3890"/>
    <w:rPr>
      <w:rFonts w:cs="Times New Roman"/>
    </w:rPr>
  </w:style>
  <w:style w:type="character" w:styleId="Hyperlink">
    <w:name w:val="Hyperlink"/>
    <w:basedOn w:val="DefaultParagraphFont"/>
    <w:uiPriority w:val="99"/>
    <w:unhideWhenUsed/>
    <w:rsid w:val="000F3890"/>
    <w:rPr>
      <w:color w:val="0563C1" w:themeColor="hyperlink"/>
      <w:u w:val="single"/>
    </w:rPr>
  </w:style>
  <w:style w:type="paragraph" w:customStyle="1" w:styleId="Default">
    <w:name w:val="Default"/>
    <w:rsid w:val="000F3890"/>
    <w:pPr>
      <w:autoSpaceDE w:val="0"/>
      <w:autoSpaceDN w:val="0"/>
      <w:adjustRightInd w:val="0"/>
      <w:spacing w:after="0" w:line="240" w:lineRule="auto"/>
    </w:pPr>
    <w:rPr>
      <w:rFonts w:ascii="Times New Roman" w:eastAsia="Times New Roman" w:hAnsi="Times New Roman" w:cs="Times New Roman"/>
      <w:color w:val="000000"/>
      <w:sz w:val="24"/>
      <w:szCs w:val="24"/>
      <w:lang w:bidi="he-IL"/>
    </w:rPr>
  </w:style>
  <w:style w:type="character" w:customStyle="1" w:styleId="apple-converted-space">
    <w:name w:val="apple-converted-space"/>
    <w:rsid w:val="000F3890"/>
  </w:style>
  <w:style w:type="character" w:styleId="Emphasis">
    <w:name w:val="Emphasis"/>
    <w:uiPriority w:val="20"/>
    <w:qFormat/>
    <w:rsid w:val="000F3890"/>
    <w:rPr>
      <w:i/>
      <w:iCs/>
    </w:rPr>
  </w:style>
  <w:style w:type="paragraph" w:styleId="BodyTextIndent2">
    <w:name w:val="Body Text Indent 2"/>
    <w:basedOn w:val="Normal"/>
    <w:link w:val="BodyTextIndent2Char"/>
    <w:semiHidden/>
    <w:rsid w:val="000F3890"/>
    <w:pPr>
      <w:widowControl/>
      <w:overflowPunct/>
      <w:adjustRightInd/>
      <w:ind w:left="720" w:hanging="720"/>
    </w:pPr>
    <w:rPr>
      <w:kern w:val="0"/>
    </w:rPr>
  </w:style>
  <w:style w:type="character" w:customStyle="1" w:styleId="BodyTextIndent2Char">
    <w:name w:val="Body Text Indent 2 Char"/>
    <w:basedOn w:val="DefaultParagraphFont"/>
    <w:link w:val="BodyTextIndent2"/>
    <w:semiHidden/>
    <w:rsid w:val="000F3890"/>
    <w:rPr>
      <w:rFonts w:ascii="Times New Roman" w:eastAsia="Times New Roman" w:hAnsi="Times New Roman" w:cs="Times New Roman"/>
      <w:sz w:val="24"/>
      <w:szCs w:val="24"/>
    </w:rPr>
  </w:style>
  <w:style w:type="character" w:customStyle="1" w:styleId="current-selection">
    <w:name w:val="current-selection"/>
    <w:basedOn w:val="DefaultParagraphFont"/>
    <w:rsid w:val="000F3890"/>
  </w:style>
  <w:style w:type="character" w:customStyle="1" w:styleId="a">
    <w:name w:val="_"/>
    <w:basedOn w:val="DefaultParagraphFont"/>
    <w:rsid w:val="000F3890"/>
  </w:style>
  <w:style w:type="character" w:customStyle="1" w:styleId="ff3">
    <w:name w:val="ff3"/>
    <w:basedOn w:val="DefaultParagraphFont"/>
    <w:rsid w:val="000F3890"/>
  </w:style>
  <w:style w:type="character" w:styleId="CommentReference">
    <w:name w:val="annotation reference"/>
    <w:basedOn w:val="DefaultParagraphFont"/>
    <w:uiPriority w:val="99"/>
    <w:semiHidden/>
    <w:unhideWhenUsed/>
    <w:rsid w:val="000F3890"/>
    <w:rPr>
      <w:sz w:val="16"/>
      <w:szCs w:val="16"/>
    </w:rPr>
  </w:style>
  <w:style w:type="paragraph" w:styleId="CommentText">
    <w:name w:val="annotation text"/>
    <w:basedOn w:val="Normal"/>
    <w:link w:val="CommentTextChar"/>
    <w:uiPriority w:val="99"/>
    <w:unhideWhenUsed/>
    <w:rsid w:val="000F3890"/>
    <w:rPr>
      <w:sz w:val="20"/>
      <w:szCs w:val="20"/>
    </w:rPr>
  </w:style>
  <w:style w:type="character" w:customStyle="1" w:styleId="CommentTextChar">
    <w:name w:val="Comment Text Char"/>
    <w:basedOn w:val="DefaultParagraphFont"/>
    <w:link w:val="CommentText"/>
    <w:uiPriority w:val="99"/>
    <w:rsid w:val="000F3890"/>
    <w:rPr>
      <w:rFonts w:ascii="Times New Roman" w:eastAsia="Times New Roman" w:hAnsi="Times New Roman" w:cs="Times New Roman"/>
      <w:kern w:val="28"/>
      <w:sz w:val="20"/>
      <w:szCs w:val="20"/>
    </w:rPr>
  </w:style>
  <w:style w:type="paragraph" w:styleId="CommentSubject">
    <w:name w:val="annotation subject"/>
    <w:basedOn w:val="CommentText"/>
    <w:next w:val="CommentText"/>
    <w:link w:val="CommentSubjectChar"/>
    <w:uiPriority w:val="99"/>
    <w:semiHidden/>
    <w:unhideWhenUsed/>
    <w:rsid w:val="000F3890"/>
    <w:rPr>
      <w:b/>
      <w:bCs/>
    </w:rPr>
  </w:style>
  <w:style w:type="character" w:customStyle="1" w:styleId="CommentSubjectChar">
    <w:name w:val="Comment Subject Char"/>
    <w:basedOn w:val="CommentTextChar"/>
    <w:link w:val="CommentSubject"/>
    <w:uiPriority w:val="99"/>
    <w:semiHidden/>
    <w:rsid w:val="000F3890"/>
    <w:rPr>
      <w:rFonts w:ascii="Times New Roman" w:eastAsia="Times New Roman" w:hAnsi="Times New Roman" w:cs="Times New Roman"/>
      <w:b/>
      <w:bCs/>
      <w:kern w:val="28"/>
      <w:sz w:val="20"/>
      <w:szCs w:val="20"/>
    </w:rPr>
  </w:style>
  <w:style w:type="paragraph" w:styleId="BalloonText">
    <w:name w:val="Balloon Text"/>
    <w:basedOn w:val="Normal"/>
    <w:link w:val="BalloonTextChar"/>
    <w:uiPriority w:val="99"/>
    <w:semiHidden/>
    <w:unhideWhenUsed/>
    <w:rsid w:val="000F38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3890"/>
    <w:rPr>
      <w:rFonts w:ascii="Segoe UI" w:eastAsia="Times New Roman" w:hAnsi="Segoe UI" w:cs="Segoe UI"/>
      <w:kern w:val="28"/>
      <w:sz w:val="18"/>
      <w:szCs w:val="18"/>
    </w:rPr>
  </w:style>
  <w:style w:type="paragraph" w:styleId="NormalWeb">
    <w:name w:val="Normal (Web)"/>
    <w:basedOn w:val="Normal"/>
    <w:unhideWhenUsed/>
    <w:rsid w:val="000F3890"/>
    <w:pPr>
      <w:widowControl/>
      <w:overflowPunct/>
      <w:adjustRightInd/>
      <w:spacing w:before="100" w:beforeAutospacing="1" w:after="100" w:afterAutospacing="1"/>
    </w:pPr>
    <w:rPr>
      <w:kern w:val="0"/>
    </w:rPr>
  </w:style>
  <w:style w:type="character" w:customStyle="1" w:styleId="hlfld-title">
    <w:name w:val="hlfld-title"/>
    <w:basedOn w:val="DefaultParagraphFont"/>
    <w:rsid w:val="000F3890"/>
  </w:style>
  <w:style w:type="paragraph" w:styleId="Header">
    <w:name w:val="header"/>
    <w:basedOn w:val="Normal"/>
    <w:link w:val="HeaderChar"/>
    <w:uiPriority w:val="99"/>
    <w:unhideWhenUsed/>
    <w:rsid w:val="00711F9D"/>
    <w:pPr>
      <w:tabs>
        <w:tab w:val="center" w:pos="4680"/>
        <w:tab w:val="right" w:pos="9360"/>
      </w:tabs>
    </w:pPr>
  </w:style>
  <w:style w:type="character" w:customStyle="1" w:styleId="HeaderChar">
    <w:name w:val="Header Char"/>
    <w:basedOn w:val="DefaultParagraphFont"/>
    <w:link w:val="Header"/>
    <w:uiPriority w:val="99"/>
    <w:rsid w:val="00711F9D"/>
    <w:rPr>
      <w:rFonts w:ascii="Times New Roman" w:eastAsia="Times New Roman" w:hAnsi="Times New Roman" w:cs="Times New Roman"/>
      <w:kern w:val="28"/>
      <w:sz w:val="24"/>
      <w:szCs w:val="24"/>
    </w:rPr>
  </w:style>
  <w:style w:type="paragraph" w:styleId="Footer">
    <w:name w:val="footer"/>
    <w:basedOn w:val="Normal"/>
    <w:link w:val="FooterChar"/>
    <w:uiPriority w:val="99"/>
    <w:unhideWhenUsed/>
    <w:rsid w:val="00711F9D"/>
    <w:pPr>
      <w:tabs>
        <w:tab w:val="center" w:pos="4680"/>
        <w:tab w:val="right" w:pos="9360"/>
      </w:tabs>
    </w:pPr>
  </w:style>
  <w:style w:type="character" w:customStyle="1" w:styleId="FooterChar">
    <w:name w:val="Footer Char"/>
    <w:basedOn w:val="DefaultParagraphFont"/>
    <w:link w:val="Footer"/>
    <w:uiPriority w:val="99"/>
    <w:rsid w:val="00711F9D"/>
    <w:rPr>
      <w:rFonts w:ascii="Times New Roman" w:eastAsia="Times New Roman" w:hAnsi="Times New Roman" w:cs="Times New Roman"/>
      <w:kern w:val="28"/>
      <w:sz w:val="24"/>
      <w:szCs w:val="24"/>
    </w:rPr>
  </w:style>
  <w:style w:type="character" w:styleId="LineNumber">
    <w:name w:val="line number"/>
    <w:basedOn w:val="DefaultParagraphFont"/>
    <w:uiPriority w:val="99"/>
    <w:semiHidden/>
    <w:unhideWhenUsed/>
    <w:rsid w:val="00711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004327">
      <w:bodyDiv w:val="1"/>
      <w:marLeft w:val="0"/>
      <w:marRight w:val="0"/>
      <w:marTop w:val="0"/>
      <w:marBottom w:val="0"/>
      <w:divBdr>
        <w:top w:val="none" w:sz="0" w:space="0" w:color="auto"/>
        <w:left w:val="none" w:sz="0" w:space="0" w:color="auto"/>
        <w:bottom w:val="none" w:sz="0" w:space="0" w:color="auto"/>
        <w:right w:val="none" w:sz="0" w:space="0" w:color="auto"/>
      </w:divBdr>
      <w:divsChild>
        <w:div w:id="895581237">
          <w:marLeft w:val="0"/>
          <w:marRight w:val="0"/>
          <w:marTop w:val="0"/>
          <w:marBottom w:val="0"/>
          <w:divBdr>
            <w:top w:val="none" w:sz="0" w:space="0" w:color="auto"/>
            <w:left w:val="none" w:sz="0" w:space="0" w:color="auto"/>
            <w:bottom w:val="none" w:sz="0" w:space="0" w:color="auto"/>
            <w:right w:val="none" w:sz="0" w:space="0" w:color="auto"/>
          </w:divBdr>
        </w:div>
        <w:div w:id="695498587">
          <w:marLeft w:val="0"/>
          <w:marRight w:val="0"/>
          <w:marTop w:val="0"/>
          <w:marBottom w:val="0"/>
          <w:divBdr>
            <w:top w:val="none" w:sz="0" w:space="0" w:color="auto"/>
            <w:left w:val="none" w:sz="0" w:space="0" w:color="auto"/>
            <w:bottom w:val="none" w:sz="0" w:space="0" w:color="auto"/>
            <w:right w:val="none" w:sz="0" w:space="0" w:color="auto"/>
          </w:divBdr>
        </w:div>
        <w:div w:id="393742057">
          <w:marLeft w:val="0"/>
          <w:marRight w:val="0"/>
          <w:marTop w:val="0"/>
          <w:marBottom w:val="0"/>
          <w:divBdr>
            <w:top w:val="none" w:sz="0" w:space="0" w:color="auto"/>
            <w:left w:val="none" w:sz="0" w:space="0" w:color="auto"/>
            <w:bottom w:val="none" w:sz="0" w:space="0" w:color="auto"/>
            <w:right w:val="none" w:sz="0" w:space="0" w:color="auto"/>
          </w:divBdr>
        </w:div>
      </w:divsChild>
    </w:div>
    <w:div w:id="2145155780">
      <w:bodyDiv w:val="1"/>
      <w:marLeft w:val="0"/>
      <w:marRight w:val="0"/>
      <w:marTop w:val="0"/>
      <w:marBottom w:val="0"/>
      <w:divBdr>
        <w:top w:val="none" w:sz="0" w:space="0" w:color="auto"/>
        <w:left w:val="none" w:sz="0" w:space="0" w:color="auto"/>
        <w:bottom w:val="none" w:sz="0" w:space="0" w:color="auto"/>
        <w:right w:val="none" w:sz="0" w:space="0" w:color="auto"/>
      </w:divBdr>
      <w:divsChild>
        <w:div w:id="2144225825">
          <w:marLeft w:val="0"/>
          <w:marRight w:val="0"/>
          <w:marTop w:val="0"/>
          <w:marBottom w:val="0"/>
          <w:divBdr>
            <w:top w:val="none" w:sz="0" w:space="0" w:color="auto"/>
            <w:left w:val="none" w:sz="0" w:space="0" w:color="auto"/>
            <w:bottom w:val="none" w:sz="0" w:space="0" w:color="auto"/>
            <w:right w:val="none" w:sz="0" w:space="0" w:color="auto"/>
          </w:divBdr>
        </w:div>
        <w:div w:id="1834680515">
          <w:marLeft w:val="0"/>
          <w:marRight w:val="0"/>
          <w:marTop w:val="0"/>
          <w:marBottom w:val="0"/>
          <w:divBdr>
            <w:top w:val="none" w:sz="0" w:space="0" w:color="auto"/>
            <w:left w:val="none" w:sz="0" w:space="0" w:color="auto"/>
            <w:bottom w:val="none" w:sz="0" w:space="0" w:color="auto"/>
            <w:right w:val="none" w:sz="0" w:space="0" w:color="auto"/>
          </w:divBdr>
        </w:div>
        <w:div w:id="1177646743">
          <w:marLeft w:val="0"/>
          <w:marRight w:val="0"/>
          <w:marTop w:val="0"/>
          <w:marBottom w:val="0"/>
          <w:divBdr>
            <w:top w:val="none" w:sz="0" w:space="0" w:color="auto"/>
            <w:left w:val="none" w:sz="0" w:space="0" w:color="auto"/>
            <w:bottom w:val="none" w:sz="0" w:space="0" w:color="auto"/>
            <w:right w:val="none" w:sz="0" w:space="0" w:color="auto"/>
          </w:divBdr>
        </w:div>
        <w:div w:id="5636366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http://www.pwrc.usgs.gov/"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mli2.gov.mb.ca/landuse/index.html"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24</Pages>
  <Words>4588</Words>
  <Characters>26152</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Laurel Moulton</dc:creator>
  <cp:keywords/>
  <dc:description/>
  <cp:lastModifiedBy>Nicola Koper</cp:lastModifiedBy>
  <cp:revision>3</cp:revision>
  <dcterms:created xsi:type="dcterms:W3CDTF">2019-06-11T21:31:00Z</dcterms:created>
  <dcterms:modified xsi:type="dcterms:W3CDTF">2019-06-12T15:22:00Z</dcterms:modified>
</cp:coreProperties>
</file>